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spacing w:before="7"/>
        <w:rPr>
          <w:rFonts w:ascii="Times New Roman"/>
          <w:sz w:val="24"/>
        </w:rPr>
      </w:pPr>
    </w:p>
    <w:p>
      <w:pPr>
        <w:tabs>
          <w:tab w:pos="8023" w:val="left" w:leader="none"/>
        </w:tabs>
        <w:spacing w:before="101" w:after="19"/>
        <w:ind w:left="502" w:right="0" w:firstLine="0"/>
        <w:jc w:val="left"/>
        <w:rPr>
          <w:rFonts w:ascii="Arial Narrow" w:hAnsi="Arial Narrow"/>
          <w:b/>
          <w:sz w:val="160"/>
        </w:rPr>
      </w:pPr>
      <w:bookmarkStart w:name="DB HS Portada 2017 con comentarios jun 2" w:id="1"/>
      <w:bookmarkEnd w:id="1"/>
      <w:r>
        <w:rPr/>
      </w:r>
      <w:r>
        <w:rPr>
          <w:b/>
          <w:sz w:val="76"/>
        </w:rPr>
        <w:t>D</w:t>
      </w:r>
      <w:r>
        <w:rPr>
          <w:sz w:val="76"/>
        </w:rPr>
        <w:t>ocumento</w:t>
      </w:r>
      <w:r>
        <w:rPr>
          <w:spacing w:val="2"/>
          <w:sz w:val="76"/>
        </w:rPr>
        <w:t> </w:t>
      </w:r>
      <w:r>
        <w:rPr>
          <w:b/>
          <w:sz w:val="76"/>
        </w:rPr>
        <w:t>B</w:t>
      </w:r>
      <w:r>
        <w:rPr>
          <w:sz w:val="76"/>
        </w:rPr>
        <w:t>ásico</w:t>
        <w:tab/>
      </w:r>
      <w:r>
        <w:rPr>
          <w:rFonts w:ascii="Arial Narrow" w:hAnsi="Arial Narrow"/>
          <w:b/>
          <w:spacing w:val="3"/>
          <w:sz w:val="160"/>
        </w:rPr>
        <w:t>HS</w:t>
      </w:r>
    </w:p>
    <w:p>
      <w:pPr>
        <w:pStyle w:val="BodyText"/>
        <w:spacing w:line="20" w:lineRule="exact"/>
        <w:ind w:left="497"/>
        <w:rPr>
          <w:rFonts w:ascii="Arial Narrow"/>
          <w:sz w:val="2"/>
        </w:rPr>
      </w:pPr>
      <w:r>
        <w:rPr>
          <w:rFonts w:ascii="Arial Narrow"/>
          <w:sz w:val="2"/>
        </w:rPr>
        <w:pict>
          <v:group style="width:467.4pt;height:.6pt;mso-position-horizontal-relative:char;mso-position-vertical-relative:line" coordorigin="0,0" coordsize="9348,12">
            <v:line style="position:absolute" from="0,5" to="9348,5" stroked="true" strokeweight=".475226pt" strokecolor="#000000">
              <v:stroke dashstyle="solid"/>
            </v:line>
            <v:line style="position:absolute" from="0,10" to="9348,10" stroked="true" strokeweight=".140063pt" strokecolor="#000000">
              <v:stroke dashstyle="solid"/>
            </v:line>
          </v:group>
        </w:pict>
      </w:r>
      <w:r>
        <w:rPr>
          <w:rFonts w:ascii="Arial Narrow"/>
          <w:sz w:val="2"/>
        </w:rPr>
      </w:r>
    </w:p>
    <w:p>
      <w:pPr>
        <w:spacing w:before="0"/>
        <w:ind w:left="502" w:right="0" w:firstLine="0"/>
        <w:jc w:val="left"/>
        <w:rPr>
          <w:b/>
          <w:sz w:val="56"/>
        </w:rPr>
      </w:pPr>
      <w:r>
        <w:rPr/>
        <w:pict>
          <v:shapetype id="_x0000_t202" o:spt="202" coordsize="21600,21600" path="m,l,21600r21600,l21600,xe">
            <v:stroke joinstyle="miter"/>
            <v:path gradientshapeok="t" o:connecttype="rect"/>
          </v:shapetype>
          <v:shape style="position:absolute;margin-left:85.130013pt;margin-top:36.843452pt;width:467.4pt;height:24.05pt;mso-position-horizontal-relative:page;mso-position-vertical-relative:paragraph;z-index:-251657216;mso-wrap-distance-left:0;mso-wrap-distance-right:0" type="#_x0000_t202" filled="true" fillcolor="#825a3b" stroked="false">
            <v:textbox inset="0,0,0,0">
              <w:txbxContent>
                <w:p>
                  <w:pPr>
                    <w:spacing w:before="0"/>
                    <w:ind w:left="-1" w:right="0" w:firstLine="0"/>
                    <w:jc w:val="left"/>
                    <w:rPr>
                      <w:rFonts w:ascii="Arial Narrow"/>
                      <w:b/>
                      <w:sz w:val="40"/>
                    </w:rPr>
                  </w:pPr>
                  <w:r>
                    <w:rPr>
                      <w:rFonts w:ascii="Arial Narrow"/>
                      <w:b/>
                      <w:color w:val="FFFFFF"/>
                      <w:sz w:val="40"/>
                    </w:rPr>
                    <w:t>Con comentarios del Ministerio de Fomento</w:t>
                  </w:r>
                </w:p>
              </w:txbxContent>
            </v:textbox>
            <v:fill type="solid"/>
            <w10:wrap type="topAndBottom"/>
          </v:shape>
        </w:pict>
      </w:r>
      <w:r>
        <w:rPr/>
        <w:pict>
          <v:group style="position:absolute;margin-left:85.130013pt;margin-top:36.348228pt;width:467.4pt;height:.5pt;mso-position-horizontal-relative:page;mso-position-vertical-relative:paragraph;z-index:251661312" coordorigin="1703,727" coordsize="9348,10">
            <v:line style="position:absolute" from="1703,732" to="11050,732" stroked="true" strokeweight=".495224pt" strokecolor="#000000">
              <v:stroke dashstyle="solid"/>
            </v:line>
            <v:line style="position:absolute" from="1703,736" to="11050,736" stroked="true" strokeweight=".065029pt" strokecolor="#000000">
              <v:stroke dashstyle="solid"/>
            </v:line>
            <w10:wrap type="none"/>
          </v:group>
        </w:pict>
      </w:r>
      <w:r>
        <w:rPr/>
        <w:pict>
          <v:group style="position:absolute;margin-left:85.130013pt;margin-top:60.884296pt;width:467.4pt;height:.5pt;mso-position-horizontal-relative:page;mso-position-vertical-relative:paragraph;z-index:251662336" coordorigin="1703,1218" coordsize="9348,10">
            <v:line style="position:absolute" from="1703,1222" to="11050,1222" stroked="true" strokeweight=".470222pt" strokecolor="#000000">
              <v:stroke dashstyle="solid"/>
            </v:line>
            <v:line style="position:absolute" from="1703,1227" to="11050,1227" stroked="true" strokeweight=".04502pt" strokecolor="#000000">
              <v:stroke dashstyle="solid"/>
            </v:line>
            <w10:wrap type="none"/>
          </v:group>
        </w:pict>
      </w:r>
      <w:r>
        <w:rPr>
          <w:b/>
          <w:sz w:val="56"/>
        </w:rPr>
        <w:t>Salubridad</w:t>
      </w:r>
    </w:p>
    <w:p>
      <w:pPr>
        <w:pStyle w:val="BodyText"/>
        <w:ind w:left="502"/>
      </w:pPr>
      <w:r>
        <w:rPr/>
        <w:pict>
          <v:shape style="width:467.4pt;height:352pt;mso-position-horizontal-relative:char;mso-position-vertical-relative:line" type="#_x0000_t202" filled="true" fillcolor="#f5f1b5" stroked="false">
            <w10:anchorlock/>
            <v:textbox inset="0,0,0,0">
              <w:txbxContent>
                <w:p>
                  <w:pPr>
                    <w:pStyle w:val="BodyText"/>
                    <w:rPr>
                      <w:b/>
                      <w:sz w:val="42"/>
                    </w:rPr>
                  </w:pPr>
                </w:p>
                <w:p>
                  <w:pPr>
                    <w:spacing w:before="0"/>
                    <w:ind w:left="88" w:right="0" w:firstLine="0"/>
                    <w:jc w:val="left"/>
                    <w:rPr>
                      <w:sz w:val="32"/>
                    </w:rPr>
                  </w:pPr>
                  <w:r>
                    <w:rPr>
                      <w:sz w:val="32"/>
                    </w:rPr>
                    <w:t>HS 1 Protección frente a la humedad</w:t>
                  </w:r>
                </w:p>
                <w:p>
                  <w:pPr>
                    <w:spacing w:line="319" w:lineRule="auto" w:before="123"/>
                    <w:ind w:left="88" w:right="2983" w:firstLine="0"/>
                    <w:jc w:val="left"/>
                    <w:rPr>
                      <w:sz w:val="32"/>
                    </w:rPr>
                  </w:pPr>
                  <w:r>
                    <w:rPr>
                      <w:sz w:val="32"/>
                    </w:rPr>
                    <w:t>HS 2 Recogida y evacuación de residuos HS 3 Calidad del aire interior</w:t>
                  </w:r>
                </w:p>
                <w:p>
                  <w:pPr>
                    <w:spacing w:line="319" w:lineRule="auto" w:before="0"/>
                    <w:ind w:left="88" w:right="5277" w:firstLine="0"/>
                    <w:jc w:val="left"/>
                    <w:rPr>
                      <w:sz w:val="32"/>
                    </w:rPr>
                  </w:pPr>
                  <w:r>
                    <w:rPr>
                      <w:sz w:val="32"/>
                    </w:rPr>
                    <w:t>HS 4 Suministro de agua HS 5 Evacuación de aguas</w:t>
                  </w:r>
                </w:p>
              </w:txbxContent>
            </v:textbox>
            <v:fill type="solid"/>
          </v:shape>
        </w:pict>
      </w:r>
      <w:r>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3"/>
        </w:rPr>
      </w:pPr>
    </w:p>
    <w:p>
      <w:pPr>
        <w:tabs>
          <w:tab w:pos="1917" w:val="left" w:leader="none"/>
        </w:tabs>
        <w:spacing w:line="275" w:lineRule="exact" w:before="1"/>
        <w:ind w:left="501" w:right="0" w:firstLine="0"/>
        <w:jc w:val="left"/>
        <w:rPr>
          <w:rFonts w:ascii="Arial Narrow"/>
          <w:b/>
          <w:sz w:val="24"/>
        </w:rPr>
      </w:pPr>
      <w:r>
        <w:rPr>
          <w:rFonts w:ascii="Arial Narrow"/>
          <w:sz w:val="24"/>
        </w:rPr>
        <w:t>Articulado:</w:t>
        <w:tab/>
      </w:r>
      <w:r>
        <w:rPr>
          <w:rFonts w:ascii="Arial Narrow"/>
          <w:b/>
          <w:sz w:val="24"/>
        </w:rPr>
        <w:t>Junio</w:t>
      </w:r>
      <w:r>
        <w:rPr>
          <w:rFonts w:ascii="Arial Narrow"/>
          <w:b/>
          <w:spacing w:val="-1"/>
          <w:sz w:val="24"/>
        </w:rPr>
        <w:t> </w:t>
      </w:r>
      <w:r>
        <w:rPr>
          <w:rFonts w:ascii="Arial Narrow"/>
          <w:b/>
          <w:sz w:val="24"/>
        </w:rPr>
        <w:t>2017</w:t>
      </w:r>
    </w:p>
    <w:p>
      <w:pPr>
        <w:tabs>
          <w:tab w:pos="1917" w:val="left" w:leader="none"/>
          <w:tab w:pos="9037" w:val="left" w:leader="none"/>
        </w:tabs>
        <w:spacing w:line="275" w:lineRule="exact" w:before="0"/>
        <w:ind w:left="471" w:right="0" w:firstLine="0"/>
        <w:jc w:val="left"/>
        <w:rPr>
          <w:rFonts w:ascii="Arial Narrow"/>
          <w:b/>
          <w:sz w:val="24"/>
        </w:rPr>
      </w:pPr>
      <w:r>
        <w:rPr>
          <w:rFonts w:ascii="Arial Narrow"/>
          <w:color w:val="FFFFFF"/>
          <w:spacing w:val="-25"/>
          <w:sz w:val="24"/>
          <w:shd w:fill="825A3B" w:color="auto" w:val="clear"/>
        </w:rPr>
        <w:t> </w:t>
      </w:r>
      <w:r>
        <w:rPr>
          <w:rFonts w:ascii="Arial Narrow"/>
          <w:color w:val="FFFFFF"/>
          <w:sz w:val="24"/>
          <w:shd w:fill="825A3B" w:color="auto" w:val="clear"/>
        </w:rPr>
        <w:t>Comentarios:</w:t>
        <w:tab/>
      </w:r>
      <w:r>
        <w:rPr>
          <w:rFonts w:ascii="Arial Narrow"/>
          <w:b/>
          <w:color w:val="FFFFFF"/>
          <w:sz w:val="24"/>
          <w:shd w:fill="825A3B" w:color="auto" w:val="clear"/>
        </w:rPr>
        <w:t>29 junio</w:t>
      </w:r>
      <w:r>
        <w:rPr>
          <w:rFonts w:ascii="Arial Narrow"/>
          <w:b/>
          <w:color w:val="FFFFFF"/>
          <w:spacing w:val="-4"/>
          <w:sz w:val="24"/>
          <w:shd w:fill="825A3B" w:color="auto" w:val="clear"/>
        </w:rPr>
        <w:t> </w:t>
      </w:r>
      <w:r>
        <w:rPr>
          <w:rFonts w:ascii="Arial Narrow"/>
          <w:b/>
          <w:color w:val="FFFFFF"/>
          <w:sz w:val="24"/>
          <w:shd w:fill="825A3B" w:color="auto" w:val="clear"/>
        </w:rPr>
        <w:t>2018</w:t>
        <w:tab/>
      </w:r>
    </w:p>
    <w:p>
      <w:pPr>
        <w:spacing w:after="0" w:line="275" w:lineRule="exact"/>
        <w:jc w:val="left"/>
        <w:rPr>
          <w:rFonts w:ascii="Arial Narrow"/>
          <w:sz w:val="24"/>
        </w:rPr>
        <w:sectPr>
          <w:type w:val="continuous"/>
          <w:pgSz w:w="11910" w:h="16840"/>
          <w:pgMar w:top="1580" w:bottom="280" w:left="1200" w:right="740"/>
        </w:sect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rPr>
          <w:rFonts w:ascii="Arial Narrow"/>
          <w:b/>
        </w:rPr>
      </w:pPr>
    </w:p>
    <w:p>
      <w:pPr>
        <w:pStyle w:val="BodyText"/>
        <w:spacing w:before="3"/>
        <w:rPr>
          <w:rFonts w:ascii="Arial Narrow"/>
          <w:b/>
          <w:sz w:val="22"/>
        </w:rPr>
      </w:pPr>
    </w:p>
    <w:p>
      <w:pPr>
        <w:pStyle w:val="Heading5"/>
        <w:spacing w:before="94"/>
        <w:ind w:left="1920"/>
        <w:jc w:val="both"/>
      </w:pPr>
      <w:r>
        <w:rPr/>
        <w:t>Disposiciones legislativas</w:t>
      </w:r>
    </w:p>
    <w:p>
      <w:pPr>
        <w:pStyle w:val="BodyText"/>
        <w:spacing w:before="197"/>
        <w:ind w:left="1920" w:right="956"/>
        <w:jc w:val="both"/>
      </w:pPr>
      <w:r>
        <w:rPr/>
        <w:t>El articulado de este documento básico fue aprobado por el Real Decreto 314/2006, de 17 de marzo (BOE 28-marzo-2006) y posteriormente ha sido modificado por las siguientes disposiciones:</w:t>
      </w:r>
    </w:p>
    <w:p>
      <w:pPr>
        <w:pStyle w:val="ListParagraph"/>
        <w:numPr>
          <w:ilvl w:val="0"/>
          <w:numId w:val="1"/>
        </w:numPr>
        <w:tabs>
          <w:tab w:pos="2204" w:val="left" w:leader="none"/>
        </w:tabs>
        <w:spacing w:line="240" w:lineRule="auto" w:before="100" w:after="0"/>
        <w:ind w:left="2203" w:right="0" w:hanging="284"/>
        <w:jc w:val="both"/>
        <w:rPr>
          <w:sz w:val="20"/>
        </w:rPr>
      </w:pPr>
      <w:r>
        <w:rPr>
          <w:sz w:val="20"/>
        </w:rPr>
        <w:t>Real Decreto 1371/2007 de 19 de octubre (BOE</w:t>
      </w:r>
      <w:r>
        <w:rPr>
          <w:spacing w:val="-8"/>
          <w:sz w:val="20"/>
        </w:rPr>
        <w:t> </w:t>
      </w:r>
      <w:r>
        <w:rPr>
          <w:sz w:val="20"/>
        </w:rPr>
        <w:t>23-octubre-2007)</w:t>
      </w:r>
    </w:p>
    <w:p>
      <w:pPr>
        <w:pStyle w:val="BodyText"/>
        <w:spacing w:before="60"/>
        <w:ind w:left="2203" w:right="956"/>
        <w:jc w:val="both"/>
      </w:pPr>
      <w:r>
        <w:rPr/>
        <w:t>Corrección de errores del Real Decreto 1371/2007 de 19 de octubre (BOE 20-diciembre-2007)</w:t>
      </w:r>
    </w:p>
    <w:p>
      <w:pPr>
        <w:pStyle w:val="ListParagraph"/>
        <w:numPr>
          <w:ilvl w:val="0"/>
          <w:numId w:val="1"/>
        </w:numPr>
        <w:tabs>
          <w:tab w:pos="2204" w:val="left" w:leader="none"/>
        </w:tabs>
        <w:spacing w:line="240" w:lineRule="auto" w:before="60" w:after="0"/>
        <w:ind w:left="2203" w:right="962" w:hanging="284"/>
        <w:jc w:val="both"/>
        <w:rPr>
          <w:sz w:val="20"/>
        </w:rPr>
      </w:pPr>
      <w:r>
        <w:rPr>
          <w:sz w:val="20"/>
        </w:rPr>
        <w:t>Corrección de errores y erratas del Real Decreto 314/2006 de 17 de marzo (BOE</w:t>
      </w:r>
      <w:r>
        <w:rPr>
          <w:spacing w:val="-1"/>
          <w:sz w:val="20"/>
        </w:rPr>
        <w:t> </w:t>
      </w:r>
      <w:r>
        <w:rPr>
          <w:sz w:val="20"/>
        </w:rPr>
        <w:t>25-enero-2008)</w:t>
      </w:r>
    </w:p>
    <w:p>
      <w:pPr>
        <w:pStyle w:val="ListParagraph"/>
        <w:numPr>
          <w:ilvl w:val="0"/>
          <w:numId w:val="1"/>
        </w:numPr>
        <w:tabs>
          <w:tab w:pos="2204" w:val="left" w:leader="none"/>
        </w:tabs>
        <w:spacing w:line="240" w:lineRule="auto" w:before="61" w:after="0"/>
        <w:ind w:left="2203" w:right="0" w:hanging="284"/>
        <w:jc w:val="both"/>
        <w:rPr>
          <w:sz w:val="20"/>
        </w:rPr>
      </w:pPr>
      <w:r>
        <w:rPr>
          <w:sz w:val="20"/>
        </w:rPr>
        <w:t>Orden VIV/984/2009 de 15 de abril (BOE</w:t>
      </w:r>
      <w:r>
        <w:rPr>
          <w:spacing w:val="-6"/>
          <w:sz w:val="20"/>
        </w:rPr>
        <w:t> </w:t>
      </w:r>
      <w:r>
        <w:rPr>
          <w:sz w:val="20"/>
        </w:rPr>
        <w:t>23-abril-2009)</w:t>
      </w:r>
    </w:p>
    <w:p>
      <w:pPr>
        <w:pStyle w:val="ListParagraph"/>
        <w:numPr>
          <w:ilvl w:val="0"/>
          <w:numId w:val="1"/>
        </w:numPr>
        <w:tabs>
          <w:tab w:pos="2204" w:val="left" w:leader="none"/>
        </w:tabs>
        <w:spacing w:line="240" w:lineRule="auto" w:before="59" w:after="0"/>
        <w:ind w:left="2203" w:right="960" w:hanging="284"/>
        <w:jc w:val="both"/>
        <w:rPr>
          <w:sz w:val="20"/>
        </w:rPr>
      </w:pPr>
      <w:r>
        <w:rPr>
          <w:sz w:val="20"/>
        </w:rPr>
        <w:t>Corrección de errores y erratas de la orden VIV/984/2009 de 15 de abril (BOE</w:t>
      </w:r>
      <w:r>
        <w:rPr>
          <w:spacing w:val="-1"/>
          <w:sz w:val="20"/>
        </w:rPr>
        <w:t> </w:t>
      </w:r>
      <w:r>
        <w:rPr>
          <w:sz w:val="20"/>
        </w:rPr>
        <w:t>23-septiembre-2009)</w:t>
      </w:r>
    </w:p>
    <w:p>
      <w:pPr>
        <w:pStyle w:val="ListParagraph"/>
        <w:numPr>
          <w:ilvl w:val="0"/>
          <w:numId w:val="1"/>
        </w:numPr>
        <w:tabs>
          <w:tab w:pos="2204" w:val="left" w:leader="none"/>
        </w:tabs>
        <w:spacing w:line="240" w:lineRule="auto" w:before="61" w:after="0"/>
        <w:ind w:left="2203" w:right="0" w:hanging="284"/>
        <w:jc w:val="both"/>
        <w:rPr>
          <w:sz w:val="20"/>
        </w:rPr>
      </w:pPr>
      <w:r>
        <w:rPr>
          <w:sz w:val="20"/>
        </w:rPr>
        <w:t>Orden FOM/588/2017 de 15 de junio (BOE</w:t>
      </w:r>
      <w:r>
        <w:rPr>
          <w:spacing w:val="-3"/>
          <w:sz w:val="20"/>
        </w:rPr>
        <w:t> </w:t>
      </w:r>
      <w:r>
        <w:rPr>
          <w:sz w:val="20"/>
        </w:rPr>
        <w:t>23-junio-2017)</w:t>
      </w:r>
    </w:p>
    <w:p>
      <w:pPr>
        <w:pStyle w:val="BodyText"/>
        <w:spacing w:before="6"/>
        <w:rPr>
          <w:sz w:val="17"/>
        </w:rPr>
      </w:pPr>
    </w:p>
    <w:p>
      <w:pPr>
        <w:pStyle w:val="Heading5"/>
        <w:ind w:left="1920"/>
        <w:jc w:val="both"/>
      </w:pPr>
      <w:r>
        <w:rPr/>
        <w:t>DB HS con comentarios</w:t>
      </w:r>
    </w:p>
    <w:p>
      <w:pPr>
        <w:pStyle w:val="BodyText"/>
        <w:spacing w:before="2"/>
        <w:rPr>
          <w:b/>
          <w:sz w:val="17"/>
        </w:rPr>
      </w:pPr>
    </w:p>
    <w:p>
      <w:pPr>
        <w:pStyle w:val="BodyText"/>
        <w:spacing w:before="1"/>
        <w:ind w:left="1920" w:right="959"/>
        <w:jc w:val="both"/>
      </w:pPr>
      <w:r>
        <w:rPr/>
        <w:t>Conforme a lo establecido en el artículo 35.g) de la Ley de Régimen Jurídico de las Administraciones Públicas y del Procedimiento Administrativo Común, la Dirección General de Arquitectura, Vivienda y Suelo ha respondido a numerosas consultas relacionadas con la interpretación y aplicación del Documento Básico DB HS del Código Técnico de la Edificación.</w:t>
      </w:r>
    </w:p>
    <w:p>
      <w:pPr>
        <w:pStyle w:val="BodyText"/>
        <w:spacing w:before="4"/>
        <w:rPr>
          <w:sz w:val="17"/>
        </w:rPr>
      </w:pPr>
    </w:p>
    <w:p>
      <w:pPr>
        <w:pStyle w:val="BodyText"/>
        <w:ind w:left="1920" w:right="956"/>
        <w:jc w:val="both"/>
      </w:pPr>
      <w:r>
        <w:rPr/>
        <w:t>Esta versión del DB HS incorpora, junto al texto articulado del DB, los principales comentarios, aclaraciones y criterios de aplicación resultado de dichas consultas, de los cuales se han publicado las siguientes versiones anteriores:</w:t>
      </w:r>
    </w:p>
    <w:p>
      <w:pPr>
        <w:pStyle w:val="BodyText"/>
        <w:spacing w:before="5"/>
        <w:rPr>
          <w:sz w:val="17"/>
        </w:rPr>
      </w:pPr>
    </w:p>
    <w:p>
      <w:pPr>
        <w:pStyle w:val="ListParagraph"/>
        <w:numPr>
          <w:ilvl w:val="0"/>
          <w:numId w:val="1"/>
        </w:numPr>
        <w:tabs>
          <w:tab w:pos="2043" w:val="left" w:leader="none"/>
        </w:tabs>
        <w:spacing w:line="240" w:lineRule="auto" w:before="1" w:after="0"/>
        <w:ind w:left="2042" w:right="0" w:hanging="123"/>
        <w:jc w:val="both"/>
        <w:rPr>
          <w:sz w:val="20"/>
        </w:rPr>
      </w:pPr>
      <w:r>
        <w:rPr>
          <w:sz w:val="20"/>
        </w:rPr>
        <w:t>30 de diciembre de</w:t>
      </w:r>
      <w:r>
        <w:rPr>
          <w:spacing w:val="-1"/>
          <w:sz w:val="20"/>
        </w:rPr>
        <w:t> </w:t>
      </w:r>
      <w:r>
        <w:rPr>
          <w:sz w:val="20"/>
        </w:rPr>
        <w:t>2014</w:t>
      </w:r>
    </w:p>
    <w:p>
      <w:pPr>
        <w:pStyle w:val="BodyText"/>
        <w:spacing w:before="4"/>
        <w:rPr>
          <w:sz w:val="17"/>
        </w:rPr>
      </w:pPr>
    </w:p>
    <w:p>
      <w:pPr>
        <w:pStyle w:val="ListParagraph"/>
        <w:numPr>
          <w:ilvl w:val="0"/>
          <w:numId w:val="1"/>
        </w:numPr>
        <w:tabs>
          <w:tab w:pos="2043" w:val="left" w:leader="none"/>
        </w:tabs>
        <w:spacing w:line="240" w:lineRule="auto" w:before="0" w:after="0"/>
        <w:ind w:left="2042" w:right="0" w:hanging="123"/>
        <w:jc w:val="both"/>
        <w:rPr>
          <w:sz w:val="20"/>
        </w:rPr>
      </w:pPr>
      <w:r>
        <w:rPr>
          <w:sz w:val="20"/>
        </w:rPr>
        <w:t>30 de junio de</w:t>
      </w:r>
      <w:r>
        <w:rPr>
          <w:spacing w:val="-1"/>
          <w:sz w:val="20"/>
        </w:rPr>
        <w:t> </w:t>
      </w:r>
      <w:r>
        <w:rPr>
          <w:sz w:val="20"/>
        </w:rPr>
        <w:t>2015</w:t>
      </w:r>
    </w:p>
    <w:p>
      <w:pPr>
        <w:pStyle w:val="BodyText"/>
        <w:spacing w:before="5"/>
        <w:rPr>
          <w:sz w:val="17"/>
        </w:rPr>
      </w:pPr>
    </w:p>
    <w:p>
      <w:pPr>
        <w:pStyle w:val="ListParagraph"/>
        <w:numPr>
          <w:ilvl w:val="0"/>
          <w:numId w:val="1"/>
        </w:numPr>
        <w:tabs>
          <w:tab w:pos="2043" w:val="left" w:leader="none"/>
        </w:tabs>
        <w:spacing w:line="240" w:lineRule="auto" w:before="0" w:after="0"/>
        <w:ind w:left="2042" w:right="0" w:hanging="123"/>
        <w:jc w:val="both"/>
        <w:rPr>
          <w:sz w:val="20"/>
        </w:rPr>
      </w:pPr>
      <w:r>
        <w:rPr>
          <w:sz w:val="20"/>
        </w:rPr>
        <w:t>22 de diciembre de</w:t>
      </w:r>
      <w:r>
        <w:rPr>
          <w:spacing w:val="-3"/>
          <w:sz w:val="20"/>
        </w:rPr>
        <w:t> </w:t>
      </w:r>
      <w:r>
        <w:rPr>
          <w:sz w:val="20"/>
        </w:rPr>
        <w:t>2015</w:t>
      </w:r>
    </w:p>
    <w:p>
      <w:pPr>
        <w:pStyle w:val="BodyText"/>
        <w:spacing w:before="4"/>
        <w:rPr>
          <w:sz w:val="17"/>
        </w:rPr>
      </w:pPr>
    </w:p>
    <w:p>
      <w:pPr>
        <w:pStyle w:val="ListParagraph"/>
        <w:numPr>
          <w:ilvl w:val="0"/>
          <w:numId w:val="1"/>
        </w:numPr>
        <w:tabs>
          <w:tab w:pos="2043" w:val="left" w:leader="none"/>
        </w:tabs>
        <w:spacing w:line="240" w:lineRule="auto" w:before="0" w:after="0"/>
        <w:ind w:left="2042" w:right="0" w:hanging="123"/>
        <w:jc w:val="both"/>
        <w:rPr>
          <w:sz w:val="20"/>
        </w:rPr>
      </w:pPr>
      <w:r>
        <w:rPr>
          <w:sz w:val="20"/>
        </w:rPr>
        <w:t>23 de diciembre de</w:t>
      </w:r>
      <w:r>
        <w:rPr>
          <w:spacing w:val="-3"/>
          <w:sz w:val="20"/>
        </w:rPr>
        <w:t> </w:t>
      </w:r>
      <w:r>
        <w:rPr>
          <w:sz w:val="20"/>
        </w:rPr>
        <w:t>2016</w:t>
      </w:r>
    </w:p>
    <w:p>
      <w:pPr>
        <w:pStyle w:val="BodyText"/>
        <w:spacing w:before="4"/>
        <w:rPr>
          <w:sz w:val="17"/>
        </w:rPr>
      </w:pPr>
    </w:p>
    <w:p>
      <w:pPr>
        <w:pStyle w:val="ListParagraph"/>
        <w:numPr>
          <w:ilvl w:val="0"/>
          <w:numId w:val="1"/>
        </w:numPr>
        <w:tabs>
          <w:tab w:pos="2043" w:val="left" w:leader="none"/>
        </w:tabs>
        <w:spacing w:line="240" w:lineRule="auto" w:before="0" w:after="0"/>
        <w:ind w:left="2042" w:right="0" w:hanging="123"/>
        <w:jc w:val="both"/>
        <w:rPr>
          <w:sz w:val="20"/>
        </w:rPr>
      </w:pPr>
      <w:r>
        <w:rPr>
          <w:sz w:val="20"/>
        </w:rPr>
        <w:t>26 de diciembre de</w:t>
      </w:r>
      <w:r>
        <w:rPr>
          <w:spacing w:val="-3"/>
          <w:sz w:val="20"/>
        </w:rPr>
        <w:t> </w:t>
      </w:r>
      <w:r>
        <w:rPr>
          <w:sz w:val="20"/>
        </w:rPr>
        <w:t>2017</w:t>
      </w:r>
    </w:p>
    <w:p>
      <w:pPr>
        <w:pStyle w:val="BodyText"/>
        <w:rPr>
          <w:sz w:val="26"/>
        </w:rPr>
      </w:pPr>
    </w:p>
    <w:p>
      <w:pPr>
        <w:spacing w:before="0"/>
        <w:ind w:left="2033" w:right="0" w:firstLine="0"/>
        <w:jc w:val="left"/>
        <w:rPr>
          <w:b/>
          <w:sz w:val="16"/>
        </w:rPr>
      </w:pPr>
      <w:r>
        <w:rPr/>
        <w:pict>
          <v:group style="position:absolute;margin-left:155.720001pt;margin-top:-2.876092pt;width:.5pt;height:36.65pt;mso-position-horizontal-relative:page;mso-position-vertical-relative:paragraph;z-index:251663360" coordorigin="3114,-58" coordsize="10,733">
            <v:line style="position:absolute" from="3119,-58" to="3119,246" stroked="true" strokeweight=".48pt" strokecolor="#000000">
              <v:stroke dashstyle="solid"/>
            </v:line>
            <v:line style="position:absolute" from="3119,246" to="3119,430" stroked="true" strokeweight=".48pt" strokecolor="#000000">
              <v:stroke dashstyle="solid"/>
            </v:line>
            <v:line style="position:absolute" from="3119,430" to="3119,675" stroked="true" strokeweight=".48pt" strokecolor="#000000">
              <v:stroke dashstyle="solid"/>
            </v:line>
            <w10:wrap type="none"/>
          </v:group>
        </w:pict>
      </w:r>
      <w:r>
        <w:rPr>
          <w:b/>
          <w:sz w:val="16"/>
        </w:rPr>
        <w:t>Comentarios, aclaraciones y criterios de aplicación</w:t>
      </w:r>
    </w:p>
    <w:p>
      <w:pPr>
        <w:spacing w:before="59"/>
        <w:ind w:left="2033" w:right="962" w:firstLine="0"/>
        <w:jc w:val="left"/>
        <w:rPr>
          <w:sz w:val="16"/>
        </w:rPr>
      </w:pPr>
      <w:r>
        <w:rPr>
          <w:sz w:val="16"/>
        </w:rPr>
        <w:t>Los comentarios que ya existían en versiones anteriores figuran con este tipo de letra, con esta sangría y con una línea vertical fina en el margen izquierdo.</w:t>
      </w:r>
    </w:p>
    <w:p>
      <w:pPr>
        <w:pStyle w:val="BodyText"/>
        <w:spacing w:before="4"/>
        <w:rPr>
          <w:sz w:val="14"/>
        </w:rPr>
      </w:pPr>
    </w:p>
    <w:p>
      <w:pPr>
        <w:spacing w:before="94"/>
        <w:ind w:left="2033" w:right="958" w:firstLine="0"/>
        <w:jc w:val="both"/>
        <w:rPr>
          <w:sz w:val="16"/>
        </w:rPr>
      </w:pPr>
      <w:r>
        <w:rPr/>
        <w:pict>
          <v:group style="position:absolute;margin-left:154.759995pt;margin-top:1.823903pt;width:1.45pt;height:33.6pt;mso-position-horizontal-relative:page;mso-position-vertical-relative:paragraph;z-index:251664384" coordorigin="3095,36" coordsize="29,672">
            <v:line style="position:absolute" from="3100,36" to="3100,280" stroked="true" strokeweight=".48pt" strokecolor="#000000">
              <v:stroke dashstyle="solid"/>
            </v:line>
            <v:line style="position:absolute" from="3119,36" to="3119,280" stroked="true" strokeweight=".48pt" strokecolor="#000000">
              <v:stroke dashstyle="solid"/>
            </v:line>
            <v:line style="position:absolute" from="3100,280" to="3100,464" stroked="true" strokeweight=".48pt" strokecolor="#000000">
              <v:stroke dashstyle="solid"/>
            </v:line>
            <v:line style="position:absolute" from="3119,280" to="3119,464" stroked="true" strokeweight=".48pt" strokecolor="#000000">
              <v:stroke dashstyle="solid"/>
            </v:line>
            <v:line style="position:absolute" from="3100,464" to="3100,708" stroked="true" strokeweight=".48pt" strokecolor="#000000">
              <v:stroke dashstyle="solid"/>
            </v:line>
            <v:line style="position:absolute" from="3119,464" to="3119,708" stroked="true" strokeweight=".48pt" strokecolor="#000000">
              <v:stroke dashstyle="solid"/>
            </v:line>
            <w10:wrap type="none"/>
          </v:group>
        </w:pict>
      </w:r>
      <w:r>
        <w:rPr>
          <w:sz w:val="16"/>
        </w:rPr>
        <w:t>Los comentarios, aclaraciones y criterios de aplicación que se incorporan o modifican significativamente en esta actualización figuran con una doble línea vertical en el margen izquierdo.</w:t>
      </w:r>
    </w:p>
    <w:p>
      <w:pPr>
        <w:spacing w:after="0"/>
        <w:jc w:val="both"/>
        <w:rPr>
          <w:sz w:val="16"/>
        </w:rPr>
        <w:sectPr>
          <w:headerReference w:type="default" r:id="rId5"/>
          <w:footerReference w:type="default" r:id="rId6"/>
          <w:pgSz w:w="11910" w:h="16840"/>
          <w:pgMar w:header="714" w:footer="642" w:top="1320" w:bottom="840" w:left="1200" w:right="740"/>
          <w:pgNumType w:start="2"/>
        </w:sectPr>
      </w:pPr>
    </w:p>
    <w:p>
      <w:pPr>
        <w:pStyle w:val="Heading1"/>
        <w:spacing w:line="240" w:lineRule="auto"/>
        <w:ind w:left="501"/>
      </w:pPr>
      <w:r>
        <w:rPr/>
        <w:t>Introducción</w:t>
      </w:r>
    </w:p>
    <w:p>
      <w:pPr>
        <w:pStyle w:val="Heading2"/>
        <w:numPr>
          <w:ilvl w:val="0"/>
          <w:numId w:val="2"/>
        </w:numPr>
        <w:tabs>
          <w:tab w:pos="1209" w:val="left" w:leader="none"/>
          <w:tab w:pos="1210" w:val="left" w:leader="none"/>
        </w:tabs>
        <w:spacing w:line="321" w:lineRule="exact" w:before="289" w:after="0"/>
        <w:ind w:left="1210" w:right="0" w:hanging="709"/>
        <w:jc w:val="left"/>
      </w:pPr>
      <w:r>
        <w:rPr/>
        <w:t>Objeto</w:t>
      </w:r>
    </w:p>
    <w:p>
      <w:pPr>
        <w:pStyle w:val="BodyText"/>
        <w:ind w:left="501" w:right="957"/>
        <w:jc w:val="both"/>
      </w:pPr>
      <w:r>
        <w:rPr/>
        <w:t>Este Documento Básico (DB) tiene por objeto establecer reglas y procedimientos que permiten cumplir las exigencias básicas de salubridad. Las secciones de este DB se corresponden con las exigencias básicas HS 1 a HS 5. La correcta aplicación de cada sección supone el cumplimiento de la exigencia básica correspondiente. La correcta aplicación del conjunto del DB supone que se satisface el requisito básico "Higiene, salud y protección del medio ambiente".</w:t>
      </w:r>
    </w:p>
    <w:p>
      <w:pPr>
        <w:pStyle w:val="BodyText"/>
      </w:pPr>
    </w:p>
    <w:p>
      <w:pPr>
        <w:pStyle w:val="BodyText"/>
        <w:ind w:left="501" w:right="962"/>
        <w:jc w:val="both"/>
      </w:pPr>
      <w:r>
        <w:rPr/>
        <w:t>Tanto el objetivo del requisito básico " Higiene, salud y protección del medio ambiente ", como las exigencias básicas se establecen el artículo 13 de la Parte I de este CTE y son los siguientes:</w:t>
      </w:r>
    </w:p>
    <w:p>
      <w:pPr>
        <w:pStyle w:val="BodyText"/>
        <w:spacing w:before="10"/>
        <w:rPr>
          <w:sz w:val="27"/>
        </w:rPr>
      </w:pPr>
    </w:p>
    <w:p>
      <w:pPr>
        <w:pStyle w:val="Heading5"/>
        <w:ind w:left="501"/>
        <w:jc w:val="both"/>
      </w:pPr>
      <w:r>
        <w:rPr/>
        <w:pict>
          <v:group style="position:absolute;margin-left:79.160004pt;margin-top:-1.420137pt;width:437.15pt;height:507.55pt;mso-position-horizontal-relative:page;mso-position-vertical-relative:paragraph;z-index:-267307008" coordorigin="1583,-28" coordsize="8743,10151">
            <v:line style="position:absolute" from="1593,-24" to="10316,-24" stroked="true" strokeweight=".48001pt" strokecolor="#000000">
              <v:stroke dashstyle="solid"/>
            </v:line>
            <v:rect style="position:absolute;left:1583;top:10112;width:10;height:10" filled="true" fillcolor="#000000" stroked="false">
              <v:fill type="solid"/>
            </v:rect>
            <v:line style="position:absolute" from="1593,10117" to="10316,10117" stroked="true" strokeweight=".47998pt" strokecolor="#000000">
              <v:stroke dashstyle="solid"/>
            </v:line>
            <v:rect style="position:absolute;left:10316;top:10112;width:10;height:10" filled="true" fillcolor="#000000" stroked="false">
              <v:fill type="solid"/>
            </v:rect>
            <v:line style="position:absolute" from="1588,-28" to="1588,10112" stroked="true" strokeweight=".48pt" strokecolor="#000000">
              <v:stroke dashstyle="solid"/>
            </v:line>
            <v:line style="position:absolute" from="10321,-28" to="10321,10112" stroked="true" strokeweight=".47998pt" strokecolor="#000000">
              <v:stroke dashstyle="solid"/>
            </v:line>
            <w10:wrap type="none"/>
          </v:group>
        </w:pict>
      </w:r>
      <w:r>
        <w:rPr/>
        <w:t>Artículo 13. Exigencias básicas de salubridad (HS)</w:t>
      </w:r>
    </w:p>
    <w:p>
      <w:pPr>
        <w:pStyle w:val="ListParagraph"/>
        <w:numPr>
          <w:ilvl w:val="0"/>
          <w:numId w:val="3"/>
        </w:numPr>
        <w:tabs>
          <w:tab w:pos="862" w:val="left" w:leader="none"/>
        </w:tabs>
        <w:spacing w:line="240" w:lineRule="auto" w:before="60" w:after="0"/>
        <w:ind w:left="861" w:right="957" w:hanging="360"/>
        <w:jc w:val="both"/>
        <w:rPr>
          <w:sz w:val="20"/>
        </w:rPr>
      </w:pPr>
      <w:r>
        <w:rPr>
          <w:sz w:val="20"/>
        </w:rPr>
        <w:t>El objetivo del requisito básico “Higiene, salud y protección del medio ambiente”, tratado en adelante bajo el término salubridad, consiste en reducir a límites aceptables el </w:t>
      </w:r>
      <w:r>
        <w:rPr>
          <w:i/>
          <w:sz w:val="20"/>
        </w:rPr>
        <w:t>riesgo </w:t>
      </w:r>
      <w:r>
        <w:rPr>
          <w:sz w:val="20"/>
        </w:rPr>
        <w:t>de que los </w:t>
      </w:r>
      <w:r>
        <w:rPr>
          <w:i/>
          <w:sz w:val="20"/>
        </w:rPr>
        <w:t>usuarios</w:t>
      </w:r>
      <w:r>
        <w:rPr>
          <w:sz w:val="20"/>
        </w:rPr>
        <w:t>, dentro de los </w:t>
      </w:r>
      <w:r>
        <w:rPr>
          <w:i/>
          <w:sz w:val="20"/>
        </w:rPr>
        <w:t>edificios </w:t>
      </w:r>
      <w:r>
        <w:rPr>
          <w:sz w:val="20"/>
        </w:rPr>
        <w:t>y en condiciones normales de utilización, padezcan molestias o enfermedades, así como el </w:t>
      </w:r>
      <w:r>
        <w:rPr>
          <w:i/>
          <w:sz w:val="20"/>
        </w:rPr>
        <w:t>riesgo </w:t>
      </w:r>
      <w:r>
        <w:rPr>
          <w:sz w:val="20"/>
        </w:rPr>
        <w:t>de que los </w:t>
      </w:r>
      <w:r>
        <w:rPr>
          <w:i/>
          <w:sz w:val="20"/>
        </w:rPr>
        <w:t>edificios </w:t>
      </w:r>
      <w:r>
        <w:rPr>
          <w:sz w:val="20"/>
        </w:rPr>
        <w:t>se deterioren y de que deterioren el medio ambiente en su entorno inmediato, como consecuencia de las características de su </w:t>
      </w:r>
      <w:r>
        <w:rPr>
          <w:i/>
          <w:sz w:val="20"/>
        </w:rPr>
        <w:t>proyecto</w:t>
      </w:r>
      <w:r>
        <w:rPr>
          <w:sz w:val="20"/>
        </w:rPr>
        <w:t>, </w:t>
      </w:r>
      <w:r>
        <w:rPr>
          <w:i/>
          <w:sz w:val="20"/>
        </w:rPr>
        <w:t>construcción</w:t>
      </w:r>
      <w:r>
        <w:rPr>
          <w:sz w:val="20"/>
        </w:rPr>
        <w:t>, </w:t>
      </w:r>
      <w:r>
        <w:rPr>
          <w:i/>
          <w:sz w:val="20"/>
        </w:rPr>
        <w:t>uso </w:t>
      </w:r>
      <w:r>
        <w:rPr>
          <w:sz w:val="20"/>
        </w:rPr>
        <w:t>y</w:t>
      </w:r>
      <w:r>
        <w:rPr>
          <w:spacing w:val="-4"/>
          <w:sz w:val="20"/>
        </w:rPr>
        <w:t> </w:t>
      </w:r>
      <w:r>
        <w:rPr>
          <w:i/>
          <w:sz w:val="20"/>
        </w:rPr>
        <w:t>mantenimiento</w:t>
      </w:r>
      <w:r>
        <w:rPr>
          <w:sz w:val="20"/>
        </w:rPr>
        <w:t>.</w:t>
      </w:r>
    </w:p>
    <w:p>
      <w:pPr>
        <w:pStyle w:val="ListParagraph"/>
        <w:numPr>
          <w:ilvl w:val="0"/>
          <w:numId w:val="3"/>
        </w:numPr>
        <w:tabs>
          <w:tab w:pos="862" w:val="left" w:leader="none"/>
        </w:tabs>
        <w:spacing w:line="240" w:lineRule="auto" w:before="60" w:after="0"/>
        <w:ind w:left="861" w:right="959" w:hanging="360"/>
        <w:jc w:val="both"/>
        <w:rPr>
          <w:sz w:val="20"/>
        </w:rPr>
      </w:pPr>
      <w:r>
        <w:rPr>
          <w:sz w:val="20"/>
        </w:rPr>
        <w:t>Para satisfacer este objetivo, los </w:t>
      </w:r>
      <w:r>
        <w:rPr>
          <w:i/>
          <w:sz w:val="20"/>
        </w:rPr>
        <w:t>edificios </w:t>
      </w:r>
      <w:r>
        <w:rPr>
          <w:sz w:val="20"/>
        </w:rPr>
        <w:t>se proyectarán, construirán, mantendrán y utilizarán de tal forma que se cumplan las exigencias básicas que se establecen en los apartados</w:t>
      </w:r>
      <w:r>
        <w:rPr>
          <w:spacing w:val="-1"/>
          <w:sz w:val="20"/>
        </w:rPr>
        <w:t> </w:t>
      </w:r>
      <w:r>
        <w:rPr>
          <w:sz w:val="20"/>
        </w:rPr>
        <w:t>siguientes.</w:t>
      </w:r>
    </w:p>
    <w:p>
      <w:pPr>
        <w:pStyle w:val="ListParagraph"/>
        <w:numPr>
          <w:ilvl w:val="0"/>
          <w:numId w:val="3"/>
        </w:numPr>
        <w:tabs>
          <w:tab w:pos="862" w:val="left" w:leader="none"/>
        </w:tabs>
        <w:spacing w:line="240" w:lineRule="auto" w:before="60" w:after="0"/>
        <w:ind w:left="861" w:right="958" w:hanging="360"/>
        <w:jc w:val="both"/>
        <w:rPr>
          <w:sz w:val="20"/>
        </w:rPr>
      </w:pPr>
      <w:r>
        <w:rPr>
          <w:sz w:val="20"/>
        </w:rPr>
        <w:t>El Documento Básico “DB HS Salubridad” especifica parámetros objetivos y  procedimientos cuyo cumplimiento asegura la satisfacción de las exigencias básicas y la superación de los niveles mínimos de calidad propios del requisito básico de</w:t>
      </w:r>
      <w:r>
        <w:rPr>
          <w:spacing w:val="-10"/>
          <w:sz w:val="20"/>
        </w:rPr>
        <w:t> </w:t>
      </w:r>
      <w:r>
        <w:rPr>
          <w:sz w:val="20"/>
        </w:rPr>
        <w:t>salubridad.</w:t>
      </w:r>
    </w:p>
    <w:p>
      <w:pPr>
        <w:pStyle w:val="Heading5"/>
        <w:numPr>
          <w:ilvl w:val="1"/>
          <w:numId w:val="4"/>
        </w:numPr>
        <w:tabs>
          <w:tab w:pos="1210" w:val="left" w:leader="none"/>
        </w:tabs>
        <w:spacing w:line="240" w:lineRule="auto" w:before="161" w:after="0"/>
        <w:ind w:left="1210" w:right="0" w:hanging="709"/>
        <w:jc w:val="both"/>
      </w:pPr>
      <w:r>
        <w:rPr/>
        <w:t>Exigencia básica HS 1: Protección frente a la</w:t>
      </w:r>
      <w:r>
        <w:rPr>
          <w:spacing w:val="-2"/>
        </w:rPr>
        <w:t> </w:t>
      </w:r>
      <w:r>
        <w:rPr/>
        <w:t>humedad</w:t>
      </w:r>
    </w:p>
    <w:p>
      <w:pPr>
        <w:pStyle w:val="BodyText"/>
        <w:spacing w:before="59"/>
        <w:ind w:left="501" w:right="960"/>
        <w:jc w:val="both"/>
      </w:pPr>
      <w:r>
        <w:rPr/>
        <w:t>Se limitará el </w:t>
      </w:r>
      <w:r>
        <w:rPr>
          <w:i/>
        </w:rPr>
        <w:t>riesgo </w:t>
      </w:r>
      <w:r>
        <w:rPr/>
        <w:t>previsible de presencia inadecuada de agua o humedad en el interior de los edificios y en sus </w:t>
      </w:r>
      <w:r>
        <w:rPr>
          <w:i/>
        </w:rPr>
        <w:t>cerramientos </w:t>
      </w:r>
      <w:r>
        <w:rPr/>
        <w:t>como consecuencia del agua procedente de precipitaciones atmosféricas, de escorrentías, del terreno o de condensaciones, disponiendo medios que impidan su penetración o, en su caso permitan su evacuación sin producción de</w:t>
      </w:r>
      <w:r>
        <w:rPr>
          <w:spacing w:val="-11"/>
        </w:rPr>
        <w:t> </w:t>
      </w:r>
      <w:r>
        <w:rPr/>
        <w:t>daños.</w:t>
      </w:r>
    </w:p>
    <w:p>
      <w:pPr>
        <w:pStyle w:val="Heading5"/>
        <w:numPr>
          <w:ilvl w:val="1"/>
          <w:numId w:val="4"/>
        </w:numPr>
        <w:tabs>
          <w:tab w:pos="1210" w:val="left" w:leader="none"/>
        </w:tabs>
        <w:spacing w:line="240" w:lineRule="auto" w:before="160" w:after="0"/>
        <w:ind w:left="1210" w:right="0" w:hanging="709"/>
        <w:jc w:val="both"/>
      </w:pPr>
      <w:r>
        <w:rPr/>
        <w:t>Exigencia básica HS 2: Recogida y evacuación de</w:t>
      </w:r>
      <w:r>
        <w:rPr>
          <w:spacing w:val="-5"/>
        </w:rPr>
        <w:t> </w:t>
      </w:r>
      <w:r>
        <w:rPr/>
        <w:t>residuos</w:t>
      </w:r>
    </w:p>
    <w:p>
      <w:pPr>
        <w:pStyle w:val="BodyText"/>
        <w:spacing w:before="59"/>
        <w:ind w:left="501" w:right="958"/>
        <w:jc w:val="both"/>
      </w:pPr>
      <w:r>
        <w:rPr/>
        <w:t>Los </w:t>
      </w:r>
      <w:r>
        <w:rPr>
          <w:i/>
        </w:rPr>
        <w:t>edificios </w:t>
      </w:r>
      <w:r>
        <w:rPr/>
        <w:t>dispondrán de espacios y medios para extraer los residuos ordinarios generados en ellos de forma acorde con el sistema público de recogida de tal forma que se facilite la adecuada separación en origen de dichos residuos, la recogida selectiva de los mismos y su posterior gestión.</w:t>
      </w:r>
    </w:p>
    <w:p>
      <w:pPr>
        <w:pStyle w:val="Heading5"/>
        <w:numPr>
          <w:ilvl w:val="1"/>
          <w:numId w:val="4"/>
        </w:numPr>
        <w:tabs>
          <w:tab w:pos="1210" w:val="left" w:leader="none"/>
        </w:tabs>
        <w:spacing w:line="240" w:lineRule="auto" w:before="162" w:after="0"/>
        <w:ind w:left="1210" w:right="0" w:hanging="709"/>
        <w:jc w:val="both"/>
      </w:pPr>
      <w:r>
        <w:rPr/>
        <w:t>Exigencia básica HS 3: Calidad del aire</w:t>
      </w:r>
      <w:r>
        <w:rPr>
          <w:spacing w:val="-4"/>
        </w:rPr>
        <w:t> </w:t>
      </w:r>
      <w:r>
        <w:rPr/>
        <w:t>interior</w:t>
      </w:r>
    </w:p>
    <w:p>
      <w:pPr>
        <w:pStyle w:val="ListParagraph"/>
        <w:numPr>
          <w:ilvl w:val="0"/>
          <w:numId w:val="5"/>
        </w:numPr>
        <w:tabs>
          <w:tab w:pos="956" w:val="left" w:leader="none"/>
        </w:tabs>
        <w:spacing w:line="240" w:lineRule="auto" w:before="59" w:after="0"/>
        <w:ind w:left="955" w:right="958" w:hanging="454"/>
        <w:jc w:val="both"/>
        <w:rPr>
          <w:sz w:val="20"/>
        </w:rPr>
      </w:pPr>
      <w:r>
        <w:rPr>
          <w:sz w:val="20"/>
        </w:rPr>
        <w:t>Los </w:t>
      </w:r>
      <w:r>
        <w:rPr>
          <w:i/>
          <w:sz w:val="20"/>
        </w:rPr>
        <w:t>edificios </w:t>
      </w:r>
      <w:r>
        <w:rPr>
          <w:sz w:val="20"/>
        </w:rPr>
        <w:t>dispondrán de medios para que sus </w:t>
      </w:r>
      <w:r>
        <w:rPr>
          <w:i/>
          <w:sz w:val="20"/>
        </w:rPr>
        <w:t>recintos </w:t>
      </w:r>
      <w:r>
        <w:rPr>
          <w:sz w:val="20"/>
        </w:rPr>
        <w:t>se puedan ventilar adecuadamente, eliminando los contaminantes que se produzcan de forma habitual durante el uso normal de los edificios, de forma que se aporte un caudal suficiente de aire exterior y se garantice la extracción y expulsión del aire viciado por los</w:t>
      </w:r>
      <w:r>
        <w:rPr>
          <w:spacing w:val="-9"/>
          <w:sz w:val="20"/>
        </w:rPr>
        <w:t> </w:t>
      </w:r>
      <w:r>
        <w:rPr>
          <w:sz w:val="20"/>
        </w:rPr>
        <w:t>contaminantes.</w:t>
      </w:r>
    </w:p>
    <w:p>
      <w:pPr>
        <w:pStyle w:val="ListParagraph"/>
        <w:numPr>
          <w:ilvl w:val="0"/>
          <w:numId w:val="5"/>
        </w:numPr>
        <w:tabs>
          <w:tab w:pos="956" w:val="left" w:leader="none"/>
        </w:tabs>
        <w:spacing w:line="240" w:lineRule="auto" w:before="60" w:after="0"/>
        <w:ind w:left="955" w:right="958" w:hanging="454"/>
        <w:jc w:val="both"/>
        <w:rPr>
          <w:sz w:val="20"/>
        </w:rPr>
      </w:pPr>
      <w:r>
        <w:rPr>
          <w:sz w:val="20"/>
        </w:rPr>
        <w:t>Para limitar el riesgo de contaminación del aire interior de los edificios y del entorno exterior en fachadas y patios, la evacuación de productos de combustión de las instalaciones térmicas se producirá, con carácter general, por la cubierta del edificio, con independencia del tipo de combustible y del aparato que se utilice, de acuerdo con la reglamentación específica sobre instalaciones</w:t>
      </w:r>
      <w:r>
        <w:rPr>
          <w:spacing w:val="-2"/>
          <w:sz w:val="20"/>
        </w:rPr>
        <w:t> </w:t>
      </w:r>
      <w:r>
        <w:rPr>
          <w:sz w:val="20"/>
        </w:rPr>
        <w:t>térmicas.</w:t>
      </w:r>
    </w:p>
    <w:p>
      <w:pPr>
        <w:pStyle w:val="Heading5"/>
        <w:numPr>
          <w:ilvl w:val="1"/>
          <w:numId w:val="4"/>
        </w:numPr>
        <w:tabs>
          <w:tab w:pos="1210" w:val="left" w:leader="none"/>
        </w:tabs>
        <w:spacing w:line="240" w:lineRule="auto" w:before="161" w:after="0"/>
        <w:ind w:left="1210" w:right="0" w:hanging="709"/>
        <w:jc w:val="both"/>
      </w:pPr>
      <w:r>
        <w:rPr/>
        <w:t>Exigencia básica HS 4: Suministro de</w:t>
      </w:r>
      <w:r>
        <w:rPr>
          <w:spacing w:val="-4"/>
        </w:rPr>
        <w:t> </w:t>
      </w:r>
      <w:r>
        <w:rPr/>
        <w:t>agua</w:t>
      </w:r>
    </w:p>
    <w:p>
      <w:pPr>
        <w:pStyle w:val="BodyText"/>
        <w:spacing w:before="60"/>
        <w:ind w:left="501" w:right="958"/>
        <w:jc w:val="both"/>
      </w:pPr>
      <w:r>
        <w:rPr/>
        <w:t>Los </w:t>
      </w:r>
      <w:r>
        <w:rPr>
          <w:i/>
        </w:rPr>
        <w:t>edificios </w:t>
      </w:r>
      <w:r>
        <w:rPr/>
        <w:t>dispondrán de medios adecuados para suministrar al equipamiento higiénico previsto agua apta para el consumo de forma sostenible, aportando caudales suficientes para su funcionamiento, sin alteración de las propiedades de aptitud para el consumo e impidiendo los posibles retornos que puedan contaminar la red, incorporando medios que permitan el ahorro y el control del agua.</w:t>
      </w:r>
    </w:p>
    <w:p>
      <w:pPr>
        <w:spacing w:after="0"/>
        <w:jc w:val="both"/>
        <w:sectPr>
          <w:pgSz w:w="11910" w:h="16840"/>
          <w:pgMar w:header="714" w:footer="642" w:top="1320" w:bottom="840" w:left="1200" w:right="740"/>
        </w:sectPr>
      </w:pPr>
    </w:p>
    <w:p>
      <w:pPr>
        <w:pStyle w:val="BodyText"/>
        <w:spacing w:before="1"/>
        <w:rPr>
          <w:sz w:val="8"/>
        </w:rPr>
      </w:pPr>
    </w:p>
    <w:p>
      <w:pPr>
        <w:pStyle w:val="BodyText"/>
        <w:ind w:left="383"/>
      </w:pPr>
      <w:r>
        <w:rPr/>
        <w:pict>
          <v:shape style="width:436.7pt;height:94.05pt;mso-position-horizontal-relative:char;mso-position-vertical-relative:line" type="#_x0000_t202" filled="false" stroked="true" strokeweight=".47998pt" strokecolor="#000000">
            <w10:anchorlock/>
            <v:textbox inset="0,0,0,0">
              <w:txbxContent>
                <w:p>
                  <w:pPr>
                    <w:pStyle w:val="BodyText"/>
                    <w:spacing w:before="17"/>
                    <w:ind w:left="109" w:right="110"/>
                    <w:jc w:val="both"/>
                  </w:pPr>
                  <w:r>
                    <w:rPr/>
                    <w:t>Los equipos de producción de agua caliente dotados de sistemas de acumulación y los puntos terminales de utilización tendrán unas características tales que eviten el desarrollo de gérmenes</w:t>
                  </w:r>
                  <w:r>
                    <w:rPr>
                      <w:spacing w:val="-1"/>
                    </w:rPr>
                    <w:t> </w:t>
                  </w:r>
                  <w:r>
                    <w:rPr/>
                    <w:t>patógenos.</w:t>
                  </w:r>
                </w:p>
                <w:p>
                  <w:pPr>
                    <w:spacing w:before="161"/>
                    <w:ind w:left="109" w:right="0" w:firstLine="0"/>
                    <w:jc w:val="both"/>
                    <w:rPr>
                      <w:b/>
                      <w:sz w:val="20"/>
                    </w:rPr>
                  </w:pPr>
                  <w:r>
                    <w:rPr>
                      <w:b/>
                      <w:sz w:val="20"/>
                    </w:rPr>
                    <w:t>13.5 Exigencia básica HS 5: Evacuación de aguas</w:t>
                  </w:r>
                </w:p>
                <w:p>
                  <w:pPr>
                    <w:pStyle w:val="BodyText"/>
                    <w:spacing w:before="60"/>
                    <w:ind w:left="109" w:right="110"/>
                    <w:jc w:val="both"/>
                  </w:pPr>
                  <w:r>
                    <w:rPr/>
                    <w:t>Los </w:t>
                  </w:r>
                  <w:r>
                    <w:rPr>
                      <w:i/>
                    </w:rPr>
                    <w:t>edificios </w:t>
                  </w:r>
                  <w:r>
                    <w:rPr/>
                    <w:t>dispondrán de medios adecuados para extraer las aguas residuales generadas en ellos de forma independiente o conjunta con las precipitaciones atmosféricas y con las escorrentías.</w:t>
                  </w:r>
                </w:p>
              </w:txbxContent>
            </v:textbox>
            <v:stroke dashstyle="solid"/>
          </v:shape>
        </w:pict>
      </w:r>
      <w:r>
        <w:rPr/>
      </w:r>
    </w:p>
    <w:p>
      <w:pPr>
        <w:pStyle w:val="BodyText"/>
        <w:spacing w:before="9"/>
        <w:rPr>
          <w:sz w:val="21"/>
        </w:rPr>
      </w:pPr>
    </w:p>
    <w:p>
      <w:pPr>
        <w:pStyle w:val="Heading2"/>
        <w:numPr>
          <w:ilvl w:val="0"/>
          <w:numId w:val="2"/>
        </w:numPr>
        <w:tabs>
          <w:tab w:pos="1209" w:val="left" w:leader="none"/>
          <w:tab w:pos="1210" w:val="left" w:leader="none"/>
        </w:tabs>
        <w:spacing w:line="321" w:lineRule="exact" w:before="91" w:after="0"/>
        <w:ind w:left="1210" w:right="0" w:hanging="709"/>
        <w:jc w:val="left"/>
      </w:pPr>
      <w:r>
        <w:rPr/>
        <w:t>Ámbito de</w:t>
      </w:r>
      <w:r>
        <w:rPr>
          <w:spacing w:val="-2"/>
        </w:rPr>
        <w:t> </w:t>
      </w:r>
      <w:r>
        <w:rPr/>
        <w:t>aplicación</w:t>
      </w:r>
    </w:p>
    <w:p>
      <w:pPr>
        <w:pStyle w:val="BodyText"/>
        <w:ind w:left="501" w:right="962"/>
        <w:jc w:val="both"/>
      </w:pPr>
      <w:r>
        <w:rPr/>
        <w:t>El ámbito de aplicación en este DB se especifica, para cada sección de las que se compone el mismo, en sus respectivos apartados.</w:t>
      </w:r>
    </w:p>
    <w:p>
      <w:pPr>
        <w:pStyle w:val="BodyText"/>
        <w:spacing w:before="10"/>
        <w:rPr>
          <w:sz w:val="19"/>
        </w:rPr>
      </w:pPr>
    </w:p>
    <w:p>
      <w:pPr>
        <w:pStyle w:val="BodyText"/>
        <w:ind w:left="501" w:right="960"/>
        <w:jc w:val="both"/>
      </w:pPr>
      <w:r>
        <w:rPr/>
        <w:t>El contenido de este DB se refiere únicamente a las exigencias básicas relacionadas con el requisito básico "Higiene, salud y protección del medio ambiente". También deben cumplirse las exigencias básicas de los demás requisitos básicos, lo que se posibilita mediante la aplicación del DB correspondiente a cada uno de</w:t>
      </w:r>
      <w:r>
        <w:rPr>
          <w:spacing w:val="-5"/>
        </w:rPr>
        <w:t> </w:t>
      </w:r>
      <w:r>
        <w:rPr/>
        <w:t>ellos.</w:t>
      </w:r>
    </w:p>
    <w:p>
      <w:pPr>
        <w:pStyle w:val="BodyText"/>
        <w:spacing w:before="2"/>
        <w:rPr>
          <w:sz w:val="28"/>
        </w:rPr>
      </w:pPr>
    </w:p>
    <w:p>
      <w:pPr>
        <w:pStyle w:val="Heading2"/>
        <w:numPr>
          <w:ilvl w:val="0"/>
          <w:numId w:val="2"/>
        </w:numPr>
        <w:tabs>
          <w:tab w:pos="1209" w:val="left" w:leader="none"/>
          <w:tab w:pos="1210" w:val="left" w:leader="none"/>
        </w:tabs>
        <w:spacing w:line="321" w:lineRule="exact" w:before="0" w:after="0"/>
        <w:ind w:left="1210" w:right="0" w:hanging="709"/>
        <w:jc w:val="left"/>
      </w:pPr>
      <w:r>
        <w:rPr/>
        <w:t>Criterios generales de</w:t>
      </w:r>
      <w:r>
        <w:rPr>
          <w:spacing w:val="-2"/>
        </w:rPr>
        <w:t> </w:t>
      </w:r>
      <w:r>
        <w:rPr/>
        <w:t>aplicación</w:t>
      </w:r>
    </w:p>
    <w:p>
      <w:pPr>
        <w:pStyle w:val="BodyText"/>
        <w:ind w:left="501" w:right="960"/>
        <w:jc w:val="both"/>
      </w:pPr>
      <w:r>
        <w:rPr/>
        <w:t>Pueden utilizarse otras soluciones diferentes a las contenidas en este DB, en cuyo caso deberá seguirse el procedimiento establecido en el artículo 5 del CTE, y deberá documentarse en el proyecto el cumplimiento de las exigencias básicas.</w:t>
      </w:r>
    </w:p>
    <w:p>
      <w:pPr>
        <w:pStyle w:val="BodyText"/>
      </w:pPr>
    </w:p>
    <w:p>
      <w:pPr>
        <w:pStyle w:val="BodyText"/>
        <w:ind w:left="501" w:right="959"/>
        <w:jc w:val="both"/>
      </w:pPr>
      <w:r>
        <w:rPr/>
        <w:t>El “Catálogo de Elementos Constructivos del CTE” aporta valores para determinadas características técnicas exigidas en este documento básico. Los valores que el Catálogo asigna a soluciones constructivas que no se fabrican industrialmente sino que se generan en la obra tienen garantía legal en cuanto a su aplicación en los proyectos, mientras que para los productos de construcción fabricados industrialmente dichos valores tienen únicamente carácter genérico y</w:t>
      </w:r>
      <w:r>
        <w:rPr>
          <w:spacing w:val="-2"/>
        </w:rPr>
        <w:t> </w:t>
      </w:r>
      <w:r>
        <w:rPr/>
        <w:t>orientativo.</w:t>
      </w:r>
    </w:p>
    <w:p>
      <w:pPr>
        <w:pStyle w:val="BodyText"/>
      </w:pPr>
    </w:p>
    <w:p>
      <w:pPr>
        <w:pStyle w:val="BodyText"/>
        <w:spacing w:before="1"/>
        <w:ind w:left="501" w:right="956"/>
        <w:jc w:val="both"/>
      </w:pPr>
      <w:r>
        <w:rPr/>
        <w:t>Cuando se cita una disposición reglamentaria en este DB debe entenderse que se hace referencia a la versión vigente en el momento que se aplica el mismo. Cuando se cita una norma UNE, UNE-EN o UNE-EN ISO debe entenderse que se hace referencia a la versión que se indica, aun cuando exista una versión posterior, excepto cuando se trate de normas UNE correspondientes a normas EN o EN ISO cuya referencia haya sido publicada en el Diario Oficial de la Unión Europea en el marco de la aplicación de la Directiva 89/106/CEE sobre productos de construcción, en cuyo caso la cita debe relacionarse con la versión de dicha referencia.</w:t>
      </w:r>
    </w:p>
    <w:p>
      <w:pPr>
        <w:pStyle w:val="BodyText"/>
        <w:spacing w:before="1"/>
        <w:rPr>
          <w:sz w:val="28"/>
        </w:rPr>
      </w:pPr>
    </w:p>
    <w:p>
      <w:pPr>
        <w:pStyle w:val="Heading2"/>
        <w:numPr>
          <w:ilvl w:val="0"/>
          <w:numId w:val="2"/>
        </w:numPr>
        <w:tabs>
          <w:tab w:pos="1209" w:val="left" w:leader="none"/>
          <w:tab w:pos="1210" w:val="left" w:leader="none"/>
        </w:tabs>
        <w:spacing w:line="321" w:lineRule="exact" w:before="0" w:after="0"/>
        <w:ind w:left="1210" w:right="0" w:hanging="709"/>
        <w:jc w:val="left"/>
      </w:pPr>
      <w:r>
        <w:rPr/>
        <w:t>Condiciones particulares para el cumplimiento del DB</w:t>
      </w:r>
      <w:r>
        <w:rPr>
          <w:spacing w:val="-6"/>
        </w:rPr>
        <w:t> </w:t>
      </w:r>
      <w:r>
        <w:rPr/>
        <w:t>HS</w:t>
      </w:r>
    </w:p>
    <w:p>
      <w:pPr>
        <w:pStyle w:val="BodyText"/>
        <w:ind w:left="501" w:right="959"/>
        <w:jc w:val="both"/>
      </w:pPr>
      <w:r>
        <w:rPr/>
        <w:t>La aplicación de los procedimientos de este DB se llevará a cabo de acuerdo con las condiciones particulares que en el mismo se establecen y con las condiciones generales para el cumplimiento del CTE, las condiciones del proyecto, las condiciones en la ejecución de las obras y las condiciones del edificio que figuran en los artículos 5, 6, 7 y 8 respectivamente de la parte I del</w:t>
      </w:r>
      <w:r>
        <w:rPr>
          <w:spacing w:val="-2"/>
        </w:rPr>
        <w:t> </w:t>
      </w:r>
      <w:r>
        <w:rPr/>
        <w:t>CTE.</w:t>
      </w:r>
    </w:p>
    <w:p>
      <w:pPr>
        <w:pStyle w:val="BodyText"/>
        <w:rPr>
          <w:sz w:val="22"/>
        </w:rPr>
      </w:pPr>
    </w:p>
    <w:p>
      <w:pPr>
        <w:pStyle w:val="Heading2"/>
        <w:numPr>
          <w:ilvl w:val="0"/>
          <w:numId w:val="2"/>
        </w:numPr>
        <w:tabs>
          <w:tab w:pos="1209" w:val="left" w:leader="none"/>
          <w:tab w:pos="1210" w:val="left" w:leader="none"/>
        </w:tabs>
        <w:spacing w:line="321" w:lineRule="exact" w:before="130" w:after="0"/>
        <w:ind w:left="1210" w:right="0" w:hanging="709"/>
        <w:jc w:val="left"/>
      </w:pPr>
      <w:r>
        <w:rPr/>
        <w:t>Terminología</w:t>
      </w:r>
    </w:p>
    <w:p>
      <w:pPr>
        <w:pStyle w:val="BodyText"/>
        <w:ind w:left="501" w:right="956"/>
        <w:jc w:val="both"/>
      </w:pPr>
      <w:r>
        <w:rPr/>
        <w:t>A efectos de aplicación de este DB, los términos que figuran en letra cursiva deben utilizarse conforme al significado y a las condiciones que se establecen para cada uno de ellos, bien en los apéndices A de cada una de las secciones de este DB, o bien en el Anejo III de la Parte I de este CTE, cuando sean términos de uso común en el conjunto del Código.</w:t>
      </w:r>
    </w:p>
    <w:p>
      <w:pPr>
        <w:spacing w:after="0"/>
        <w:jc w:val="both"/>
        <w:sectPr>
          <w:pgSz w:w="11910" w:h="16840"/>
          <w:pgMar w:header="714" w:footer="642" w:top="1320" w:bottom="840" w:left="1200" w:right="740"/>
        </w:sectPr>
      </w:pPr>
    </w:p>
    <w:p>
      <w:pPr>
        <w:pStyle w:val="Heading1"/>
        <w:spacing w:line="240" w:lineRule="auto"/>
        <w:ind w:left="900" w:right="1355"/>
        <w:jc w:val="center"/>
      </w:pPr>
      <w:r>
        <w:rPr/>
        <w:t>Índice</w:t>
      </w:r>
    </w:p>
    <w:p>
      <w:pPr>
        <w:pStyle w:val="BodyText"/>
        <w:spacing w:before="10"/>
        <w:rPr>
          <w:b/>
          <w:sz w:val="31"/>
        </w:rPr>
      </w:pPr>
    </w:p>
    <w:p>
      <w:pPr>
        <w:pStyle w:val="Heading3"/>
        <w:ind w:left="501" w:firstLine="0"/>
      </w:pPr>
      <w:r>
        <w:rPr/>
        <w:t>Sección HS 1 Protección frente a la humedad</w:t>
      </w:r>
    </w:p>
    <w:p>
      <w:pPr>
        <w:pStyle w:val="Heading5"/>
        <w:numPr>
          <w:ilvl w:val="0"/>
          <w:numId w:val="6"/>
        </w:numPr>
        <w:tabs>
          <w:tab w:pos="861" w:val="left" w:leader="none"/>
          <w:tab w:pos="862" w:val="left" w:leader="none"/>
        </w:tabs>
        <w:spacing w:line="240" w:lineRule="auto" w:before="231" w:after="0"/>
        <w:ind w:left="862" w:right="0" w:hanging="361"/>
        <w:jc w:val="left"/>
      </w:pPr>
      <w:r>
        <w:rPr/>
        <w:t>Generalidades</w:t>
      </w:r>
    </w:p>
    <w:p>
      <w:pPr>
        <w:pStyle w:val="ListParagraph"/>
        <w:numPr>
          <w:ilvl w:val="1"/>
          <w:numId w:val="6"/>
        </w:numPr>
        <w:tabs>
          <w:tab w:pos="1210" w:val="left" w:leader="none"/>
        </w:tabs>
        <w:spacing w:line="240" w:lineRule="auto" w:before="58" w:after="0"/>
        <w:ind w:left="1210" w:right="0" w:hanging="349"/>
        <w:jc w:val="left"/>
        <w:rPr>
          <w:sz w:val="20"/>
        </w:rPr>
      </w:pPr>
      <w:r>
        <w:rPr>
          <w:sz w:val="20"/>
        </w:rPr>
        <w:t>Ámbito de aplicación</w:t>
      </w:r>
    </w:p>
    <w:p>
      <w:pPr>
        <w:pStyle w:val="ListParagraph"/>
        <w:numPr>
          <w:ilvl w:val="1"/>
          <w:numId w:val="6"/>
        </w:numPr>
        <w:tabs>
          <w:tab w:pos="1222" w:val="left" w:leader="none"/>
        </w:tabs>
        <w:spacing w:line="240" w:lineRule="auto" w:before="1" w:after="0"/>
        <w:ind w:left="1222" w:right="0" w:hanging="361"/>
        <w:jc w:val="left"/>
        <w:rPr>
          <w:sz w:val="20"/>
        </w:rPr>
      </w:pPr>
      <w:r>
        <w:rPr>
          <w:sz w:val="20"/>
        </w:rPr>
        <w:t>Procedimiento de</w:t>
      </w:r>
      <w:r>
        <w:rPr>
          <w:spacing w:val="-2"/>
          <w:sz w:val="20"/>
        </w:rPr>
        <w:t> </w:t>
      </w:r>
      <w:r>
        <w:rPr>
          <w:sz w:val="20"/>
        </w:rPr>
        <w:t>verificación</w:t>
      </w:r>
    </w:p>
    <w:p>
      <w:pPr>
        <w:pStyle w:val="BodyText"/>
      </w:pPr>
    </w:p>
    <w:p>
      <w:pPr>
        <w:pStyle w:val="Heading5"/>
        <w:numPr>
          <w:ilvl w:val="0"/>
          <w:numId w:val="6"/>
        </w:numPr>
        <w:tabs>
          <w:tab w:pos="861" w:val="left" w:leader="none"/>
          <w:tab w:pos="862" w:val="left" w:leader="none"/>
        </w:tabs>
        <w:spacing w:line="240" w:lineRule="auto" w:before="1" w:after="0"/>
        <w:ind w:left="862" w:right="0" w:hanging="361"/>
        <w:jc w:val="left"/>
      </w:pPr>
      <w:r>
        <w:rPr/>
        <w:t>Diseño</w:t>
      </w:r>
    </w:p>
    <w:p>
      <w:pPr>
        <w:pStyle w:val="ListParagraph"/>
        <w:numPr>
          <w:ilvl w:val="1"/>
          <w:numId w:val="6"/>
        </w:numPr>
        <w:tabs>
          <w:tab w:pos="1222" w:val="left" w:leader="none"/>
        </w:tabs>
        <w:spacing w:line="230" w:lineRule="exact" w:before="59" w:after="0"/>
        <w:ind w:left="1222" w:right="0" w:hanging="361"/>
        <w:jc w:val="left"/>
        <w:rPr>
          <w:sz w:val="20"/>
        </w:rPr>
      </w:pPr>
      <w:r>
        <w:rPr>
          <w:sz w:val="20"/>
        </w:rPr>
        <w:t>Muros</w:t>
      </w:r>
    </w:p>
    <w:p>
      <w:pPr>
        <w:pStyle w:val="ListParagraph"/>
        <w:numPr>
          <w:ilvl w:val="1"/>
          <w:numId w:val="6"/>
        </w:numPr>
        <w:tabs>
          <w:tab w:pos="1222" w:val="left" w:leader="none"/>
        </w:tabs>
        <w:spacing w:line="230" w:lineRule="exact" w:before="0" w:after="0"/>
        <w:ind w:left="1222" w:right="0" w:hanging="361"/>
        <w:jc w:val="left"/>
        <w:rPr>
          <w:sz w:val="20"/>
        </w:rPr>
      </w:pPr>
      <w:r>
        <w:rPr>
          <w:sz w:val="20"/>
        </w:rPr>
        <w:t>Suelos</w:t>
      </w:r>
    </w:p>
    <w:p>
      <w:pPr>
        <w:pStyle w:val="ListParagraph"/>
        <w:numPr>
          <w:ilvl w:val="1"/>
          <w:numId w:val="6"/>
        </w:numPr>
        <w:tabs>
          <w:tab w:pos="1222" w:val="left" w:leader="none"/>
        </w:tabs>
        <w:spacing w:line="240" w:lineRule="auto" w:before="0" w:after="0"/>
        <w:ind w:left="1222" w:right="0" w:hanging="361"/>
        <w:jc w:val="left"/>
        <w:rPr>
          <w:sz w:val="20"/>
        </w:rPr>
      </w:pPr>
      <w:r>
        <w:rPr>
          <w:sz w:val="20"/>
        </w:rPr>
        <w:t>Fachadas</w:t>
      </w:r>
    </w:p>
    <w:p>
      <w:pPr>
        <w:pStyle w:val="ListParagraph"/>
        <w:numPr>
          <w:ilvl w:val="1"/>
          <w:numId w:val="6"/>
        </w:numPr>
        <w:tabs>
          <w:tab w:pos="1222" w:val="left" w:leader="none"/>
        </w:tabs>
        <w:spacing w:line="240" w:lineRule="auto" w:before="1" w:after="0"/>
        <w:ind w:left="1222" w:right="0" w:hanging="361"/>
        <w:jc w:val="left"/>
        <w:rPr>
          <w:sz w:val="20"/>
        </w:rPr>
      </w:pPr>
      <w:r>
        <w:rPr>
          <w:sz w:val="20"/>
        </w:rPr>
        <w:t>Cubiertas</w:t>
      </w:r>
    </w:p>
    <w:p>
      <w:pPr>
        <w:pStyle w:val="BodyText"/>
      </w:pPr>
    </w:p>
    <w:p>
      <w:pPr>
        <w:pStyle w:val="Heading5"/>
        <w:numPr>
          <w:ilvl w:val="0"/>
          <w:numId w:val="6"/>
        </w:numPr>
        <w:tabs>
          <w:tab w:pos="861" w:val="left" w:leader="none"/>
          <w:tab w:pos="862" w:val="left" w:leader="none"/>
        </w:tabs>
        <w:spacing w:line="240" w:lineRule="auto" w:before="0" w:after="0"/>
        <w:ind w:left="862" w:right="0" w:hanging="361"/>
        <w:jc w:val="left"/>
      </w:pPr>
      <w:r>
        <w:rPr/>
        <w:t>Dimensionado</w:t>
      </w:r>
    </w:p>
    <w:p>
      <w:pPr>
        <w:pStyle w:val="ListParagraph"/>
        <w:numPr>
          <w:ilvl w:val="1"/>
          <w:numId w:val="6"/>
        </w:numPr>
        <w:tabs>
          <w:tab w:pos="1222" w:val="left" w:leader="none"/>
        </w:tabs>
        <w:spacing w:line="230" w:lineRule="exact" w:before="60" w:after="0"/>
        <w:ind w:left="1222" w:right="0" w:hanging="361"/>
        <w:jc w:val="left"/>
        <w:rPr>
          <w:sz w:val="20"/>
        </w:rPr>
      </w:pPr>
      <w:r>
        <w:rPr>
          <w:sz w:val="20"/>
        </w:rPr>
        <w:t>Tubos de drenaje</w:t>
      </w:r>
    </w:p>
    <w:p>
      <w:pPr>
        <w:pStyle w:val="ListParagraph"/>
        <w:numPr>
          <w:ilvl w:val="1"/>
          <w:numId w:val="6"/>
        </w:numPr>
        <w:tabs>
          <w:tab w:pos="1222" w:val="left" w:leader="none"/>
        </w:tabs>
        <w:spacing w:line="230" w:lineRule="exact" w:before="0" w:after="0"/>
        <w:ind w:left="1222" w:right="0" w:hanging="361"/>
        <w:jc w:val="left"/>
        <w:rPr>
          <w:sz w:val="20"/>
        </w:rPr>
      </w:pPr>
      <w:r>
        <w:rPr>
          <w:sz w:val="20"/>
        </w:rPr>
        <w:t>Canaletas de</w:t>
      </w:r>
      <w:r>
        <w:rPr>
          <w:spacing w:val="-2"/>
          <w:sz w:val="20"/>
        </w:rPr>
        <w:t> </w:t>
      </w:r>
      <w:r>
        <w:rPr>
          <w:sz w:val="20"/>
        </w:rPr>
        <w:t>recogida</w:t>
      </w:r>
    </w:p>
    <w:p>
      <w:pPr>
        <w:pStyle w:val="ListParagraph"/>
        <w:numPr>
          <w:ilvl w:val="1"/>
          <w:numId w:val="6"/>
        </w:numPr>
        <w:tabs>
          <w:tab w:pos="1222" w:val="left" w:leader="none"/>
        </w:tabs>
        <w:spacing w:line="240" w:lineRule="auto" w:before="0" w:after="0"/>
        <w:ind w:left="1222" w:right="0" w:hanging="361"/>
        <w:jc w:val="left"/>
        <w:rPr>
          <w:sz w:val="20"/>
        </w:rPr>
      </w:pPr>
      <w:r>
        <w:rPr>
          <w:sz w:val="20"/>
        </w:rPr>
        <w:t>Bombas de</w:t>
      </w:r>
      <w:r>
        <w:rPr>
          <w:spacing w:val="-1"/>
          <w:sz w:val="20"/>
        </w:rPr>
        <w:t> </w:t>
      </w:r>
      <w:r>
        <w:rPr>
          <w:sz w:val="20"/>
        </w:rPr>
        <w:t>achique</w:t>
      </w:r>
    </w:p>
    <w:p>
      <w:pPr>
        <w:pStyle w:val="BodyText"/>
        <w:spacing w:before="1"/>
      </w:pPr>
    </w:p>
    <w:p>
      <w:pPr>
        <w:pStyle w:val="Heading5"/>
        <w:numPr>
          <w:ilvl w:val="0"/>
          <w:numId w:val="6"/>
        </w:numPr>
        <w:tabs>
          <w:tab w:pos="861" w:val="left" w:leader="none"/>
          <w:tab w:pos="862" w:val="left" w:leader="none"/>
        </w:tabs>
        <w:spacing w:line="240" w:lineRule="auto" w:before="0" w:after="0"/>
        <w:ind w:left="862" w:right="0" w:hanging="361"/>
        <w:jc w:val="left"/>
      </w:pPr>
      <w:r>
        <w:rPr/>
        <w:t>Productos de</w:t>
      </w:r>
      <w:r>
        <w:rPr>
          <w:spacing w:val="-1"/>
        </w:rPr>
        <w:t> </w:t>
      </w:r>
      <w:r>
        <w:rPr/>
        <w:t>Construcción</w:t>
      </w:r>
    </w:p>
    <w:p>
      <w:pPr>
        <w:pStyle w:val="ListParagraph"/>
        <w:numPr>
          <w:ilvl w:val="1"/>
          <w:numId w:val="6"/>
        </w:numPr>
        <w:tabs>
          <w:tab w:pos="1222" w:val="left" w:leader="none"/>
        </w:tabs>
        <w:spacing w:line="240" w:lineRule="auto" w:before="59" w:after="0"/>
        <w:ind w:left="1222" w:right="0" w:hanging="361"/>
        <w:jc w:val="left"/>
        <w:rPr>
          <w:sz w:val="20"/>
        </w:rPr>
      </w:pPr>
      <w:r>
        <w:rPr>
          <w:sz w:val="20"/>
        </w:rPr>
        <w:t>Características exigibles a los</w:t>
      </w:r>
      <w:r>
        <w:rPr>
          <w:spacing w:val="-3"/>
          <w:sz w:val="20"/>
        </w:rPr>
        <w:t> </w:t>
      </w:r>
      <w:r>
        <w:rPr>
          <w:sz w:val="20"/>
        </w:rPr>
        <w:t>productos</w:t>
      </w:r>
    </w:p>
    <w:p>
      <w:pPr>
        <w:pStyle w:val="ListParagraph"/>
        <w:numPr>
          <w:ilvl w:val="1"/>
          <w:numId w:val="6"/>
        </w:numPr>
        <w:tabs>
          <w:tab w:pos="1222" w:val="left" w:leader="none"/>
        </w:tabs>
        <w:spacing w:line="240" w:lineRule="auto" w:before="1" w:after="0"/>
        <w:ind w:left="1222" w:right="0" w:hanging="361"/>
        <w:jc w:val="left"/>
        <w:rPr>
          <w:sz w:val="20"/>
        </w:rPr>
      </w:pPr>
      <w:r>
        <w:rPr>
          <w:sz w:val="20"/>
        </w:rPr>
        <w:t>Control de recepción en obra de</w:t>
      </w:r>
      <w:r>
        <w:rPr>
          <w:spacing w:val="-2"/>
          <w:sz w:val="20"/>
        </w:rPr>
        <w:t> </w:t>
      </w:r>
      <w:r>
        <w:rPr>
          <w:sz w:val="20"/>
        </w:rPr>
        <w:t>productos</w:t>
      </w:r>
    </w:p>
    <w:p>
      <w:pPr>
        <w:pStyle w:val="BodyText"/>
      </w:pPr>
    </w:p>
    <w:p>
      <w:pPr>
        <w:pStyle w:val="Heading5"/>
        <w:numPr>
          <w:ilvl w:val="0"/>
          <w:numId w:val="6"/>
        </w:numPr>
        <w:tabs>
          <w:tab w:pos="861" w:val="left" w:leader="none"/>
          <w:tab w:pos="862" w:val="left" w:leader="none"/>
        </w:tabs>
        <w:spacing w:line="240" w:lineRule="auto" w:before="0" w:after="0"/>
        <w:ind w:left="862" w:right="0" w:hanging="361"/>
        <w:jc w:val="left"/>
      </w:pPr>
      <w:r>
        <w:rPr/>
        <w:t>Construcción</w:t>
      </w:r>
    </w:p>
    <w:p>
      <w:pPr>
        <w:pStyle w:val="ListParagraph"/>
        <w:numPr>
          <w:ilvl w:val="1"/>
          <w:numId w:val="6"/>
        </w:numPr>
        <w:tabs>
          <w:tab w:pos="1222" w:val="left" w:leader="none"/>
        </w:tabs>
        <w:spacing w:line="230" w:lineRule="exact" w:before="60" w:after="0"/>
        <w:ind w:left="1222" w:right="0" w:hanging="361"/>
        <w:jc w:val="left"/>
        <w:rPr>
          <w:sz w:val="20"/>
        </w:rPr>
      </w:pPr>
      <w:r>
        <w:rPr>
          <w:sz w:val="20"/>
        </w:rPr>
        <w:t>Ejecución</w:t>
      </w:r>
    </w:p>
    <w:p>
      <w:pPr>
        <w:pStyle w:val="ListParagraph"/>
        <w:numPr>
          <w:ilvl w:val="1"/>
          <w:numId w:val="6"/>
        </w:numPr>
        <w:tabs>
          <w:tab w:pos="1222" w:val="left" w:leader="none"/>
        </w:tabs>
        <w:spacing w:line="230" w:lineRule="exact" w:before="0" w:after="0"/>
        <w:ind w:left="1222" w:right="0" w:hanging="361"/>
        <w:jc w:val="left"/>
        <w:rPr>
          <w:sz w:val="20"/>
        </w:rPr>
      </w:pPr>
      <w:r>
        <w:rPr>
          <w:sz w:val="20"/>
        </w:rPr>
        <w:t>Control de la</w:t>
      </w:r>
      <w:r>
        <w:rPr>
          <w:spacing w:val="-2"/>
          <w:sz w:val="20"/>
        </w:rPr>
        <w:t> </w:t>
      </w:r>
      <w:r>
        <w:rPr>
          <w:sz w:val="20"/>
        </w:rPr>
        <w:t>ejecución</w:t>
      </w:r>
    </w:p>
    <w:p>
      <w:pPr>
        <w:pStyle w:val="ListParagraph"/>
        <w:numPr>
          <w:ilvl w:val="1"/>
          <w:numId w:val="6"/>
        </w:numPr>
        <w:tabs>
          <w:tab w:pos="1222" w:val="left" w:leader="none"/>
        </w:tabs>
        <w:spacing w:line="240" w:lineRule="auto" w:before="0" w:after="0"/>
        <w:ind w:left="1222" w:right="0" w:hanging="361"/>
        <w:jc w:val="left"/>
        <w:rPr>
          <w:sz w:val="20"/>
        </w:rPr>
      </w:pPr>
      <w:r>
        <w:rPr>
          <w:sz w:val="20"/>
        </w:rPr>
        <w:t>Control de la obra</w:t>
      </w:r>
      <w:r>
        <w:rPr>
          <w:spacing w:val="-2"/>
          <w:sz w:val="20"/>
        </w:rPr>
        <w:t> </w:t>
      </w:r>
      <w:r>
        <w:rPr>
          <w:sz w:val="20"/>
        </w:rPr>
        <w:t>terminada</w:t>
      </w:r>
    </w:p>
    <w:p>
      <w:pPr>
        <w:pStyle w:val="BodyText"/>
        <w:spacing w:before="1"/>
      </w:pPr>
    </w:p>
    <w:p>
      <w:pPr>
        <w:pStyle w:val="Heading5"/>
        <w:numPr>
          <w:ilvl w:val="0"/>
          <w:numId w:val="6"/>
        </w:numPr>
        <w:tabs>
          <w:tab w:pos="861" w:val="left" w:leader="none"/>
          <w:tab w:pos="862" w:val="left" w:leader="none"/>
          <w:tab w:pos="1917" w:val="left" w:leader="none"/>
        </w:tabs>
        <w:spacing w:line="480" w:lineRule="auto" w:before="0" w:after="0"/>
        <w:ind w:left="501" w:right="6146" w:firstLine="0"/>
        <w:jc w:val="left"/>
      </w:pPr>
      <w:r>
        <w:rPr/>
        <w:t>Mantenimiento y </w:t>
      </w:r>
      <w:r>
        <w:rPr>
          <w:spacing w:val="-3"/>
        </w:rPr>
        <w:t>Conservación </w:t>
      </w:r>
      <w:r>
        <w:rPr/>
        <w:t>Apéndice</w:t>
      </w:r>
      <w:r>
        <w:rPr>
          <w:spacing w:val="-2"/>
        </w:rPr>
        <w:t> </w:t>
      </w:r>
      <w:r>
        <w:rPr/>
        <w:t>A</w:t>
        <w:tab/>
        <w:t>Terminología Apéndice</w:t>
      </w:r>
      <w:r>
        <w:rPr>
          <w:spacing w:val="-2"/>
        </w:rPr>
        <w:t> </w:t>
      </w:r>
      <w:r>
        <w:rPr/>
        <w:t>B</w:t>
        <w:tab/>
        <w:t>Notación</w:t>
      </w:r>
    </w:p>
    <w:p>
      <w:pPr>
        <w:tabs>
          <w:tab w:pos="1917" w:val="left" w:leader="none"/>
        </w:tabs>
        <w:spacing w:before="0"/>
        <w:ind w:left="501" w:right="0" w:firstLine="0"/>
        <w:jc w:val="left"/>
        <w:rPr>
          <w:b/>
          <w:sz w:val="20"/>
        </w:rPr>
      </w:pPr>
      <w:r>
        <w:rPr>
          <w:b/>
          <w:sz w:val="20"/>
        </w:rPr>
        <w:t>Apéndice</w:t>
      </w:r>
      <w:r>
        <w:rPr>
          <w:b/>
          <w:spacing w:val="-2"/>
          <w:sz w:val="20"/>
        </w:rPr>
        <w:t> </w:t>
      </w:r>
      <w:r>
        <w:rPr>
          <w:b/>
          <w:sz w:val="20"/>
        </w:rPr>
        <w:t>C</w:t>
        <w:tab/>
        <w:t>Cálculo del caudal de</w:t>
      </w:r>
      <w:r>
        <w:rPr>
          <w:b/>
          <w:spacing w:val="-2"/>
          <w:sz w:val="20"/>
        </w:rPr>
        <w:t> </w:t>
      </w:r>
      <w:r>
        <w:rPr>
          <w:b/>
          <w:sz w:val="20"/>
        </w:rPr>
        <w:t>drenaje</w:t>
      </w:r>
    </w:p>
    <w:p>
      <w:pPr>
        <w:pStyle w:val="BodyText"/>
        <w:rPr>
          <w:b/>
          <w:sz w:val="22"/>
        </w:rPr>
      </w:pPr>
    </w:p>
    <w:p>
      <w:pPr>
        <w:pStyle w:val="BodyText"/>
        <w:rPr>
          <w:b/>
          <w:sz w:val="22"/>
        </w:rPr>
      </w:pPr>
    </w:p>
    <w:p>
      <w:pPr>
        <w:spacing w:before="185"/>
        <w:ind w:left="501" w:right="0" w:firstLine="0"/>
        <w:jc w:val="left"/>
        <w:rPr>
          <w:b/>
          <w:sz w:val="24"/>
        </w:rPr>
      </w:pPr>
      <w:r>
        <w:rPr>
          <w:b/>
          <w:sz w:val="24"/>
        </w:rPr>
        <w:t>Sección HS 2 Recogida y evacuación de residuos</w:t>
      </w:r>
    </w:p>
    <w:p>
      <w:pPr>
        <w:pStyle w:val="ListParagraph"/>
        <w:numPr>
          <w:ilvl w:val="0"/>
          <w:numId w:val="7"/>
        </w:numPr>
        <w:tabs>
          <w:tab w:pos="861" w:val="left" w:leader="none"/>
          <w:tab w:pos="862" w:val="left" w:leader="none"/>
        </w:tabs>
        <w:spacing w:line="240" w:lineRule="auto" w:before="229" w:after="0"/>
        <w:ind w:left="862" w:right="0" w:hanging="361"/>
        <w:jc w:val="left"/>
        <w:rPr>
          <w:b/>
          <w:sz w:val="20"/>
        </w:rPr>
      </w:pPr>
      <w:r>
        <w:rPr>
          <w:b/>
          <w:sz w:val="20"/>
        </w:rPr>
        <w:t>Generalidades</w:t>
      </w:r>
    </w:p>
    <w:p>
      <w:pPr>
        <w:pStyle w:val="ListParagraph"/>
        <w:numPr>
          <w:ilvl w:val="1"/>
          <w:numId w:val="7"/>
        </w:numPr>
        <w:tabs>
          <w:tab w:pos="1222" w:val="left" w:leader="none"/>
        </w:tabs>
        <w:spacing w:line="240" w:lineRule="auto" w:before="59" w:after="0"/>
        <w:ind w:left="1222" w:right="0" w:hanging="361"/>
        <w:jc w:val="left"/>
        <w:rPr>
          <w:sz w:val="20"/>
        </w:rPr>
      </w:pPr>
      <w:r>
        <w:rPr>
          <w:sz w:val="20"/>
        </w:rPr>
        <w:t>Ámbito de aplicación</w:t>
      </w:r>
    </w:p>
    <w:p>
      <w:pPr>
        <w:pStyle w:val="ListParagraph"/>
        <w:numPr>
          <w:ilvl w:val="1"/>
          <w:numId w:val="7"/>
        </w:numPr>
        <w:tabs>
          <w:tab w:pos="1222" w:val="left" w:leader="none"/>
        </w:tabs>
        <w:spacing w:line="240" w:lineRule="auto" w:before="1" w:after="0"/>
        <w:ind w:left="1222" w:right="0" w:hanging="361"/>
        <w:jc w:val="left"/>
        <w:rPr>
          <w:sz w:val="20"/>
        </w:rPr>
      </w:pPr>
      <w:r>
        <w:rPr>
          <w:sz w:val="20"/>
        </w:rPr>
        <w:t>Procedimiento de</w:t>
      </w:r>
      <w:r>
        <w:rPr>
          <w:spacing w:val="-2"/>
          <w:sz w:val="20"/>
        </w:rPr>
        <w:t> </w:t>
      </w:r>
      <w:r>
        <w:rPr>
          <w:sz w:val="20"/>
        </w:rPr>
        <w:t>verificación</w:t>
      </w:r>
    </w:p>
    <w:p>
      <w:pPr>
        <w:pStyle w:val="BodyText"/>
      </w:pPr>
    </w:p>
    <w:p>
      <w:pPr>
        <w:pStyle w:val="Heading5"/>
        <w:numPr>
          <w:ilvl w:val="0"/>
          <w:numId w:val="7"/>
        </w:numPr>
        <w:tabs>
          <w:tab w:pos="861" w:val="left" w:leader="none"/>
          <w:tab w:pos="862" w:val="left" w:leader="none"/>
        </w:tabs>
        <w:spacing w:line="240" w:lineRule="auto" w:before="1" w:after="0"/>
        <w:ind w:left="862" w:right="0" w:hanging="361"/>
        <w:jc w:val="left"/>
      </w:pPr>
      <w:r>
        <w:rPr/>
        <w:t>Diseño y</w:t>
      </w:r>
      <w:r>
        <w:rPr>
          <w:spacing w:val="-4"/>
        </w:rPr>
        <w:t> </w:t>
      </w:r>
      <w:r>
        <w:rPr/>
        <w:t>Dimensionado</w:t>
      </w:r>
    </w:p>
    <w:p>
      <w:pPr>
        <w:pStyle w:val="ListParagraph"/>
        <w:numPr>
          <w:ilvl w:val="1"/>
          <w:numId w:val="7"/>
        </w:numPr>
        <w:tabs>
          <w:tab w:pos="1222" w:val="left" w:leader="none"/>
        </w:tabs>
        <w:spacing w:line="230" w:lineRule="exact" w:before="59" w:after="0"/>
        <w:ind w:left="1222" w:right="0" w:hanging="361"/>
        <w:jc w:val="left"/>
        <w:rPr>
          <w:sz w:val="20"/>
        </w:rPr>
      </w:pPr>
      <w:r>
        <w:rPr>
          <w:sz w:val="20"/>
        </w:rPr>
        <w:t>Almacén de contenedores de edificio y espacio de</w:t>
      </w:r>
      <w:r>
        <w:rPr>
          <w:spacing w:val="-4"/>
          <w:sz w:val="20"/>
        </w:rPr>
        <w:t> </w:t>
      </w:r>
      <w:r>
        <w:rPr>
          <w:sz w:val="20"/>
        </w:rPr>
        <w:t>reserva</w:t>
      </w:r>
    </w:p>
    <w:p>
      <w:pPr>
        <w:pStyle w:val="ListParagraph"/>
        <w:numPr>
          <w:ilvl w:val="1"/>
          <w:numId w:val="7"/>
        </w:numPr>
        <w:tabs>
          <w:tab w:pos="1222" w:val="left" w:leader="none"/>
        </w:tabs>
        <w:spacing w:line="230" w:lineRule="exact" w:before="0" w:after="0"/>
        <w:ind w:left="1222" w:right="0" w:hanging="361"/>
        <w:jc w:val="left"/>
        <w:rPr>
          <w:sz w:val="20"/>
        </w:rPr>
      </w:pPr>
      <w:r>
        <w:rPr>
          <w:sz w:val="20"/>
        </w:rPr>
        <w:t>Instalaciones de traslado por</w:t>
      </w:r>
      <w:r>
        <w:rPr>
          <w:spacing w:val="-3"/>
          <w:sz w:val="20"/>
        </w:rPr>
        <w:t> </w:t>
      </w:r>
      <w:r>
        <w:rPr>
          <w:sz w:val="20"/>
        </w:rPr>
        <w:t>bajantes</w:t>
      </w:r>
    </w:p>
    <w:p>
      <w:pPr>
        <w:pStyle w:val="ListParagraph"/>
        <w:numPr>
          <w:ilvl w:val="1"/>
          <w:numId w:val="7"/>
        </w:numPr>
        <w:tabs>
          <w:tab w:pos="1222" w:val="left" w:leader="none"/>
        </w:tabs>
        <w:spacing w:line="240" w:lineRule="auto" w:before="0" w:after="0"/>
        <w:ind w:left="1222" w:right="0" w:hanging="361"/>
        <w:jc w:val="left"/>
        <w:rPr>
          <w:sz w:val="20"/>
        </w:rPr>
      </w:pPr>
      <w:r>
        <w:rPr>
          <w:sz w:val="20"/>
        </w:rPr>
        <w:t>Espacios de almacenamiento inmediato en las</w:t>
      </w:r>
      <w:r>
        <w:rPr>
          <w:spacing w:val="-7"/>
          <w:sz w:val="20"/>
        </w:rPr>
        <w:t> </w:t>
      </w:r>
      <w:r>
        <w:rPr>
          <w:sz w:val="20"/>
        </w:rPr>
        <w:t>viviendas</w:t>
      </w:r>
    </w:p>
    <w:p>
      <w:pPr>
        <w:pStyle w:val="BodyText"/>
        <w:spacing w:before="1"/>
      </w:pPr>
    </w:p>
    <w:p>
      <w:pPr>
        <w:pStyle w:val="Heading5"/>
        <w:numPr>
          <w:ilvl w:val="0"/>
          <w:numId w:val="7"/>
        </w:numPr>
        <w:tabs>
          <w:tab w:pos="861" w:val="left" w:leader="none"/>
          <w:tab w:pos="862" w:val="left" w:leader="none"/>
        </w:tabs>
        <w:spacing w:line="240" w:lineRule="auto" w:before="0" w:after="0"/>
        <w:ind w:left="862" w:right="0" w:hanging="361"/>
        <w:jc w:val="left"/>
      </w:pPr>
      <w:r>
        <w:rPr/>
        <w:t>Mantenimiento y</w:t>
      </w:r>
      <w:r>
        <w:rPr>
          <w:spacing w:val="-2"/>
        </w:rPr>
        <w:t> </w:t>
      </w:r>
      <w:r>
        <w:rPr/>
        <w:t>Conservación</w:t>
      </w:r>
    </w:p>
    <w:p>
      <w:pPr>
        <w:pStyle w:val="ListParagraph"/>
        <w:numPr>
          <w:ilvl w:val="1"/>
          <w:numId w:val="7"/>
        </w:numPr>
        <w:tabs>
          <w:tab w:pos="1222" w:val="left" w:leader="none"/>
        </w:tabs>
        <w:spacing w:line="230" w:lineRule="exact" w:before="60" w:after="0"/>
        <w:ind w:left="1222" w:right="0" w:hanging="361"/>
        <w:jc w:val="left"/>
        <w:rPr>
          <w:sz w:val="20"/>
        </w:rPr>
      </w:pPr>
      <w:r>
        <w:rPr>
          <w:sz w:val="20"/>
        </w:rPr>
        <w:t>Almacén de contenedores de</w:t>
      </w:r>
      <w:r>
        <w:rPr>
          <w:spacing w:val="-4"/>
          <w:sz w:val="20"/>
        </w:rPr>
        <w:t> </w:t>
      </w:r>
      <w:r>
        <w:rPr>
          <w:sz w:val="20"/>
        </w:rPr>
        <w:t>edificio</w:t>
      </w:r>
    </w:p>
    <w:p>
      <w:pPr>
        <w:pStyle w:val="ListParagraph"/>
        <w:numPr>
          <w:ilvl w:val="1"/>
          <w:numId w:val="7"/>
        </w:numPr>
        <w:tabs>
          <w:tab w:pos="1222" w:val="left" w:leader="none"/>
        </w:tabs>
        <w:spacing w:line="230" w:lineRule="exact" w:before="0" w:after="0"/>
        <w:ind w:left="1222" w:right="0" w:hanging="361"/>
        <w:jc w:val="left"/>
        <w:rPr>
          <w:sz w:val="20"/>
        </w:rPr>
      </w:pPr>
      <w:r>
        <w:rPr>
          <w:sz w:val="20"/>
        </w:rPr>
        <w:t>Instalaciones de traslado por</w:t>
      </w:r>
      <w:r>
        <w:rPr>
          <w:spacing w:val="-3"/>
          <w:sz w:val="20"/>
        </w:rPr>
        <w:t> </w:t>
      </w:r>
      <w:r>
        <w:rPr>
          <w:sz w:val="20"/>
        </w:rPr>
        <w:t>bajantes</w:t>
      </w:r>
    </w:p>
    <w:p>
      <w:pPr>
        <w:pStyle w:val="BodyText"/>
        <w:spacing w:before="1"/>
      </w:pPr>
    </w:p>
    <w:p>
      <w:pPr>
        <w:pStyle w:val="Heading5"/>
        <w:tabs>
          <w:tab w:pos="1917" w:val="left" w:leader="none"/>
        </w:tabs>
        <w:spacing w:line="480" w:lineRule="auto" w:before="1"/>
        <w:ind w:left="501" w:right="6789"/>
      </w:pPr>
      <w:r>
        <w:rPr/>
        <w:t>Apéndice</w:t>
      </w:r>
      <w:r>
        <w:rPr>
          <w:spacing w:val="-2"/>
        </w:rPr>
        <w:t> </w:t>
      </w:r>
      <w:r>
        <w:rPr/>
        <w:t>A</w:t>
        <w:tab/>
      </w:r>
      <w:r>
        <w:rPr>
          <w:spacing w:val="-3"/>
        </w:rPr>
        <w:t>Terminología </w:t>
      </w:r>
      <w:r>
        <w:rPr/>
        <w:t>Apéndice</w:t>
      </w:r>
      <w:r>
        <w:rPr>
          <w:spacing w:val="-2"/>
        </w:rPr>
        <w:t> </w:t>
      </w:r>
      <w:r>
        <w:rPr/>
        <w:t>B</w:t>
        <w:tab/>
        <w:t>Notación</w:t>
      </w:r>
    </w:p>
    <w:p>
      <w:pPr>
        <w:spacing w:after="0" w:line="480" w:lineRule="auto"/>
        <w:sectPr>
          <w:pgSz w:w="11910" w:h="16840"/>
          <w:pgMar w:header="714" w:footer="642" w:top="1320" w:bottom="840" w:left="1200" w:right="740"/>
        </w:sectPr>
      </w:pPr>
    </w:p>
    <w:p>
      <w:pPr>
        <w:spacing w:before="92"/>
        <w:ind w:left="501" w:right="0" w:firstLine="0"/>
        <w:jc w:val="left"/>
        <w:rPr>
          <w:b/>
          <w:sz w:val="24"/>
        </w:rPr>
      </w:pPr>
      <w:r>
        <w:rPr>
          <w:b/>
          <w:sz w:val="24"/>
        </w:rPr>
        <w:t>Sección HS 3 Calidad del aire interior</w:t>
      </w:r>
    </w:p>
    <w:p>
      <w:pPr>
        <w:pStyle w:val="ListParagraph"/>
        <w:numPr>
          <w:ilvl w:val="0"/>
          <w:numId w:val="8"/>
        </w:numPr>
        <w:tabs>
          <w:tab w:pos="861" w:val="left" w:leader="none"/>
          <w:tab w:pos="862" w:val="left" w:leader="none"/>
        </w:tabs>
        <w:spacing w:line="240" w:lineRule="auto" w:before="229" w:after="0"/>
        <w:ind w:left="862" w:right="0" w:hanging="361"/>
        <w:jc w:val="left"/>
        <w:rPr>
          <w:b/>
          <w:sz w:val="20"/>
        </w:rPr>
      </w:pPr>
      <w:r>
        <w:rPr>
          <w:b/>
          <w:sz w:val="20"/>
        </w:rPr>
        <w:t>Generalidades</w:t>
      </w:r>
    </w:p>
    <w:p>
      <w:pPr>
        <w:pStyle w:val="ListParagraph"/>
        <w:numPr>
          <w:ilvl w:val="1"/>
          <w:numId w:val="8"/>
        </w:numPr>
        <w:tabs>
          <w:tab w:pos="1222" w:val="left" w:leader="none"/>
        </w:tabs>
        <w:spacing w:line="240" w:lineRule="auto" w:before="60" w:after="0"/>
        <w:ind w:left="1222" w:right="0" w:hanging="361"/>
        <w:jc w:val="left"/>
        <w:rPr>
          <w:sz w:val="20"/>
        </w:rPr>
      </w:pPr>
      <w:r>
        <w:rPr>
          <w:sz w:val="20"/>
        </w:rPr>
        <w:t>Ámbito de aplicación</w:t>
      </w:r>
    </w:p>
    <w:p>
      <w:pPr>
        <w:pStyle w:val="ListParagraph"/>
        <w:numPr>
          <w:ilvl w:val="1"/>
          <w:numId w:val="8"/>
        </w:numPr>
        <w:tabs>
          <w:tab w:pos="1222" w:val="left" w:leader="none"/>
        </w:tabs>
        <w:spacing w:line="240" w:lineRule="auto" w:before="1" w:after="0"/>
        <w:ind w:left="1222" w:right="0" w:hanging="361"/>
        <w:jc w:val="left"/>
        <w:rPr>
          <w:sz w:val="20"/>
        </w:rPr>
      </w:pPr>
      <w:r>
        <w:rPr>
          <w:sz w:val="20"/>
        </w:rPr>
        <w:t>Procedimiento de</w:t>
      </w:r>
      <w:r>
        <w:rPr>
          <w:spacing w:val="-2"/>
          <w:sz w:val="20"/>
        </w:rPr>
        <w:t> </w:t>
      </w:r>
      <w:r>
        <w:rPr>
          <w:sz w:val="20"/>
        </w:rPr>
        <w:t>verificación</w:t>
      </w:r>
    </w:p>
    <w:p>
      <w:pPr>
        <w:pStyle w:val="BodyText"/>
      </w:pPr>
    </w:p>
    <w:p>
      <w:pPr>
        <w:pStyle w:val="Heading5"/>
        <w:numPr>
          <w:ilvl w:val="0"/>
          <w:numId w:val="8"/>
        </w:numPr>
        <w:tabs>
          <w:tab w:pos="861" w:val="left" w:leader="none"/>
          <w:tab w:pos="862" w:val="left" w:leader="none"/>
        </w:tabs>
        <w:spacing w:line="240" w:lineRule="auto" w:before="0" w:after="0"/>
        <w:ind w:left="862" w:right="0" w:hanging="361"/>
        <w:jc w:val="left"/>
      </w:pPr>
      <w:r>
        <w:rPr/>
        <w:t>Caracterización y cuantificación de la</w:t>
      </w:r>
      <w:r>
        <w:rPr>
          <w:spacing w:val="-6"/>
        </w:rPr>
        <w:t> </w:t>
      </w:r>
      <w:r>
        <w:rPr/>
        <w:t>exigencia</w:t>
      </w:r>
    </w:p>
    <w:p>
      <w:pPr>
        <w:pStyle w:val="BodyText"/>
        <w:rPr>
          <w:b/>
        </w:rPr>
      </w:pPr>
    </w:p>
    <w:p>
      <w:pPr>
        <w:pStyle w:val="ListParagraph"/>
        <w:numPr>
          <w:ilvl w:val="0"/>
          <w:numId w:val="8"/>
        </w:numPr>
        <w:tabs>
          <w:tab w:pos="861" w:val="left" w:leader="none"/>
          <w:tab w:pos="862" w:val="left" w:leader="none"/>
        </w:tabs>
        <w:spacing w:line="240" w:lineRule="auto" w:before="0" w:after="0"/>
        <w:ind w:left="862" w:right="0" w:hanging="361"/>
        <w:jc w:val="left"/>
        <w:rPr>
          <w:b/>
          <w:sz w:val="20"/>
        </w:rPr>
      </w:pPr>
      <w:r>
        <w:rPr>
          <w:b/>
          <w:sz w:val="20"/>
        </w:rPr>
        <w:t>Diseño</w:t>
      </w:r>
    </w:p>
    <w:p>
      <w:pPr>
        <w:pStyle w:val="ListParagraph"/>
        <w:numPr>
          <w:ilvl w:val="1"/>
          <w:numId w:val="8"/>
        </w:numPr>
        <w:tabs>
          <w:tab w:pos="1222" w:val="left" w:leader="none"/>
        </w:tabs>
        <w:spacing w:line="230" w:lineRule="exact" w:before="59" w:after="0"/>
        <w:ind w:left="1222" w:right="0" w:hanging="361"/>
        <w:jc w:val="left"/>
        <w:rPr>
          <w:sz w:val="20"/>
        </w:rPr>
      </w:pPr>
      <w:r>
        <w:rPr>
          <w:sz w:val="20"/>
        </w:rPr>
        <w:t>Condiciones generales de los sistemas de</w:t>
      </w:r>
      <w:r>
        <w:rPr>
          <w:spacing w:val="-5"/>
          <w:sz w:val="20"/>
        </w:rPr>
        <w:t> </w:t>
      </w:r>
      <w:r>
        <w:rPr>
          <w:sz w:val="20"/>
        </w:rPr>
        <w:t>ventilación</w:t>
      </w:r>
    </w:p>
    <w:p>
      <w:pPr>
        <w:pStyle w:val="ListParagraph"/>
        <w:numPr>
          <w:ilvl w:val="1"/>
          <w:numId w:val="8"/>
        </w:numPr>
        <w:tabs>
          <w:tab w:pos="1222" w:val="left" w:leader="none"/>
        </w:tabs>
        <w:spacing w:line="230" w:lineRule="exact" w:before="0" w:after="0"/>
        <w:ind w:left="1222" w:right="0" w:hanging="361"/>
        <w:jc w:val="left"/>
        <w:rPr>
          <w:sz w:val="20"/>
        </w:rPr>
      </w:pPr>
      <w:r>
        <w:rPr>
          <w:sz w:val="20"/>
        </w:rPr>
        <w:t>Condiciones particulares de los</w:t>
      </w:r>
      <w:r>
        <w:rPr>
          <w:spacing w:val="-1"/>
          <w:sz w:val="20"/>
        </w:rPr>
        <w:t> </w:t>
      </w:r>
      <w:r>
        <w:rPr>
          <w:sz w:val="20"/>
        </w:rPr>
        <w:t>elementos</w:t>
      </w:r>
    </w:p>
    <w:p>
      <w:pPr>
        <w:pStyle w:val="BodyText"/>
        <w:spacing w:before="2"/>
      </w:pPr>
    </w:p>
    <w:p>
      <w:pPr>
        <w:pStyle w:val="Heading5"/>
        <w:numPr>
          <w:ilvl w:val="0"/>
          <w:numId w:val="8"/>
        </w:numPr>
        <w:tabs>
          <w:tab w:pos="861" w:val="left" w:leader="none"/>
          <w:tab w:pos="862" w:val="left" w:leader="none"/>
        </w:tabs>
        <w:spacing w:line="240" w:lineRule="auto" w:before="0" w:after="0"/>
        <w:ind w:left="862" w:right="0" w:hanging="361"/>
        <w:jc w:val="left"/>
      </w:pPr>
      <w:r>
        <w:rPr/>
        <w:t>Dimensionado</w:t>
      </w:r>
    </w:p>
    <w:p>
      <w:pPr>
        <w:pStyle w:val="ListParagraph"/>
        <w:numPr>
          <w:ilvl w:val="1"/>
          <w:numId w:val="8"/>
        </w:numPr>
        <w:tabs>
          <w:tab w:pos="1222" w:val="left" w:leader="none"/>
        </w:tabs>
        <w:spacing w:line="240" w:lineRule="auto" w:before="58" w:after="0"/>
        <w:ind w:left="1222" w:right="0" w:hanging="361"/>
        <w:jc w:val="left"/>
        <w:rPr>
          <w:sz w:val="20"/>
        </w:rPr>
      </w:pPr>
      <w:r>
        <w:rPr>
          <w:sz w:val="20"/>
        </w:rPr>
        <w:t>Aberturas de</w:t>
      </w:r>
      <w:r>
        <w:rPr>
          <w:spacing w:val="-1"/>
          <w:sz w:val="20"/>
        </w:rPr>
        <w:t> </w:t>
      </w:r>
      <w:r>
        <w:rPr>
          <w:sz w:val="20"/>
        </w:rPr>
        <w:t>ventilación</w:t>
      </w:r>
    </w:p>
    <w:p>
      <w:pPr>
        <w:pStyle w:val="ListParagraph"/>
        <w:numPr>
          <w:ilvl w:val="1"/>
          <w:numId w:val="8"/>
        </w:numPr>
        <w:tabs>
          <w:tab w:pos="1222" w:val="left" w:leader="none"/>
        </w:tabs>
        <w:spacing w:line="240" w:lineRule="auto" w:before="1" w:after="0"/>
        <w:ind w:left="1222" w:right="0" w:hanging="361"/>
        <w:jc w:val="left"/>
        <w:rPr>
          <w:sz w:val="20"/>
        </w:rPr>
      </w:pPr>
      <w:r>
        <w:rPr>
          <w:sz w:val="20"/>
        </w:rPr>
        <w:t>Conductos de</w:t>
      </w:r>
      <w:r>
        <w:rPr>
          <w:spacing w:val="-1"/>
          <w:sz w:val="20"/>
        </w:rPr>
        <w:t> </w:t>
      </w:r>
      <w:r>
        <w:rPr>
          <w:sz w:val="20"/>
        </w:rPr>
        <w:t>extracción</w:t>
      </w:r>
    </w:p>
    <w:p>
      <w:pPr>
        <w:pStyle w:val="ListParagraph"/>
        <w:numPr>
          <w:ilvl w:val="1"/>
          <w:numId w:val="8"/>
        </w:numPr>
        <w:tabs>
          <w:tab w:pos="1222" w:val="left" w:leader="none"/>
        </w:tabs>
        <w:spacing w:line="230" w:lineRule="exact" w:before="0" w:after="0"/>
        <w:ind w:left="1222" w:right="0" w:hanging="361"/>
        <w:jc w:val="left"/>
        <w:rPr>
          <w:sz w:val="20"/>
        </w:rPr>
      </w:pPr>
      <w:r>
        <w:rPr>
          <w:sz w:val="20"/>
        </w:rPr>
        <w:t>Aspiradores híbridos, aspiradores mecánicos y</w:t>
      </w:r>
      <w:r>
        <w:rPr>
          <w:spacing w:val="-2"/>
          <w:sz w:val="20"/>
        </w:rPr>
        <w:t> </w:t>
      </w:r>
      <w:r>
        <w:rPr>
          <w:sz w:val="20"/>
        </w:rPr>
        <w:t>extractores</w:t>
      </w:r>
    </w:p>
    <w:p>
      <w:pPr>
        <w:pStyle w:val="ListParagraph"/>
        <w:numPr>
          <w:ilvl w:val="1"/>
          <w:numId w:val="8"/>
        </w:numPr>
        <w:tabs>
          <w:tab w:pos="1222" w:val="left" w:leader="none"/>
        </w:tabs>
        <w:spacing w:line="230" w:lineRule="exact" w:before="0" w:after="0"/>
        <w:ind w:left="1222" w:right="0" w:hanging="361"/>
        <w:jc w:val="left"/>
        <w:rPr>
          <w:sz w:val="20"/>
        </w:rPr>
      </w:pPr>
      <w:r>
        <w:rPr>
          <w:sz w:val="20"/>
        </w:rPr>
        <w:t>Ventanas y puertas</w:t>
      </w:r>
      <w:r>
        <w:rPr>
          <w:spacing w:val="-2"/>
          <w:sz w:val="20"/>
        </w:rPr>
        <w:t> </w:t>
      </w:r>
      <w:r>
        <w:rPr>
          <w:sz w:val="20"/>
        </w:rPr>
        <w:t>exteriores</w:t>
      </w:r>
    </w:p>
    <w:p>
      <w:pPr>
        <w:pStyle w:val="BodyText"/>
        <w:spacing w:before="2"/>
      </w:pPr>
    </w:p>
    <w:p>
      <w:pPr>
        <w:pStyle w:val="Heading5"/>
        <w:numPr>
          <w:ilvl w:val="0"/>
          <w:numId w:val="8"/>
        </w:numPr>
        <w:tabs>
          <w:tab w:pos="861" w:val="left" w:leader="none"/>
          <w:tab w:pos="862" w:val="left" w:leader="none"/>
        </w:tabs>
        <w:spacing w:line="240" w:lineRule="auto" w:before="0" w:after="0"/>
        <w:ind w:left="862" w:right="0" w:hanging="361"/>
        <w:jc w:val="left"/>
      </w:pPr>
      <w:r>
        <w:rPr/>
        <w:t>Productos de</w:t>
      </w:r>
      <w:r>
        <w:rPr>
          <w:spacing w:val="-1"/>
        </w:rPr>
        <w:t> </w:t>
      </w:r>
      <w:r>
        <w:rPr/>
        <w:t>Construcción</w:t>
      </w:r>
    </w:p>
    <w:p>
      <w:pPr>
        <w:pStyle w:val="ListParagraph"/>
        <w:numPr>
          <w:ilvl w:val="1"/>
          <w:numId w:val="8"/>
        </w:numPr>
        <w:tabs>
          <w:tab w:pos="1222" w:val="left" w:leader="none"/>
        </w:tabs>
        <w:spacing w:line="240" w:lineRule="auto" w:before="58" w:after="0"/>
        <w:ind w:left="1222" w:right="0" w:hanging="361"/>
        <w:jc w:val="left"/>
        <w:rPr>
          <w:sz w:val="20"/>
        </w:rPr>
      </w:pPr>
      <w:r>
        <w:rPr>
          <w:sz w:val="20"/>
        </w:rPr>
        <w:t>Características exigibles a los</w:t>
      </w:r>
      <w:r>
        <w:rPr>
          <w:spacing w:val="-3"/>
          <w:sz w:val="20"/>
        </w:rPr>
        <w:t> </w:t>
      </w:r>
      <w:r>
        <w:rPr>
          <w:sz w:val="20"/>
        </w:rPr>
        <w:t>productos</w:t>
      </w:r>
    </w:p>
    <w:p>
      <w:pPr>
        <w:pStyle w:val="ListParagraph"/>
        <w:numPr>
          <w:ilvl w:val="1"/>
          <w:numId w:val="8"/>
        </w:numPr>
        <w:tabs>
          <w:tab w:pos="1222" w:val="left" w:leader="none"/>
        </w:tabs>
        <w:spacing w:line="240" w:lineRule="auto" w:before="61" w:after="0"/>
        <w:ind w:left="1222" w:right="0" w:hanging="361"/>
        <w:jc w:val="left"/>
        <w:rPr>
          <w:sz w:val="20"/>
        </w:rPr>
      </w:pPr>
      <w:r>
        <w:rPr>
          <w:sz w:val="20"/>
        </w:rPr>
        <w:t>Control de recepción en obra de</w:t>
      </w:r>
      <w:r>
        <w:rPr>
          <w:spacing w:val="-2"/>
          <w:sz w:val="20"/>
        </w:rPr>
        <w:t> </w:t>
      </w:r>
      <w:r>
        <w:rPr>
          <w:sz w:val="20"/>
        </w:rPr>
        <w:t>productos</w:t>
      </w:r>
    </w:p>
    <w:p>
      <w:pPr>
        <w:pStyle w:val="BodyText"/>
      </w:pPr>
    </w:p>
    <w:p>
      <w:pPr>
        <w:pStyle w:val="Heading5"/>
        <w:numPr>
          <w:ilvl w:val="0"/>
          <w:numId w:val="8"/>
        </w:numPr>
        <w:tabs>
          <w:tab w:pos="359" w:val="left" w:leader="none"/>
          <w:tab w:pos="862" w:val="left" w:leader="none"/>
        </w:tabs>
        <w:spacing w:line="240" w:lineRule="auto" w:before="0" w:after="0"/>
        <w:ind w:left="862" w:right="7813" w:hanging="862"/>
        <w:jc w:val="right"/>
      </w:pPr>
      <w:r>
        <w:rPr>
          <w:spacing w:val="-1"/>
        </w:rPr>
        <w:t>Construcción</w:t>
      </w:r>
    </w:p>
    <w:p>
      <w:pPr>
        <w:pStyle w:val="ListParagraph"/>
        <w:numPr>
          <w:ilvl w:val="1"/>
          <w:numId w:val="8"/>
        </w:numPr>
        <w:tabs>
          <w:tab w:pos="360" w:val="left" w:leader="none"/>
        </w:tabs>
        <w:spacing w:line="240" w:lineRule="auto" w:before="60" w:after="0"/>
        <w:ind w:left="1222" w:right="7874" w:hanging="1222"/>
        <w:jc w:val="right"/>
        <w:rPr>
          <w:sz w:val="20"/>
        </w:rPr>
      </w:pPr>
      <w:r>
        <w:rPr>
          <w:spacing w:val="-1"/>
          <w:sz w:val="20"/>
        </w:rPr>
        <w:t>Ejecución</w:t>
      </w:r>
    </w:p>
    <w:p>
      <w:pPr>
        <w:pStyle w:val="ListParagraph"/>
        <w:numPr>
          <w:ilvl w:val="1"/>
          <w:numId w:val="8"/>
        </w:numPr>
        <w:tabs>
          <w:tab w:pos="1222" w:val="left" w:leader="none"/>
        </w:tabs>
        <w:spacing w:line="230" w:lineRule="exact" w:before="0" w:after="0"/>
        <w:ind w:left="1222" w:right="0" w:hanging="361"/>
        <w:jc w:val="left"/>
        <w:rPr>
          <w:sz w:val="20"/>
        </w:rPr>
      </w:pPr>
      <w:r>
        <w:rPr>
          <w:sz w:val="20"/>
        </w:rPr>
        <w:t>Control de la</w:t>
      </w:r>
      <w:r>
        <w:rPr>
          <w:spacing w:val="-2"/>
          <w:sz w:val="20"/>
        </w:rPr>
        <w:t> </w:t>
      </w:r>
      <w:r>
        <w:rPr>
          <w:sz w:val="20"/>
        </w:rPr>
        <w:t>ejecución</w:t>
      </w:r>
    </w:p>
    <w:p>
      <w:pPr>
        <w:pStyle w:val="ListParagraph"/>
        <w:numPr>
          <w:ilvl w:val="1"/>
          <w:numId w:val="8"/>
        </w:numPr>
        <w:tabs>
          <w:tab w:pos="1222" w:val="left" w:leader="none"/>
        </w:tabs>
        <w:spacing w:line="230" w:lineRule="exact" w:before="0" w:after="0"/>
        <w:ind w:left="1222" w:right="0" w:hanging="361"/>
        <w:jc w:val="left"/>
        <w:rPr>
          <w:sz w:val="20"/>
        </w:rPr>
      </w:pPr>
      <w:r>
        <w:rPr>
          <w:sz w:val="20"/>
        </w:rPr>
        <w:t>Control de la obra</w:t>
      </w:r>
      <w:r>
        <w:rPr>
          <w:spacing w:val="-2"/>
          <w:sz w:val="20"/>
        </w:rPr>
        <w:t> </w:t>
      </w:r>
      <w:r>
        <w:rPr>
          <w:sz w:val="20"/>
        </w:rPr>
        <w:t>terminada</w:t>
      </w:r>
    </w:p>
    <w:p>
      <w:pPr>
        <w:pStyle w:val="BodyText"/>
        <w:spacing w:before="2"/>
      </w:pPr>
    </w:p>
    <w:p>
      <w:pPr>
        <w:pStyle w:val="Heading5"/>
        <w:numPr>
          <w:ilvl w:val="0"/>
          <w:numId w:val="8"/>
        </w:numPr>
        <w:tabs>
          <w:tab w:pos="861" w:val="left" w:leader="none"/>
          <w:tab w:pos="862" w:val="left" w:leader="none"/>
          <w:tab w:pos="1917" w:val="left" w:leader="none"/>
        </w:tabs>
        <w:spacing w:line="480" w:lineRule="auto" w:before="0" w:after="0"/>
        <w:ind w:left="501" w:right="6146" w:firstLine="0"/>
        <w:jc w:val="left"/>
      </w:pPr>
      <w:r>
        <w:rPr/>
        <w:t>Mantenimiento y </w:t>
      </w:r>
      <w:r>
        <w:rPr>
          <w:spacing w:val="-3"/>
        </w:rPr>
        <w:t>Conservación </w:t>
      </w:r>
      <w:r>
        <w:rPr/>
        <w:t>Apéndice</w:t>
      </w:r>
      <w:r>
        <w:rPr>
          <w:spacing w:val="-2"/>
        </w:rPr>
        <w:t> </w:t>
      </w:r>
      <w:r>
        <w:rPr/>
        <w:t>A</w:t>
        <w:tab/>
        <w:t>Terminología Apéndice</w:t>
      </w:r>
      <w:r>
        <w:rPr>
          <w:spacing w:val="-2"/>
        </w:rPr>
        <w:t> </w:t>
      </w:r>
      <w:r>
        <w:rPr/>
        <w:t>B</w:t>
        <w:tab/>
        <w:t>Notación</w:t>
      </w:r>
    </w:p>
    <w:p>
      <w:pPr>
        <w:tabs>
          <w:tab w:pos="1917" w:val="left" w:leader="none"/>
        </w:tabs>
        <w:spacing w:before="0"/>
        <w:ind w:left="501" w:right="962" w:firstLine="0"/>
        <w:jc w:val="left"/>
        <w:rPr>
          <w:b/>
          <w:sz w:val="20"/>
        </w:rPr>
      </w:pPr>
      <w:r>
        <w:rPr>
          <w:b/>
          <w:sz w:val="20"/>
        </w:rPr>
        <w:t>Apéndice</w:t>
      </w:r>
      <w:r>
        <w:rPr>
          <w:b/>
          <w:spacing w:val="-2"/>
          <w:sz w:val="20"/>
        </w:rPr>
        <w:t> </w:t>
      </w:r>
      <w:r>
        <w:rPr>
          <w:b/>
          <w:sz w:val="20"/>
        </w:rPr>
        <w:t>C</w:t>
        <w:tab/>
        <w:t>Condiciones de diseño para la determinación del caudal de ventilación de los locales habitables de las</w:t>
      </w:r>
      <w:r>
        <w:rPr>
          <w:b/>
          <w:spacing w:val="-3"/>
          <w:sz w:val="20"/>
        </w:rPr>
        <w:t> </w:t>
      </w:r>
      <w:r>
        <w:rPr>
          <w:b/>
          <w:sz w:val="20"/>
        </w:rPr>
        <w:t>viviendas</w:t>
      </w:r>
    </w:p>
    <w:p>
      <w:pPr>
        <w:pStyle w:val="BodyText"/>
        <w:rPr>
          <w:b/>
          <w:sz w:val="22"/>
        </w:rPr>
      </w:pPr>
    </w:p>
    <w:p>
      <w:pPr>
        <w:pStyle w:val="BodyText"/>
        <w:rPr>
          <w:b/>
          <w:sz w:val="22"/>
        </w:rPr>
      </w:pPr>
    </w:p>
    <w:p>
      <w:pPr>
        <w:spacing w:before="184"/>
        <w:ind w:left="501" w:right="0" w:firstLine="0"/>
        <w:jc w:val="left"/>
        <w:rPr>
          <w:b/>
          <w:sz w:val="24"/>
        </w:rPr>
      </w:pPr>
      <w:r>
        <w:rPr>
          <w:b/>
          <w:sz w:val="24"/>
        </w:rPr>
        <w:t>Sección HS 4 Suministro de agua</w:t>
      </w:r>
    </w:p>
    <w:p>
      <w:pPr>
        <w:pStyle w:val="ListParagraph"/>
        <w:numPr>
          <w:ilvl w:val="0"/>
          <w:numId w:val="9"/>
        </w:numPr>
        <w:tabs>
          <w:tab w:pos="861" w:val="left" w:leader="none"/>
          <w:tab w:pos="862" w:val="left" w:leader="none"/>
        </w:tabs>
        <w:spacing w:line="240" w:lineRule="auto" w:before="230" w:after="0"/>
        <w:ind w:left="862" w:right="0" w:hanging="361"/>
        <w:jc w:val="left"/>
        <w:rPr>
          <w:b/>
          <w:sz w:val="20"/>
        </w:rPr>
      </w:pPr>
      <w:r>
        <w:rPr>
          <w:b/>
          <w:sz w:val="20"/>
        </w:rPr>
        <w:t>Generalidades</w:t>
      </w:r>
    </w:p>
    <w:p>
      <w:pPr>
        <w:pStyle w:val="ListParagraph"/>
        <w:numPr>
          <w:ilvl w:val="1"/>
          <w:numId w:val="9"/>
        </w:numPr>
        <w:tabs>
          <w:tab w:pos="1222" w:val="left" w:leader="none"/>
        </w:tabs>
        <w:spacing w:line="240" w:lineRule="auto" w:before="59" w:after="0"/>
        <w:ind w:left="1222" w:right="0" w:hanging="361"/>
        <w:jc w:val="left"/>
        <w:rPr>
          <w:sz w:val="20"/>
        </w:rPr>
      </w:pPr>
      <w:r>
        <w:rPr>
          <w:sz w:val="20"/>
        </w:rPr>
        <w:t>Ámbito de aplicación</w:t>
      </w:r>
    </w:p>
    <w:p>
      <w:pPr>
        <w:pStyle w:val="ListParagraph"/>
        <w:numPr>
          <w:ilvl w:val="1"/>
          <w:numId w:val="9"/>
        </w:numPr>
        <w:tabs>
          <w:tab w:pos="1222" w:val="left" w:leader="none"/>
        </w:tabs>
        <w:spacing w:line="240" w:lineRule="auto" w:before="0" w:after="0"/>
        <w:ind w:left="1222" w:right="0" w:hanging="361"/>
        <w:jc w:val="left"/>
        <w:rPr>
          <w:sz w:val="20"/>
        </w:rPr>
      </w:pPr>
      <w:r>
        <w:rPr>
          <w:sz w:val="20"/>
        </w:rPr>
        <w:t>Procedimiento de</w:t>
      </w:r>
      <w:r>
        <w:rPr>
          <w:spacing w:val="-2"/>
          <w:sz w:val="20"/>
        </w:rPr>
        <w:t> </w:t>
      </w:r>
      <w:r>
        <w:rPr>
          <w:sz w:val="20"/>
        </w:rPr>
        <w:t>verificación</w:t>
      </w:r>
    </w:p>
    <w:p>
      <w:pPr>
        <w:pStyle w:val="BodyText"/>
        <w:spacing w:before="1"/>
      </w:pPr>
    </w:p>
    <w:p>
      <w:pPr>
        <w:pStyle w:val="Heading5"/>
        <w:numPr>
          <w:ilvl w:val="0"/>
          <w:numId w:val="9"/>
        </w:numPr>
        <w:tabs>
          <w:tab w:pos="861" w:val="left" w:leader="none"/>
          <w:tab w:pos="862" w:val="left" w:leader="none"/>
        </w:tabs>
        <w:spacing w:line="240" w:lineRule="auto" w:before="0" w:after="0"/>
        <w:ind w:left="862" w:right="0" w:hanging="361"/>
        <w:jc w:val="left"/>
      </w:pPr>
      <w:r>
        <w:rPr/>
        <w:t>Caracterización y Cuantificación de las</w:t>
      </w:r>
      <w:r>
        <w:rPr>
          <w:spacing w:val="-4"/>
        </w:rPr>
        <w:t> </w:t>
      </w:r>
      <w:r>
        <w:rPr/>
        <w:t>Exigencias</w:t>
      </w:r>
    </w:p>
    <w:p>
      <w:pPr>
        <w:pStyle w:val="ListParagraph"/>
        <w:numPr>
          <w:ilvl w:val="1"/>
          <w:numId w:val="9"/>
        </w:numPr>
        <w:tabs>
          <w:tab w:pos="1222" w:val="left" w:leader="none"/>
        </w:tabs>
        <w:spacing w:line="230" w:lineRule="exact" w:before="59" w:after="0"/>
        <w:ind w:left="1222" w:right="0" w:hanging="361"/>
        <w:jc w:val="left"/>
        <w:rPr>
          <w:sz w:val="20"/>
        </w:rPr>
      </w:pPr>
      <w:r>
        <w:rPr>
          <w:sz w:val="20"/>
        </w:rPr>
        <w:t>Propiedades de la</w:t>
      </w:r>
      <w:r>
        <w:rPr>
          <w:spacing w:val="-3"/>
          <w:sz w:val="20"/>
        </w:rPr>
        <w:t> </w:t>
      </w:r>
      <w:r>
        <w:rPr>
          <w:sz w:val="20"/>
        </w:rPr>
        <w:t>instalación</w:t>
      </w:r>
    </w:p>
    <w:p>
      <w:pPr>
        <w:pStyle w:val="ListParagraph"/>
        <w:numPr>
          <w:ilvl w:val="1"/>
          <w:numId w:val="9"/>
        </w:numPr>
        <w:tabs>
          <w:tab w:pos="1222" w:val="left" w:leader="none"/>
        </w:tabs>
        <w:spacing w:line="230" w:lineRule="exact" w:before="0" w:after="0"/>
        <w:ind w:left="1222" w:right="0" w:hanging="361"/>
        <w:jc w:val="left"/>
        <w:rPr>
          <w:sz w:val="20"/>
        </w:rPr>
      </w:pPr>
      <w:r>
        <w:rPr>
          <w:sz w:val="20"/>
        </w:rPr>
        <w:t>Señalización</w:t>
      </w:r>
    </w:p>
    <w:p>
      <w:pPr>
        <w:pStyle w:val="ListParagraph"/>
        <w:numPr>
          <w:ilvl w:val="1"/>
          <w:numId w:val="9"/>
        </w:numPr>
        <w:tabs>
          <w:tab w:pos="1222" w:val="left" w:leader="none"/>
        </w:tabs>
        <w:spacing w:line="240" w:lineRule="auto" w:before="1" w:after="0"/>
        <w:ind w:left="1222" w:right="0" w:hanging="361"/>
        <w:jc w:val="left"/>
        <w:rPr>
          <w:sz w:val="20"/>
        </w:rPr>
      </w:pPr>
      <w:r>
        <w:rPr>
          <w:sz w:val="20"/>
        </w:rPr>
        <w:t>Ahorro de</w:t>
      </w:r>
      <w:r>
        <w:rPr>
          <w:spacing w:val="-2"/>
          <w:sz w:val="20"/>
        </w:rPr>
        <w:t> </w:t>
      </w:r>
      <w:r>
        <w:rPr>
          <w:sz w:val="20"/>
        </w:rPr>
        <w:t>agua</w:t>
      </w:r>
    </w:p>
    <w:p>
      <w:pPr>
        <w:pStyle w:val="BodyText"/>
      </w:pPr>
    </w:p>
    <w:p>
      <w:pPr>
        <w:pStyle w:val="Heading5"/>
        <w:numPr>
          <w:ilvl w:val="0"/>
          <w:numId w:val="9"/>
        </w:numPr>
        <w:tabs>
          <w:tab w:pos="861" w:val="left" w:leader="none"/>
          <w:tab w:pos="862" w:val="left" w:leader="none"/>
        </w:tabs>
        <w:spacing w:line="240" w:lineRule="auto" w:before="1" w:after="0"/>
        <w:ind w:left="862" w:right="0" w:hanging="361"/>
        <w:jc w:val="left"/>
      </w:pPr>
      <w:r>
        <w:rPr/>
        <w:t>Diseño</w:t>
      </w:r>
    </w:p>
    <w:p>
      <w:pPr>
        <w:pStyle w:val="ListParagraph"/>
        <w:numPr>
          <w:ilvl w:val="1"/>
          <w:numId w:val="9"/>
        </w:numPr>
        <w:tabs>
          <w:tab w:pos="1222" w:val="left" w:leader="none"/>
        </w:tabs>
        <w:spacing w:line="230" w:lineRule="exact" w:before="59" w:after="0"/>
        <w:ind w:left="1222" w:right="0" w:hanging="361"/>
        <w:jc w:val="left"/>
        <w:rPr>
          <w:sz w:val="20"/>
        </w:rPr>
      </w:pPr>
      <w:r>
        <w:rPr>
          <w:sz w:val="20"/>
        </w:rPr>
        <w:t>Esquema general de la</w:t>
      </w:r>
      <w:r>
        <w:rPr>
          <w:spacing w:val="-2"/>
          <w:sz w:val="20"/>
        </w:rPr>
        <w:t> </w:t>
      </w:r>
      <w:r>
        <w:rPr>
          <w:sz w:val="20"/>
        </w:rPr>
        <w:t>instalación</w:t>
      </w:r>
    </w:p>
    <w:p>
      <w:pPr>
        <w:pStyle w:val="ListParagraph"/>
        <w:numPr>
          <w:ilvl w:val="1"/>
          <w:numId w:val="9"/>
        </w:numPr>
        <w:tabs>
          <w:tab w:pos="1222" w:val="left" w:leader="none"/>
        </w:tabs>
        <w:spacing w:line="240" w:lineRule="auto" w:before="0" w:after="0"/>
        <w:ind w:left="1222" w:right="0" w:hanging="361"/>
        <w:jc w:val="left"/>
        <w:rPr>
          <w:sz w:val="20"/>
        </w:rPr>
      </w:pPr>
      <w:r>
        <w:rPr>
          <w:sz w:val="20"/>
        </w:rPr>
        <w:t>Elementos que componen la</w:t>
      </w:r>
      <w:r>
        <w:rPr>
          <w:spacing w:val="-2"/>
          <w:sz w:val="20"/>
        </w:rPr>
        <w:t> </w:t>
      </w:r>
      <w:r>
        <w:rPr>
          <w:sz w:val="20"/>
        </w:rPr>
        <w:t>instalación</w:t>
      </w:r>
    </w:p>
    <w:p>
      <w:pPr>
        <w:pStyle w:val="ListParagraph"/>
        <w:numPr>
          <w:ilvl w:val="1"/>
          <w:numId w:val="9"/>
        </w:numPr>
        <w:tabs>
          <w:tab w:pos="1222" w:val="left" w:leader="none"/>
        </w:tabs>
        <w:spacing w:line="240" w:lineRule="auto" w:before="0" w:after="0"/>
        <w:ind w:left="1222" w:right="0" w:hanging="361"/>
        <w:jc w:val="left"/>
        <w:rPr>
          <w:sz w:val="20"/>
        </w:rPr>
      </w:pPr>
      <w:r>
        <w:rPr>
          <w:sz w:val="20"/>
        </w:rPr>
        <w:t>Protección contra</w:t>
      </w:r>
      <w:r>
        <w:rPr>
          <w:spacing w:val="-2"/>
          <w:sz w:val="20"/>
        </w:rPr>
        <w:t> </w:t>
      </w:r>
      <w:r>
        <w:rPr>
          <w:sz w:val="20"/>
        </w:rPr>
        <w:t>retornos</w:t>
      </w:r>
    </w:p>
    <w:p>
      <w:pPr>
        <w:pStyle w:val="ListParagraph"/>
        <w:numPr>
          <w:ilvl w:val="1"/>
          <w:numId w:val="9"/>
        </w:numPr>
        <w:tabs>
          <w:tab w:pos="1222" w:val="left" w:leader="none"/>
        </w:tabs>
        <w:spacing w:line="230" w:lineRule="exact" w:before="0" w:after="0"/>
        <w:ind w:left="1222" w:right="0" w:hanging="361"/>
        <w:jc w:val="left"/>
        <w:rPr>
          <w:sz w:val="20"/>
        </w:rPr>
      </w:pPr>
      <w:r>
        <w:rPr>
          <w:sz w:val="20"/>
        </w:rPr>
        <w:t>Separaciones respecto de otras</w:t>
      </w:r>
      <w:r>
        <w:rPr>
          <w:spacing w:val="-3"/>
          <w:sz w:val="20"/>
        </w:rPr>
        <w:t> </w:t>
      </w:r>
      <w:r>
        <w:rPr>
          <w:sz w:val="20"/>
        </w:rPr>
        <w:t>instalaciones</w:t>
      </w:r>
    </w:p>
    <w:p>
      <w:pPr>
        <w:pStyle w:val="ListParagraph"/>
        <w:numPr>
          <w:ilvl w:val="1"/>
          <w:numId w:val="9"/>
        </w:numPr>
        <w:tabs>
          <w:tab w:pos="1222" w:val="left" w:leader="none"/>
        </w:tabs>
        <w:spacing w:line="230" w:lineRule="exact" w:before="0" w:after="0"/>
        <w:ind w:left="1222" w:right="0" w:hanging="361"/>
        <w:jc w:val="left"/>
        <w:rPr>
          <w:sz w:val="20"/>
        </w:rPr>
      </w:pPr>
      <w:r>
        <w:rPr>
          <w:sz w:val="20"/>
        </w:rPr>
        <w:t>Señalización</w:t>
      </w:r>
    </w:p>
    <w:p>
      <w:pPr>
        <w:pStyle w:val="ListParagraph"/>
        <w:numPr>
          <w:ilvl w:val="1"/>
          <w:numId w:val="9"/>
        </w:numPr>
        <w:tabs>
          <w:tab w:pos="1222" w:val="left" w:leader="none"/>
        </w:tabs>
        <w:spacing w:line="240" w:lineRule="auto" w:before="1" w:after="0"/>
        <w:ind w:left="1222" w:right="0" w:hanging="361"/>
        <w:jc w:val="left"/>
        <w:rPr>
          <w:sz w:val="20"/>
        </w:rPr>
      </w:pPr>
      <w:r>
        <w:rPr>
          <w:sz w:val="20"/>
        </w:rPr>
        <w:t>Ahorro de</w:t>
      </w:r>
      <w:r>
        <w:rPr>
          <w:spacing w:val="-1"/>
          <w:sz w:val="20"/>
        </w:rPr>
        <w:t> </w:t>
      </w:r>
      <w:r>
        <w:rPr>
          <w:sz w:val="20"/>
        </w:rPr>
        <w:t>agua</w:t>
      </w:r>
    </w:p>
    <w:p>
      <w:pPr>
        <w:spacing w:after="0" w:line="240" w:lineRule="auto"/>
        <w:jc w:val="left"/>
        <w:rPr>
          <w:sz w:val="20"/>
        </w:rPr>
        <w:sectPr>
          <w:pgSz w:w="11910" w:h="16840"/>
          <w:pgMar w:header="714" w:footer="642" w:top="1320" w:bottom="840" w:left="1200" w:right="740"/>
        </w:sectPr>
      </w:pPr>
    </w:p>
    <w:p>
      <w:pPr>
        <w:pStyle w:val="Heading5"/>
        <w:numPr>
          <w:ilvl w:val="0"/>
          <w:numId w:val="9"/>
        </w:numPr>
        <w:tabs>
          <w:tab w:pos="861" w:val="left" w:leader="none"/>
          <w:tab w:pos="862" w:val="left" w:leader="none"/>
        </w:tabs>
        <w:spacing w:line="240" w:lineRule="auto" w:before="92" w:after="0"/>
        <w:ind w:left="862" w:right="0" w:hanging="361"/>
        <w:jc w:val="left"/>
      </w:pPr>
      <w:r>
        <w:rPr/>
        <w:t>Dimensionado</w:t>
      </w:r>
    </w:p>
    <w:p>
      <w:pPr>
        <w:pStyle w:val="ListParagraph"/>
        <w:numPr>
          <w:ilvl w:val="1"/>
          <w:numId w:val="9"/>
        </w:numPr>
        <w:tabs>
          <w:tab w:pos="1222" w:val="left" w:leader="none"/>
        </w:tabs>
        <w:spacing w:line="240" w:lineRule="auto" w:before="58" w:after="0"/>
        <w:ind w:left="1222" w:right="0" w:hanging="361"/>
        <w:jc w:val="left"/>
        <w:rPr>
          <w:sz w:val="20"/>
        </w:rPr>
      </w:pPr>
      <w:r>
        <w:rPr>
          <w:sz w:val="20"/>
        </w:rPr>
        <w:t>Reserva de espacio en el</w:t>
      </w:r>
      <w:r>
        <w:rPr>
          <w:spacing w:val="-3"/>
          <w:sz w:val="20"/>
        </w:rPr>
        <w:t> </w:t>
      </w:r>
      <w:r>
        <w:rPr>
          <w:sz w:val="20"/>
        </w:rPr>
        <w:t>edificio</w:t>
      </w:r>
    </w:p>
    <w:p>
      <w:pPr>
        <w:pStyle w:val="ListParagraph"/>
        <w:numPr>
          <w:ilvl w:val="1"/>
          <w:numId w:val="9"/>
        </w:numPr>
        <w:tabs>
          <w:tab w:pos="1222" w:val="left" w:leader="none"/>
        </w:tabs>
        <w:spacing w:line="240" w:lineRule="auto" w:before="1" w:after="0"/>
        <w:ind w:left="1222" w:right="0" w:hanging="361"/>
        <w:jc w:val="left"/>
        <w:rPr>
          <w:sz w:val="20"/>
        </w:rPr>
      </w:pPr>
      <w:r>
        <w:rPr>
          <w:sz w:val="20"/>
        </w:rPr>
        <w:t>Dimensionado de las redes de</w:t>
      </w:r>
      <w:r>
        <w:rPr>
          <w:spacing w:val="-1"/>
          <w:sz w:val="20"/>
        </w:rPr>
        <w:t> </w:t>
      </w:r>
      <w:r>
        <w:rPr>
          <w:sz w:val="20"/>
        </w:rPr>
        <w:t>distribución</w:t>
      </w:r>
    </w:p>
    <w:p>
      <w:pPr>
        <w:pStyle w:val="ListParagraph"/>
        <w:numPr>
          <w:ilvl w:val="1"/>
          <w:numId w:val="9"/>
        </w:numPr>
        <w:tabs>
          <w:tab w:pos="1222" w:val="left" w:leader="none"/>
        </w:tabs>
        <w:spacing w:line="230" w:lineRule="exact" w:before="0" w:after="0"/>
        <w:ind w:left="1222" w:right="0" w:hanging="361"/>
        <w:jc w:val="left"/>
        <w:rPr>
          <w:sz w:val="20"/>
        </w:rPr>
      </w:pPr>
      <w:r>
        <w:rPr>
          <w:sz w:val="20"/>
        </w:rPr>
        <w:t>Dimensionado de las derivaciones a cuartos húmedos y ramales de</w:t>
      </w:r>
      <w:r>
        <w:rPr>
          <w:spacing w:val="-3"/>
          <w:sz w:val="20"/>
        </w:rPr>
        <w:t> </w:t>
      </w:r>
      <w:r>
        <w:rPr>
          <w:sz w:val="20"/>
        </w:rPr>
        <w:t>enlace</w:t>
      </w:r>
    </w:p>
    <w:p>
      <w:pPr>
        <w:pStyle w:val="ListParagraph"/>
        <w:numPr>
          <w:ilvl w:val="1"/>
          <w:numId w:val="9"/>
        </w:numPr>
        <w:tabs>
          <w:tab w:pos="1222" w:val="left" w:leader="none"/>
        </w:tabs>
        <w:spacing w:line="230" w:lineRule="exact" w:before="0" w:after="0"/>
        <w:ind w:left="1222" w:right="0" w:hanging="361"/>
        <w:jc w:val="left"/>
        <w:rPr>
          <w:sz w:val="20"/>
        </w:rPr>
      </w:pPr>
      <w:r>
        <w:rPr>
          <w:sz w:val="20"/>
        </w:rPr>
        <w:t>Dimensionado de las redes de ACS</w:t>
      </w:r>
    </w:p>
    <w:p>
      <w:pPr>
        <w:pStyle w:val="ListParagraph"/>
        <w:numPr>
          <w:ilvl w:val="1"/>
          <w:numId w:val="9"/>
        </w:numPr>
        <w:tabs>
          <w:tab w:pos="1222" w:val="left" w:leader="none"/>
        </w:tabs>
        <w:spacing w:line="240" w:lineRule="auto" w:before="1" w:after="0"/>
        <w:ind w:left="1222" w:right="0" w:hanging="361"/>
        <w:jc w:val="left"/>
        <w:rPr>
          <w:sz w:val="20"/>
        </w:rPr>
      </w:pPr>
      <w:r>
        <w:rPr>
          <w:sz w:val="20"/>
        </w:rPr>
        <w:t>Dimensionado de los equipos, elementos y dispositivos de la</w:t>
      </w:r>
      <w:r>
        <w:rPr>
          <w:spacing w:val="-5"/>
          <w:sz w:val="20"/>
        </w:rPr>
        <w:t> </w:t>
      </w:r>
      <w:r>
        <w:rPr>
          <w:sz w:val="20"/>
        </w:rPr>
        <w:t>instalación</w:t>
      </w:r>
    </w:p>
    <w:p>
      <w:pPr>
        <w:pStyle w:val="BodyText"/>
        <w:spacing w:before="1"/>
      </w:pPr>
    </w:p>
    <w:p>
      <w:pPr>
        <w:pStyle w:val="Heading5"/>
        <w:numPr>
          <w:ilvl w:val="0"/>
          <w:numId w:val="9"/>
        </w:numPr>
        <w:tabs>
          <w:tab w:pos="359" w:val="left" w:leader="none"/>
          <w:tab w:pos="862" w:val="left" w:leader="none"/>
        </w:tabs>
        <w:spacing w:line="240" w:lineRule="auto" w:before="0" w:after="0"/>
        <w:ind w:left="862" w:right="7813" w:hanging="862"/>
        <w:jc w:val="right"/>
      </w:pPr>
      <w:r>
        <w:rPr>
          <w:spacing w:val="-1"/>
        </w:rPr>
        <w:t>Construcción</w:t>
      </w:r>
    </w:p>
    <w:p>
      <w:pPr>
        <w:pStyle w:val="ListParagraph"/>
        <w:numPr>
          <w:ilvl w:val="1"/>
          <w:numId w:val="9"/>
        </w:numPr>
        <w:tabs>
          <w:tab w:pos="360" w:val="left" w:leader="none"/>
        </w:tabs>
        <w:spacing w:line="240" w:lineRule="auto" w:before="59" w:after="0"/>
        <w:ind w:left="1222" w:right="7874" w:hanging="1222"/>
        <w:jc w:val="right"/>
        <w:rPr>
          <w:sz w:val="20"/>
        </w:rPr>
      </w:pPr>
      <w:r>
        <w:rPr>
          <w:spacing w:val="-1"/>
          <w:sz w:val="20"/>
        </w:rPr>
        <w:t>Ejecución</w:t>
      </w:r>
    </w:p>
    <w:p>
      <w:pPr>
        <w:pStyle w:val="ListParagraph"/>
        <w:numPr>
          <w:ilvl w:val="1"/>
          <w:numId w:val="9"/>
        </w:numPr>
        <w:tabs>
          <w:tab w:pos="1222" w:val="left" w:leader="none"/>
        </w:tabs>
        <w:spacing w:line="240" w:lineRule="auto" w:before="0" w:after="0"/>
        <w:ind w:left="1222" w:right="0" w:hanging="361"/>
        <w:jc w:val="left"/>
        <w:rPr>
          <w:sz w:val="20"/>
        </w:rPr>
      </w:pPr>
      <w:r>
        <w:rPr>
          <w:sz w:val="20"/>
        </w:rPr>
        <w:t>Puesta en</w:t>
      </w:r>
      <w:r>
        <w:rPr>
          <w:spacing w:val="-2"/>
          <w:sz w:val="20"/>
        </w:rPr>
        <w:t> </w:t>
      </w:r>
      <w:r>
        <w:rPr>
          <w:sz w:val="20"/>
        </w:rPr>
        <w:t>servicio</w:t>
      </w:r>
    </w:p>
    <w:p>
      <w:pPr>
        <w:pStyle w:val="BodyText"/>
        <w:spacing w:before="1"/>
      </w:pPr>
    </w:p>
    <w:p>
      <w:pPr>
        <w:pStyle w:val="Heading5"/>
        <w:numPr>
          <w:ilvl w:val="0"/>
          <w:numId w:val="9"/>
        </w:numPr>
        <w:tabs>
          <w:tab w:pos="861" w:val="left" w:leader="none"/>
          <w:tab w:pos="862" w:val="left" w:leader="none"/>
        </w:tabs>
        <w:spacing w:line="240" w:lineRule="auto" w:before="0" w:after="0"/>
        <w:ind w:left="862" w:right="0" w:hanging="361"/>
        <w:jc w:val="left"/>
      </w:pPr>
      <w:r>
        <w:rPr/>
        <w:t>Productos de</w:t>
      </w:r>
      <w:r>
        <w:rPr>
          <w:spacing w:val="-1"/>
        </w:rPr>
        <w:t> </w:t>
      </w:r>
      <w:r>
        <w:rPr/>
        <w:t>Construcción</w:t>
      </w:r>
    </w:p>
    <w:p>
      <w:pPr>
        <w:pStyle w:val="ListParagraph"/>
        <w:numPr>
          <w:ilvl w:val="1"/>
          <w:numId w:val="9"/>
        </w:numPr>
        <w:tabs>
          <w:tab w:pos="1222" w:val="left" w:leader="none"/>
        </w:tabs>
        <w:spacing w:line="240" w:lineRule="auto" w:before="58" w:after="0"/>
        <w:ind w:left="1222" w:right="0" w:hanging="361"/>
        <w:jc w:val="left"/>
        <w:rPr>
          <w:sz w:val="20"/>
        </w:rPr>
      </w:pPr>
      <w:r>
        <w:rPr>
          <w:sz w:val="20"/>
        </w:rPr>
        <w:t>Condiciones generales de los</w:t>
      </w:r>
      <w:r>
        <w:rPr>
          <w:spacing w:val="-3"/>
          <w:sz w:val="20"/>
        </w:rPr>
        <w:t> </w:t>
      </w:r>
      <w:r>
        <w:rPr>
          <w:sz w:val="20"/>
        </w:rPr>
        <w:t>materiales</w:t>
      </w:r>
    </w:p>
    <w:p>
      <w:pPr>
        <w:pStyle w:val="ListParagraph"/>
        <w:numPr>
          <w:ilvl w:val="1"/>
          <w:numId w:val="9"/>
        </w:numPr>
        <w:tabs>
          <w:tab w:pos="1222" w:val="left" w:leader="none"/>
        </w:tabs>
        <w:spacing w:line="240" w:lineRule="auto" w:before="1" w:after="0"/>
        <w:ind w:left="1222" w:right="0" w:hanging="361"/>
        <w:jc w:val="left"/>
        <w:rPr>
          <w:sz w:val="20"/>
        </w:rPr>
      </w:pPr>
      <w:r>
        <w:rPr>
          <w:sz w:val="20"/>
        </w:rPr>
        <w:t>Condiciones particulares de las</w:t>
      </w:r>
      <w:r>
        <w:rPr>
          <w:spacing w:val="-1"/>
          <w:sz w:val="20"/>
        </w:rPr>
        <w:t> </w:t>
      </w:r>
      <w:r>
        <w:rPr>
          <w:sz w:val="20"/>
        </w:rPr>
        <w:t>conducciones</w:t>
      </w:r>
    </w:p>
    <w:p>
      <w:pPr>
        <w:pStyle w:val="ListParagraph"/>
        <w:numPr>
          <w:ilvl w:val="1"/>
          <w:numId w:val="9"/>
        </w:numPr>
        <w:tabs>
          <w:tab w:pos="1222" w:val="left" w:leader="none"/>
        </w:tabs>
        <w:spacing w:line="240" w:lineRule="auto" w:before="0" w:after="0"/>
        <w:ind w:left="1222" w:right="0" w:hanging="361"/>
        <w:jc w:val="left"/>
        <w:rPr>
          <w:sz w:val="20"/>
        </w:rPr>
      </w:pPr>
      <w:r>
        <w:rPr>
          <w:sz w:val="20"/>
        </w:rPr>
        <w:t>Incompatibilidades</w:t>
      </w:r>
    </w:p>
    <w:p>
      <w:pPr>
        <w:pStyle w:val="BodyText"/>
        <w:spacing w:before="1"/>
      </w:pPr>
    </w:p>
    <w:p>
      <w:pPr>
        <w:pStyle w:val="Heading5"/>
        <w:numPr>
          <w:ilvl w:val="0"/>
          <w:numId w:val="9"/>
        </w:numPr>
        <w:tabs>
          <w:tab w:pos="861" w:val="left" w:leader="none"/>
          <w:tab w:pos="862" w:val="left" w:leader="none"/>
        </w:tabs>
        <w:spacing w:line="240" w:lineRule="auto" w:before="0" w:after="0"/>
        <w:ind w:left="862" w:right="0" w:hanging="361"/>
        <w:jc w:val="left"/>
      </w:pPr>
      <w:r>
        <w:rPr/>
        <w:t>Mantenimiento y</w:t>
      </w:r>
      <w:r>
        <w:rPr>
          <w:spacing w:val="-2"/>
        </w:rPr>
        <w:t> </w:t>
      </w:r>
      <w:r>
        <w:rPr/>
        <w:t>Conservación</w:t>
      </w:r>
    </w:p>
    <w:p>
      <w:pPr>
        <w:pStyle w:val="ListParagraph"/>
        <w:numPr>
          <w:ilvl w:val="1"/>
          <w:numId w:val="9"/>
        </w:numPr>
        <w:tabs>
          <w:tab w:pos="1222" w:val="left" w:leader="none"/>
        </w:tabs>
        <w:spacing w:line="230" w:lineRule="exact" w:before="59" w:after="0"/>
        <w:ind w:left="1222" w:right="0" w:hanging="361"/>
        <w:jc w:val="left"/>
        <w:rPr>
          <w:sz w:val="20"/>
        </w:rPr>
      </w:pPr>
      <w:r>
        <w:rPr>
          <w:sz w:val="20"/>
        </w:rPr>
        <w:t>Interrupción del</w:t>
      </w:r>
      <w:r>
        <w:rPr>
          <w:spacing w:val="-1"/>
          <w:sz w:val="20"/>
        </w:rPr>
        <w:t> </w:t>
      </w:r>
      <w:r>
        <w:rPr>
          <w:sz w:val="20"/>
        </w:rPr>
        <w:t>servicio</w:t>
      </w:r>
    </w:p>
    <w:p>
      <w:pPr>
        <w:pStyle w:val="ListParagraph"/>
        <w:numPr>
          <w:ilvl w:val="1"/>
          <w:numId w:val="9"/>
        </w:numPr>
        <w:tabs>
          <w:tab w:pos="1222" w:val="left" w:leader="none"/>
        </w:tabs>
        <w:spacing w:line="230" w:lineRule="exact" w:before="0" w:after="0"/>
        <w:ind w:left="1222" w:right="0" w:hanging="361"/>
        <w:jc w:val="left"/>
        <w:rPr>
          <w:sz w:val="20"/>
        </w:rPr>
      </w:pPr>
      <w:r>
        <w:rPr>
          <w:sz w:val="20"/>
        </w:rPr>
        <w:t>Nueva puesta en</w:t>
      </w:r>
      <w:r>
        <w:rPr>
          <w:spacing w:val="-1"/>
          <w:sz w:val="20"/>
        </w:rPr>
        <w:t> </w:t>
      </w:r>
      <w:r>
        <w:rPr>
          <w:sz w:val="20"/>
        </w:rPr>
        <w:t>servicio</w:t>
      </w:r>
    </w:p>
    <w:p>
      <w:pPr>
        <w:pStyle w:val="ListParagraph"/>
        <w:numPr>
          <w:ilvl w:val="1"/>
          <w:numId w:val="9"/>
        </w:numPr>
        <w:tabs>
          <w:tab w:pos="1222" w:val="left" w:leader="none"/>
        </w:tabs>
        <w:spacing w:line="240" w:lineRule="auto" w:before="1" w:after="0"/>
        <w:ind w:left="1222" w:right="0" w:hanging="361"/>
        <w:jc w:val="left"/>
        <w:rPr>
          <w:sz w:val="20"/>
        </w:rPr>
      </w:pPr>
      <w:r>
        <w:rPr>
          <w:sz w:val="20"/>
        </w:rPr>
        <w:t>Mantenimiento de las</w:t>
      </w:r>
      <w:r>
        <w:rPr>
          <w:spacing w:val="-1"/>
          <w:sz w:val="20"/>
        </w:rPr>
        <w:t> </w:t>
      </w:r>
      <w:r>
        <w:rPr>
          <w:sz w:val="20"/>
        </w:rPr>
        <w:t>instalaciones</w:t>
      </w:r>
    </w:p>
    <w:p>
      <w:pPr>
        <w:pStyle w:val="BodyText"/>
      </w:pPr>
    </w:p>
    <w:p>
      <w:pPr>
        <w:pStyle w:val="Heading5"/>
        <w:tabs>
          <w:tab w:pos="1917" w:val="left" w:leader="none"/>
        </w:tabs>
        <w:spacing w:line="480" w:lineRule="auto"/>
        <w:ind w:left="501" w:right="5868"/>
      </w:pPr>
      <w:r>
        <w:rPr/>
        <w:t>Apéndice</w:t>
      </w:r>
      <w:r>
        <w:rPr>
          <w:spacing w:val="-2"/>
        </w:rPr>
        <w:t> </w:t>
      </w:r>
      <w:r>
        <w:rPr/>
        <w:t>A</w:t>
        <w:tab/>
        <w:t>Terminología Apéndice</w:t>
      </w:r>
      <w:r>
        <w:rPr>
          <w:spacing w:val="-2"/>
        </w:rPr>
        <w:t> </w:t>
      </w:r>
      <w:r>
        <w:rPr/>
        <w:t>B</w:t>
        <w:tab/>
        <w:t>Notaciones y </w:t>
      </w:r>
      <w:r>
        <w:rPr>
          <w:spacing w:val="-3"/>
        </w:rPr>
        <w:t>unidades </w:t>
      </w:r>
      <w:r>
        <w:rPr/>
        <w:t>Apéndice</w:t>
      </w:r>
      <w:r>
        <w:rPr>
          <w:spacing w:val="-2"/>
        </w:rPr>
        <w:t> </w:t>
      </w:r>
      <w:r>
        <w:rPr/>
        <w:t>C</w:t>
        <w:tab/>
        <w:t>Normas de referencia Apéndice</w:t>
      </w:r>
      <w:r>
        <w:rPr>
          <w:spacing w:val="-2"/>
        </w:rPr>
        <w:t> </w:t>
      </w:r>
      <w:r>
        <w:rPr/>
        <w:t>D</w:t>
        <w:tab/>
        <w:t>Simbología</w:t>
      </w:r>
    </w:p>
    <w:p>
      <w:pPr>
        <w:pStyle w:val="BodyText"/>
        <w:rPr>
          <w:b/>
          <w:sz w:val="22"/>
        </w:rPr>
      </w:pPr>
    </w:p>
    <w:p>
      <w:pPr>
        <w:pStyle w:val="BodyText"/>
        <w:spacing w:before="1"/>
        <w:rPr>
          <w:b/>
          <w:sz w:val="18"/>
        </w:rPr>
      </w:pPr>
    </w:p>
    <w:p>
      <w:pPr>
        <w:spacing w:before="0"/>
        <w:ind w:left="501" w:right="0" w:firstLine="0"/>
        <w:jc w:val="left"/>
        <w:rPr>
          <w:b/>
          <w:sz w:val="24"/>
        </w:rPr>
      </w:pPr>
      <w:r>
        <w:rPr>
          <w:b/>
          <w:sz w:val="24"/>
        </w:rPr>
        <w:t>Sección HS 5 Evacuación de aguas</w:t>
      </w:r>
    </w:p>
    <w:p>
      <w:pPr>
        <w:pStyle w:val="ListParagraph"/>
        <w:numPr>
          <w:ilvl w:val="0"/>
          <w:numId w:val="10"/>
        </w:numPr>
        <w:tabs>
          <w:tab w:pos="861" w:val="left" w:leader="none"/>
          <w:tab w:pos="862" w:val="left" w:leader="none"/>
        </w:tabs>
        <w:spacing w:line="240" w:lineRule="auto" w:before="230" w:after="0"/>
        <w:ind w:left="862" w:right="0" w:hanging="361"/>
        <w:jc w:val="left"/>
        <w:rPr>
          <w:b/>
          <w:sz w:val="20"/>
        </w:rPr>
      </w:pPr>
      <w:r>
        <w:rPr>
          <w:b/>
          <w:sz w:val="20"/>
        </w:rPr>
        <w:t>Generalidades</w:t>
      </w:r>
    </w:p>
    <w:p>
      <w:pPr>
        <w:pStyle w:val="ListParagraph"/>
        <w:numPr>
          <w:ilvl w:val="1"/>
          <w:numId w:val="10"/>
        </w:numPr>
        <w:tabs>
          <w:tab w:pos="1222" w:val="left" w:leader="none"/>
        </w:tabs>
        <w:spacing w:line="240" w:lineRule="auto" w:before="59" w:after="0"/>
        <w:ind w:left="1222" w:right="0" w:hanging="361"/>
        <w:jc w:val="left"/>
        <w:rPr>
          <w:sz w:val="20"/>
        </w:rPr>
      </w:pPr>
      <w:r>
        <w:rPr>
          <w:sz w:val="20"/>
        </w:rPr>
        <w:t>Ámbito de aplicación</w:t>
      </w:r>
    </w:p>
    <w:p>
      <w:pPr>
        <w:pStyle w:val="ListParagraph"/>
        <w:numPr>
          <w:ilvl w:val="1"/>
          <w:numId w:val="10"/>
        </w:numPr>
        <w:tabs>
          <w:tab w:pos="1222" w:val="left" w:leader="none"/>
        </w:tabs>
        <w:spacing w:line="240" w:lineRule="auto" w:before="0" w:after="0"/>
        <w:ind w:left="1222" w:right="0" w:hanging="361"/>
        <w:jc w:val="left"/>
        <w:rPr>
          <w:sz w:val="20"/>
        </w:rPr>
      </w:pPr>
      <w:r>
        <w:rPr>
          <w:sz w:val="20"/>
        </w:rPr>
        <w:t>Procedimiento de</w:t>
      </w:r>
      <w:r>
        <w:rPr>
          <w:spacing w:val="-2"/>
          <w:sz w:val="20"/>
        </w:rPr>
        <w:t> </w:t>
      </w:r>
      <w:r>
        <w:rPr>
          <w:sz w:val="20"/>
        </w:rPr>
        <w:t>verificación</w:t>
      </w:r>
    </w:p>
    <w:p>
      <w:pPr>
        <w:pStyle w:val="BodyText"/>
        <w:spacing w:before="1"/>
      </w:pPr>
    </w:p>
    <w:p>
      <w:pPr>
        <w:pStyle w:val="Heading5"/>
        <w:numPr>
          <w:ilvl w:val="0"/>
          <w:numId w:val="10"/>
        </w:numPr>
        <w:tabs>
          <w:tab w:pos="861" w:val="left" w:leader="none"/>
          <w:tab w:pos="862" w:val="left" w:leader="none"/>
        </w:tabs>
        <w:spacing w:line="240" w:lineRule="auto" w:before="0" w:after="0"/>
        <w:ind w:left="862" w:right="0" w:hanging="361"/>
        <w:jc w:val="left"/>
      </w:pPr>
      <w:r>
        <w:rPr/>
        <w:t>Caracterización y Cuantificación de las</w:t>
      </w:r>
      <w:r>
        <w:rPr>
          <w:spacing w:val="-4"/>
        </w:rPr>
        <w:t> </w:t>
      </w:r>
      <w:r>
        <w:rPr/>
        <w:t>Exigencias</w:t>
      </w:r>
    </w:p>
    <w:p>
      <w:pPr>
        <w:pStyle w:val="BodyText"/>
        <w:rPr>
          <w:b/>
        </w:rPr>
      </w:pPr>
    </w:p>
    <w:p>
      <w:pPr>
        <w:pStyle w:val="ListParagraph"/>
        <w:numPr>
          <w:ilvl w:val="0"/>
          <w:numId w:val="10"/>
        </w:numPr>
        <w:tabs>
          <w:tab w:pos="861" w:val="left" w:leader="none"/>
          <w:tab w:pos="862" w:val="left" w:leader="none"/>
        </w:tabs>
        <w:spacing w:line="240" w:lineRule="auto" w:before="0" w:after="0"/>
        <w:ind w:left="862" w:right="0" w:hanging="361"/>
        <w:jc w:val="left"/>
        <w:rPr>
          <w:b/>
          <w:sz w:val="20"/>
        </w:rPr>
      </w:pPr>
      <w:r>
        <w:rPr>
          <w:b/>
          <w:sz w:val="20"/>
        </w:rPr>
        <w:t>Diseño</w:t>
      </w:r>
    </w:p>
    <w:p>
      <w:pPr>
        <w:pStyle w:val="ListParagraph"/>
        <w:numPr>
          <w:ilvl w:val="1"/>
          <w:numId w:val="10"/>
        </w:numPr>
        <w:tabs>
          <w:tab w:pos="1222" w:val="left" w:leader="none"/>
        </w:tabs>
        <w:spacing w:line="240" w:lineRule="auto" w:before="59" w:after="0"/>
        <w:ind w:left="1222" w:right="0" w:hanging="361"/>
        <w:jc w:val="left"/>
        <w:rPr>
          <w:sz w:val="20"/>
        </w:rPr>
      </w:pPr>
      <w:r>
        <w:rPr>
          <w:sz w:val="20"/>
        </w:rPr>
        <w:t>Condiciones generales de la</w:t>
      </w:r>
      <w:r>
        <w:rPr>
          <w:spacing w:val="-3"/>
          <w:sz w:val="20"/>
        </w:rPr>
        <w:t> </w:t>
      </w:r>
      <w:r>
        <w:rPr>
          <w:sz w:val="20"/>
        </w:rPr>
        <w:t>evacuación</w:t>
      </w:r>
    </w:p>
    <w:p>
      <w:pPr>
        <w:pStyle w:val="ListParagraph"/>
        <w:numPr>
          <w:ilvl w:val="1"/>
          <w:numId w:val="10"/>
        </w:numPr>
        <w:tabs>
          <w:tab w:pos="1222" w:val="left" w:leader="none"/>
        </w:tabs>
        <w:spacing w:line="230" w:lineRule="exact" w:before="0" w:after="0"/>
        <w:ind w:left="1222" w:right="0" w:hanging="361"/>
        <w:jc w:val="left"/>
        <w:rPr>
          <w:sz w:val="20"/>
        </w:rPr>
      </w:pPr>
      <w:r>
        <w:rPr>
          <w:sz w:val="20"/>
        </w:rPr>
        <w:t>Configuraciones de los sistemas de</w:t>
      </w:r>
      <w:r>
        <w:rPr>
          <w:spacing w:val="-2"/>
          <w:sz w:val="20"/>
        </w:rPr>
        <w:t> </w:t>
      </w:r>
      <w:r>
        <w:rPr>
          <w:sz w:val="20"/>
        </w:rPr>
        <w:t>evacuación</w:t>
      </w:r>
    </w:p>
    <w:p>
      <w:pPr>
        <w:pStyle w:val="ListParagraph"/>
        <w:numPr>
          <w:ilvl w:val="1"/>
          <w:numId w:val="10"/>
        </w:numPr>
        <w:tabs>
          <w:tab w:pos="1222" w:val="left" w:leader="none"/>
        </w:tabs>
        <w:spacing w:line="230" w:lineRule="exact" w:before="0" w:after="0"/>
        <w:ind w:left="1222" w:right="0" w:hanging="361"/>
        <w:jc w:val="left"/>
        <w:rPr>
          <w:sz w:val="20"/>
        </w:rPr>
      </w:pPr>
      <w:r>
        <w:rPr>
          <w:sz w:val="20"/>
        </w:rPr>
        <w:t>Elementos que componen las</w:t>
      </w:r>
      <w:r>
        <w:rPr>
          <w:spacing w:val="-1"/>
          <w:sz w:val="20"/>
        </w:rPr>
        <w:t> </w:t>
      </w:r>
      <w:r>
        <w:rPr>
          <w:sz w:val="20"/>
        </w:rPr>
        <w:t>instalaciones</w:t>
      </w:r>
    </w:p>
    <w:p>
      <w:pPr>
        <w:pStyle w:val="BodyText"/>
        <w:spacing w:before="2"/>
      </w:pPr>
    </w:p>
    <w:p>
      <w:pPr>
        <w:pStyle w:val="Heading5"/>
        <w:numPr>
          <w:ilvl w:val="0"/>
          <w:numId w:val="10"/>
        </w:numPr>
        <w:tabs>
          <w:tab w:pos="861" w:val="left" w:leader="none"/>
          <w:tab w:pos="862" w:val="left" w:leader="none"/>
        </w:tabs>
        <w:spacing w:line="240" w:lineRule="auto" w:before="0" w:after="0"/>
        <w:ind w:left="862" w:right="0" w:hanging="361"/>
        <w:jc w:val="left"/>
      </w:pPr>
      <w:r>
        <w:rPr/>
        <w:t>Dimensionado</w:t>
      </w:r>
    </w:p>
    <w:p>
      <w:pPr>
        <w:pStyle w:val="ListParagraph"/>
        <w:numPr>
          <w:ilvl w:val="1"/>
          <w:numId w:val="10"/>
        </w:numPr>
        <w:tabs>
          <w:tab w:pos="1222" w:val="left" w:leader="none"/>
        </w:tabs>
        <w:spacing w:line="240" w:lineRule="auto" w:before="58" w:after="0"/>
        <w:ind w:left="1222" w:right="0" w:hanging="361"/>
        <w:jc w:val="left"/>
        <w:rPr>
          <w:sz w:val="20"/>
        </w:rPr>
      </w:pPr>
      <w:r>
        <w:rPr>
          <w:sz w:val="20"/>
        </w:rPr>
        <w:t>Dimensionado de la red de evacuación de aguas</w:t>
      </w:r>
      <w:r>
        <w:rPr>
          <w:spacing w:val="-4"/>
          <w:sz w:val="20"/>
        </w:rPr>
        <w:t> </w:t>
      </w:r>
      <w:r>
        <w:rPr>
          <w:sz w:val="20"/>
        </w:rPr>
        <w:t>residuales</w:t>
      </w:r>
    </w:p>
    <w:p>
      <w:pPr>
        <w:pStyle w:val="ListParagraph"/>
        <w:numPr>
          <w:ilvl w:val="1"/>
          <w:numId w:val="10"/>
        </w:numPr>
        <w:tabs>
          <w:tab w:pos="1222" w:val="left" w:leader="none"/>
        </w:tabs>
        <w:spacing w:line="240" w:lineRule="auto" w:before="1" w:after="0"/>
        <w:ind w:left="1222" w:right="0" w:hanging="361"/>
        <w:jc w:val="left"/>
        <w:rPr>
          <w:sz w:val="20"/>
        </w:rPr>
      </w:pPr>
      <w:r>
        <w:rPr>
          <w:sz w:val="20"/>
        </w:rPr>
        <w:t>Dimensionado de la red de evacuación de aguas</w:t>
      </w:r>
      <w:r>
        <w:rPr>
          <w:spacing w:val="-4"/>
          <w:sz w:val="20"/>
        </w:rPr>
        <w:t> </w:t>
      </w:r>
      <w:r>
        <w:rPr>
          <w:sz w:val="20"/>
        </w:rPr>
        <w:t>pluviales</w:t>
      </w:r>
    </w:p>
    <w:p>
      <w:pPr>
        <w:pStyle w:val="ListParagraph"/>
        <w:numPr>
          <w:ilvl w:val="1"/>
          <w:numId w:val="10"/>
        </w:numPr>
        <w:tabs>
          <w:tab w:pos="1222" w:val="left" w:leader="none"/>
        </w:tabs>
        <w:spacing w:line="230" w:lineRule="exact" w:before="0" w:after="0"/>
        <w:ind w:left="1222" w:right="0" w:hanging="361"/>
        <w:jc w:val="left"/>
        <w:rPr>
          <w:sz w:val="20"/>
        </w:rPr>
      </w:pPr>
      <w:r>
        <w:rPr>
          <w:sz w:val="20"/>
        </w:rPr>
        <w:t>Dimensionado de los colectores de tipo</w:t>
      </w:r>
      <w:r>
        <w:rPr>
          <w:spacing w:val="-3"/>
          <w:sz w:val="20"/>
        </w:rPr>
        <w:t> </w:t>
      </w:r>
      <w:r>
        <w:rPr>
          <w:sz w:val="20"/>
        </w:rPr>
        <w:t>mixto</w:t>
      </w:r>
    </w:p>
    <w:p>
      <w:pPr>
        <w:pStyle w:val="ListParagraph"/>
        <w:numPr>
          <w:ilvl w:val="1"/>
          <w:numId w:val="10"/>
        </w:numPr>
        <w:tabs>
          <w:tab w:pos="1222" w:val="left" w:leader="none"/>
        </w:tabs>
        <w:spacing w:line="230" w:lineRule="exact" w:before="0" w:after="0"/>
        <w:ind w:left="1222" w:right="0" w:hanging="361"/>
        <w:jc w:val="left"/>
        <w:rPr>
          <w:sz w:val="20"/>
        </w:rPr>
      </w:pPr>
      <w:r>
        <w:rPr>
          <w:sz w:val="20"/>
        </w:rPr>
        <w:t>Dimensionado de las redes de</w:t>
      </w:r>
      <w:r>
        <w:rPr>
          <w:spacing w:val="-1"/>
          <w:sz w:val="20"/>
        </w:rPr>
        <w:t> </w:t>
      </w:r>
      <w:r>
        <w:rPr>
          <w:sz w:val="20"/>
        </w:rPr>
        <w:t>ventilación</w:t>
      </w:r>
    </w:p>
    <w:p>
      <w:pPr>
        <w:pStyle w:val="ListParagraph"/>
        <w:numPr>
          <w:ilvl w:val="1"/>
          <w:numId w:val="10"/>
        </w:numPr>
        <w:tabs>
          <w:tab w:pos="1222" w:val="left" w:leader="none"/>
        </w:tabs>
        <w:spacing w:line="240" w:lineRule="auto" w:before="1" w:after="0"/>
        <w:ind w:left="1222" w:right="0" w:hanging="361"/>
        <w:jc w:val="left"/>
        <w:rPr>
          <w:sz w:val="20"/>
        </w:rPr>
      </w:pPr>
      <w:r>
        <w:rPr>
          <w:sz w:val="20"/>
        </w:rPr>
        <w:t>Accesorios</w:t>
      </w:r>
    </w:p>
    <w:p>
      <w:pPr>
        <w:pStyle w:val="ListParagraph"/>
        <w:numPr>
          <w:ilvl w:val="1"/>
          <w:numId w:val="10"/>
        </w:numPr>
        <w:tabs>
          <w:tab w:pos="1222" w:val="left" w:leader="none"/>
        </w:tabs>
        <w:spacing w:line="240" w:lineRule="auto" w:before="0" w:after="0"/>
        <w:ind w:left="1222" w:right="0" w:hanging="361"/>
        <w:jc w:val="left"/>
        <w:rPr>
          <w:sz w:val="20"/>
        </w:rPr>
      </w:pPr>
      <w:r>
        <w:rPr>
          <w:sz w:val="20"/>
        </w:rPr>
        <w:t>Dimensionado de los sistemas de bombeo y</w:t>
      </w:r>
      <w:r>
        <w:rPr>
          <w:spacing w:val="-4"/>
          <w:sz w:val="20"/>
        </w:rPr>
        <w:t> </w:t>
      </w:r>
      <w:r>
        <w:rPr>
          <w:sz w:val="20"/>
        </w:rPr>
        <w:t>elevación</w:t>
      </w:r>
    </w:p>
    <w:p>
      <w:pPr>
        <w:pStyle w:val="BodyText"/>
        <w:spacing w:before="1"/>
      </w:pPr>
    </w:p>
    <w:p>
      <w:pPr>
        <w:pStyle w:val="Heading5"/>
        <w:numPr>
          <w:ilvl w:val="0"/>
          <w:numId w:val="10"/>
        </w:numPr>
        <w:tabs>
          <w:tab w:pos="861" w:val="left" w:leader="none"/>
          <w:tab w:pos="862" w:val="left" w:leader="none"/>
        </w:tabs>
        <w:spacing w:line="240" w:lineRule="auto" w:before="0" w:after="0"/>
        <w:ind w:left="862" w:right="0" w:hanging="361"/>
        <w:jc w:val="left"/>
      </w:pPr>
      <w:r>
        <w:rPr/>
        <w:t>Construcción</w:t>
      </w:r>
    </w:p>
    <w:p>
      <w:pPr>
        <w:pStyle w:val="ListParagraph"/>
        <w:numPr>
          <w:ilvl w:val="1"/>
          <w:numId w:val="10"/>
        </w:numPr>
        <w:tabs>
          <w:tab w:pos="1196" w:val="left" w:leader="none"/>
        </w:tabs>
        <w:spacing w:line="240" w:lineRule="auto" w:before="58" w:after="0"/>
        <w:ind w:left="1195" w:right="0" w:hanging="335"/>
        <w:jc w:val="left"/>
        <w:rPr>
          <w:sz w:val="20"/>
        </w:rPr>
      </w:pPr>
      <w:r>
        <w:rPr>
          <w:sz w:val="20"/>
        </w:rPr>
        <w:t>Ejecución de los puntos de</w:t>
      </w:r>
      <w:r>
        <w:rPr>
          <w:spacing w:val="-3"/>
          <w:sz w:val="20"/>
        </w:rPr>
        <w:t> </w:t>
      </w:r>
      <w:r>
        <w:rPr>
          <w:sz w:val="20"/>
        </w:rPr>
        <w:t>captación</w:t>
      </w:r>
    </w:p>
    <w:p>
      <w:pPr>
        <w:pStyle w:val="ListParagraph"/>
        <w:numPr>
          <w:ilvl w:val="1"/>
          <w:numId w:val="10"/>
        </w:numPr>
        <w:tabs>
          <w:tab w:pos="1222" w:val="left" w:leader="none"/>
        </w:tabs>
        <w:spacing w:line="240" w:lineRule="auto" w:before="1" w:after="0"/>
        <w:ind w:left="1222" w:right="0" w:hanging="361"/>
        <w:jc w:val="left"/>
        <w:rPr>
          <w:sz w:val="20"/>
        </w:rPr>
      </w:pPr>
      <w:r>
        <w:rPr>
          <w:sz w:val="20"/>
        </w:rPr>
        <w:t>Ejecución de las redes de pequeña</w:t>
      </w:r>
      <w:r>
        <w:rPr>
          <w:spacing w:val="-3"/>
          <w:sz w:val="20"/>
        </w:rPr>
        <w:t> </w:t>
      </w:r>
      <w:r>
        <w:rPr>
          <w:sz w:val="20"/>
        </w:rPr>
        <w:t>evacuación</w:t>
      </w:r>
    </w:p>
    <w:p>
      <w:pPr>
        <w:pStyle w:val="ListParagraph"/>
        <w:numPr>
          <w:ilvl w:val="1"/>
          <w:numId w:val="10"/>
        </w:numPr>
        <w:tabs>
          <w:tab w:pos="1222" w:val="left" w:leader="none"/>
        </w:tabs>
        <w:spacing w:line="230" w:lineRule="exact" w:before="0" w:after="0"/>
        <w:ind w:left="1222" w:right="0" w:hanging="361"/>
        <w:jc w:val="left"/>
        <w:rPr>
          <w:sz w:val="20"/>
        </w:rPr>
      </w:pPr>
      <w:r>
        <w:rPr>
          <w:sz w:val="20"/>
        </w:rPr>
        <w:t>Ejecución de bajantes y</w:t>
      </w:r>
      <w:r>
        <w:rPr>
          <w:spacing w:val="-2"/>
          <w:sz w:val="20"/>
        </w:rPr>
        <w:t> </w:t>
      </w:r>
      <w:r>
        <w:rPr>
          <w:sz w:val="20"/>
        </w:rPr>
        <w:t>ventilaciones</w:t>
      </w:r>
    </w:p>
    <w:p>
      <w:pPr>
        <w:pStyle w:val="ListParagraph"/>
        <w:numPr>
          <w:ilvl w:val="1"/>
          <w:numId w:val="10"/>
        </w:numPr>
        <w:tabs>
          <w:tab w:pos="1222" w:val="left" w:leader="none"/>
        </w:tabs>
        <w:spacing w:line="230" w:lineRule="exact" w:before="0" w:after="0"/>
        <w:ind w:left="1222" w:right="0" w:hanging="361"/>
        <w:jc w:val="left"/>
        <w:rPr>
          <w:sz w:val="20"/>
        </w:rPr>
      </w:pPr>
      <w:r>
        <w:rPr>
          <w:sz w:val="20"/>
        </w:rPr>
        <w:t>Ejecución de albañales y</w:t>
      </w:r>
      <w:r>
        <w:rPr>
          <w:spacing w:val="-3"/>
          <w:sz w:val="20"/>
        </w:rPr>
        <w:t> </w:t>
      </w:r>
      <w:r>
        <w:rPr>
          <w:sz w:val="20"/>
        </w:rPr>
        <w:t>colectores</w:t>
      </w:r>
    </w:p>
    <w:p>
      <w:pPr>
        <w:pStyle w:val="ListParagraph"/>
        <w:numPr>
          <w:ilvl w:val="1"/>
          <w:numId w:val="10"/>
        </w:numPr>
        <w:tabs>
          <w:tab w:pos="1222" w:val="left" w:leader="none"/>
        </w:tabs>
        <w:spacing w:line="240" w:lineRule="auto" w:before="1" w:after="0"/>
        <w:ind w:left="1222" w:right="0" w:hanging="361"/>
        <w:jc w:val="left"/>
        <w:rPr>
          <w:sz w:val="20"/>
        </w:rPr>
      </w:pPr>
      <w:r>
        <w:rPr>
          <w:sz w:val="20"/>
        </w:rPr>
        <w:t>Ejecución de los sistemas de elevación y</w:t>
      </w:r>
      <w:r>
        <w:rPr>
          <w:spacing w:val="-6"/>
          <w:sz w:val="20"/>
        </w:rPr>
        <w:t> </w:t>
      </w:r>
      <w:r>
        <w:rPr>
          <w:sz w:val="20"/>
        </w:rPr>
        <w:t>bombeo</w:t>
      </w:r>
    </w:p>
    <w:p>
      <w:pPr>
        <w:spacing w:after="0" w:line="240" w:lineRule="auto"/>
        <w:jc w:val="left"/>
        <w:rPr>
          <w:sz w:val="20"/>
        </w:rPr>
        <w:sectPr>
          <w:pgSz w:w="11910" w:h="16840"/>
          <w:pgMar w:header="714" w:footer="642" w:top="1320" w:bottom="840" w:left="1200" w:right="740"/>
        </w:sectPr>
      </w:pPr>
    </w:p>
    <w:p>
      <w:pPr>
        <w:pStyle w:val="ListParagraph"/>
        <w:numPr>
          <w:ilvl w:val="1"/>
          <w:numId w:val="10"/>
        </w:numPr>
        <w:tabs>
          <w:tab w:pos="1222" w:val="left" w:leader="none"/>
        </w:tabs>
        <w:spacing w:line="240" w:lineRule="auto" w:before="91" w:after="0"/>
        <w:ind w:left="1222" w:right="0" w:hanging="361"/>
        <w:jc w:val="left"/>
        <w:rPr>
          <w:sz w:val="20"/>
        </w:rPr>
      </w:pPr>
      <w:r>
        <w:rPr>
          <w:sz w:val="20"/>
        </w:rPr>
        <w:t>Pruebas</w:t>
      </w:r>
    </w:p>
    <w:p>
      <w:pPr>
        <w:pStyle w:val="BodyText"/>
        <w:spacing w:before="1"/>
      </w:pPr>
    </w:p>
    <w:p>
      <w:pPr>
        <w:pStyle w:val="Heading5"/>
        <w:numPr>
          <w:ilvl w:val="0"/>
          <w:numId w:val="10"/>
        </w:numPr>
        <w:tabs>
          <w:tab w:pos="861" w:val="left" w:leader="none"/>
          <w:tab w:pos="862" w:val="left" w:leader="none"/>
        </w:tabs>
        <w:spacing w:line="240" w:lineRule="auto" w:before="0" w:after="0"/>
        <w:ind w:left="862" w:right="0" w:hanging="361"/>
        <w:jc w:val="left"/>
      </w:pPr>
      <w:r>
        <w:rPr/>
        <w:t>Productos de</w:t>
      </w:r>
      <w:r>
        <w:rPr>
          <w:spacing w:val="-1"/>
        </w:rPr>
        <w:t> </w:t>
      </w:r>
      <w:r>
        <w:rPr/>
        <w:t>Construcción</w:t>
      </w:r>
    </w:p>
    <w:p>
      <w:pPr>
        <w:pStyle w:val="ListParagraph"/>
        <w:numPr>
          <w:ilvl w:val="1"/>
          <w:numId w:val="10"/>
        </w:numPr>
        <w:tabs>
          <w:tab w:pos="1222" w:val="left" w:leader="none"/>
        </w:tabs>
        <w:spacing w:line="230" w:lineRule="exact" w:before="59" w:after="0"/>
        <w:ind w:left="1222" w:right="0" w:hanging="361"/>
        <w:jc w:val="left"/>
        <w:rPr>
          <w:sz w:val="20"/>
        </w:rPr>
      </w:pPr>
      <w:r>
        <w:rPr>
          <w:sz w:val="20"/>
        </w:rPr>
        <w:t>Características generales de los</w:t>
      </w:r>
      <w:r>
        <w:rPr>
          <w:spacing w:val="-1"/>
          <w:sz w:val="20"/>
        </w:rPr>
        <w:t> </w:t>
      </w:r>
      <w:r>
        <w:rPr>
          <w:sz w:val="20"/>
        </w:rPr>
        <w:t>materiales</w:t>
      </w:r>
    </w:p>
    <w:p>
      <w:pPr>
        <w:pStyle w:val="ListParagraph"/>
        <w:numPr>
          <w:ilvl w:val="1"/>
          <w:numId w:val="10"/>
        </w:numPr>
        <w:tabs>
          <w:tab w:pos="1222" w:val="left" w:leader="none"/>
        </w:tabs>
        <w:spacing w:line="230" w:lineRule="exact" w:before="0" w:after="0"/>
        <w:ind w:left="1222" w:right="0" w:hanging="361"/>
        <w:jc w:val="left"/>
        <w:rPr>
          <w:sz w:val="20"/>
        </w:rPr>
      </w:pPr>
      <w:r>
        <w:rPr>
          <w:sz w:val="20"/>
        </w:rPr>
        <w:t>Materiales de las</w:t>
      </w:r>
      <w:r>
        <w:rPr>
          <w:spacing w:val="-2"/>
          <w:sz w:val="20"/>
        </w:rPr>
        <w:t> </w:t>
      </w:r>
      <w:r>
        <w:rPr>
          <w:sz w:val="20"/>
        </w:rPr>
        <w:t>canalizaciones</w:t>
      </w:r>
    </w:p>
    <w:p>
      <w:pPr>
        <w:pStyle w:val="ListParagraph"/>
        <w:numPr>
          <w:ilvl w:val="1"/>
          <w:numId w:val="10"/>
        </w:numPr>
        <w:tabs>
          <w:tab w:pos="1222" w:val="left" w:leader="none"/>
        </w:tabs>
        <w:spacing w:line="240" w:lineRule="auto" w:before="1" w:after="0"/>
        <w:ind w:left="1222" w:right="0" w:hanging="361"/>
        <w:jc w:val="left"/>
        <w:rPr>
          <w:sz w:val="20"/>
        </w:rPr>
      </w:pPr>
      <w:r>
        <w:rPr>
          <w:sz w:val="20"/>
        </w:rPr>
        <w:t>Materiales de los puntos de</w:t>
      </w:r>
      <w:r>
        <w:rPr>
          <w:spacing w:val="-2"/>
          <w:sz w:val="20"/>
        </w:rPr>
        <w:t> </w:t>
      </w:r>
      <w:r>
        <w:rPr>
          <w:sz w:val="20"/>
        </w:rPr>
        <w:t>captación</w:t>
      </w:r>
    </w:p>
    <w:p>
      <w:pPr>
        <w:pStyle w:val="ListParagraph"/>
        <w:numPr>
          <w:ilvl w:val="1"/>
          <w:numId w:val="10"/>
        </w:numPr>
        <w:tabs>
          <w:tab w:pos="1222" w:val="left" w:leader="none"/>
        </w:tabs>
        <w:spacing w:line="240" w:lineRule="auto" w:before="0" w:after="0"/>
        <w:ind w:left="1222" w:right="0" w:hanging="361"/>
        <w:jc w:val="left"/>
        <w:rPr>
          <w:sz w:val="20"/>
        </w:rPr>
      </w:pPr>
      <w:r>
        <w:rPr>
          <w:sz w:val="20"/>
        </w:rPr>
        <w:t>Condiciones de los materiales de los</w:t>
      </w:r>
      <w:r>
        <w:rPr>
          <w:spacing w:val="-1"/>
          <w:sz w:val="20"/>
        </w:rPr>
        <w:t> </w:t>
      </w:r>
      <w:r>
        <w:rPr>
          <w:sz w:val="20"/>
        </w:rPr>
        <w:t>accesorios</w:t>
      </w:r>
    </w:p>
    <w:p>
      <w:pPr>
        <w:pStyle w:val="BodyText"/>
        <w:spacing w:before="1"/>
      </w:pPr>
    </w:p>
    <w:p>
      <w:pPr>
        <w:pStyle w:val="Heading5"/>
        <w:numPr>
          <w:ilvl w:val="0"/>
          <w:numId w:val="10"/>
        </w:numPr>
        <w:tabs>
          <w:tab w:pos="861" w:val="left" w:leader="none"/>
          <w:tab w:pos="862" w:val="left" w:leader="none"/>
          <w:tab w:pos="1917" w:val="left" w:leader="none"/>
        </w:tabs>
        <w:spacing w:line="480" w:lineRule="auto" w:before="0" w:after="0"/>
        <w:ind w:left="501" w:right="6146" w:firstLine="0"/>
        <w:jc w:val="left"/>
      </w:pPr>
      <w:r>
        <w:rPr/>
        <w:t>Mantenimiento y </w:t>
      </w:r>
      <w:r>
        <w:rPr>
          <w:spacing w:val="-3"/>
        </w:rPr>
        <w:t>Conservación </w:t>
      </w:r>
      <w:r>
        <w:rPr/>
        <w:t>Apéndice</w:t>
      </w:r>
      <w:r>
        <w:rPr>
          <w:spacing w:val="-2"/>
        </w:rPr>
        <w:t> </w:t>
      </w:r>
      <w:r>
        <w:rPr/>
        <w:t>A</w:t>
        <w:tab/>
        <w:t>Terminología</w:t>
      </w:r>
    </w:p>
    <w:p>
      <w:pPr>
        <w:tabs>
          <w:tab w:pos="1917" w:val="left" w:leader="none"/>
        </w:tabs>
        <w:spacing w:line="480" w:lineRule="auto" w:before="0"/>
        <w:ind w:left="501" w:right="4834" w:firstLine="0"/>
        <w:jc w:val="left"/>
        <w:rPr>
          <w:b/>
          <w:sz w:val="20"/>
        </w:rPr>
      </w:pPr>
      <w:r>
        <w:rPr>
          <w:b/>
          <w:sz w:val="20"/>
        </w:rPr>
        <w:t>Apéndice</w:t>
      </w:r>
      <w:r>
        <w:rPr>
          <w:b/>
          <w:spacing w:val="-2"/>
          <w:sz w:val="20"/>
        </w:rPr>
        <w:t> </w:t>
      </w:r>
      <w:r>
        <w:rPr>
          <w:b/>
          <w:sz w:val="20"/>
        </w:rPr>
        <w:t>B</w:t>
        <w:tab/>
        <w:t>Mapa de intensidad </w:t>
      </w:r>
      <w:r>
        <w:rPr>
          <w:b/>
          <w:spacing w:val="-3"/>
          <w:sz w:val="20"/>
        </w:rPr>
        <w:t>pluviométrica </w:t>
      </w:r>
      <w:r>
        <w:rPr>
          <w:b/>
          <w:sz w:val="20"/>
        </w:rPr>
        <w:t>Apéndice</w:t>
      </w:r>
      <w:r>
        <w:rPr>
          <w:b/>
          <w:spacing w:val="-2"/>
          <w:sz w:val="20"/>
        </w:rPr>
        <w:t> </w:t>
      </w:r>
      <w:r>
        <w:rPr>
          <w:b/>
          <w:sz w:val="20"/>
        </w:rPr>
        <w:t>C</w:t>
        <w:tab/>
        <w:t>Normas de</w:t>
      </w:r>
      <w:r>
        <w:rPr>
          <w:b/>
          <w:spacing w:val="1"/>
          <w:sz w:val="20"/>
        </w:rPr>
        <w:t> </w:t>
      </w:r>
      <w:r>
        <w:rPr>
          <w:b/>
          <w:sz w:val="20"/>
        </w:rPr>
        <w:t>referencia</w:t>
      </w:r>
    </w:p>
    <w:p>
      <w:pPr>
        <w:spacing w:after="0" w:line="480" w:lineRule="auto"/>
        <w:jc w:val="left"/>
        <w:rPr>
          <w:sz w:val="20"/>
        </w:rPr>
        <w:sectPr>
          <w:pgSz w:w="11910" w:h="16840"/>
          <w:pgMar w:header="714" w:footer="642" w:top="1320" w:bottom="840" w:left="1200" w:right="740"/>
        </w:sectPr>
      </w:pPr>
    </w:p>
    <w:p>
      <w:pPr>
        <w:spacing w:line="368" w:lineRule="exact" w:before="91"/>
        <w:ind w:left="218" w:right="0" w:firstLine="0"/>
        <w:jc w:val="left"/>
        <w:rPr>
          <w:b/>
          <w:sz w:val="32"/>
        </w:rPr>
      </w:pPr>
      <w:bookmarkStart w:name="DB HS1 2017 con comentarios junio 2018" w:id="2"/>
      <w:bookmarkEnd w:id="2"/>
      <w:r>
        <w:rPr/>
      </w:r>
      <w:r>
        <w:rPr>
          <w:b/>
          <w:sz w:val="32"/>
        </w:rPr>
        <w:t>Sección HS 1</w:t>
      </w:r>
    </w:p>
    <w:p>
      <w:pPr>
        <w:spacing w:line="368" w:lineRule="exact" w:before="0"/>
        <w:ind w:left="218" w:right="0" w:firstLine="0"/>
        <w:jc w:val="left"/>
        <w:rPr>
          <w:b/>
          <w:sz w:val="32"/>
        </w:rPr>
      </w:pPr>
      <w:r>
        <w:rPr>
          <w:b/>
          <w:sz w:val="32"/>
        </w:rPr>
        <w:t>Protección frente a la humedad</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53"/>
        </w:rPr>
      </w:pPr>
    </w:p>
    <w:p>
      <w:pPr>
        <w:pStyle w:val="ListParagraph"/>
        <w:numPr>
          <w:ilvl w:val="0"/>
          <w:numId w:val="11"/>
        </w:numPr>
        <w:tabs>
          <w:tab w:pos="503" w:val="left" w:leader="none"/>
        </w:tabs>
        <w:spacing w:line="240" w:lineRule="auto" w:before="0" w:after="0"/>
        <w:ind w:left="502" w:right="0" w:hanging="285"/>
        <w:jc w:val="left"/>
        <w:rPr>
          <w:b/>
          <w:sz w:val="28"/>
        </w:rPr>
      </w:pPr>
      <w:r>
        <w:rPr>
          <w:b/>
          <w:sz w:val="28"/>
        </w:rPr>
        <w:t>Generalidades</w:t>
      </w:r>
    </w:p>
    <w:p>
      <w:pPr>
        <w:pStyle w:val="BodyText"/>
        <w:spacing w:before="2"/>
        <w:rPr>
          <w:b/>
          <w:sz w:val="38"/>
        </w:rPr>
      </w:pPr>
    </w:p>
    <w:p>
      <w:pPr>
        <w:pStyle w:val="ListParagraph"/>
        <w:numPr>
          <w:ilvl w:val="1"/>
          <w:numId w:val="11"/>
        </w:numPr>
        <w:tabs>
          <w:tab w:pos="785" w:val="left" w:leader="none"/>
          <w:tab w:pos="786" w:val="left" w:leader="none"/>
        </w:tabs>
        <w:spacing w:line="240" w:lineRule="auto" w:before="1" w:after="0"/>
        <w:ind w:left="785" w:right="0" w:hanging="568"/>
        <w:jc w:val="left"/>
        <w:rPr>
          <w:b/>
          <w:sz w:val="24"/>
        </w:rPr>
      </w:pPr>
      <w:r>
        <w:rPr>
          <w:b/>
          <w:sz w:val="24"/>
        </w:rPr>
        <w:t>Ámbito de</w:t>
      </w:r>
      <w:r>
        <w:rPr>
          <w:b/>
          <w:spacing w:val="-2"/>
          <w:sz w:val="24"/>
        </w:rPr>
        <w:t> </w:t>
      </w:r>
      <w:r>
        <w:rPr>
          <w:b/>
          <w:sz w:val="24"/>
        </w:rPr>
        <w:t>aplicación</w:t>
      </w:r>
    </w:p>
    <w:p>
      <w:pPr>
        <w:pStyle w:val="ListParagraph"/>
        <w:numPr>
          <w:ilvl w:val="0"/>
          <w:numId w:val="12"/>
        </w:numPr>
        <w:tabs>
          <w:tab w:pos="672" w:val="left" w:leader="none"/>
        </w:tabs>
        <w:spacing w:line="240" w:lineRule="auto" w:before="158" w:after="0"/>
        <w:ind w:left="672" w:right="391" w:hanging="454"/>
        <w:jc w:val="both"/>
        <w:rPr>
          <w:sz w:val="20"/>
        </w:rPr>
      </w:pPr>
      <w:r>
        <w:rPr>
          <w:sz w:val="20"/>
        </w:rPr>
        <w:t>Esta sección se aplica a los muros y los suelos que están en contacto con el terreno y a los cerramientos que están en contacto con el aire exterior (fachadas y cubiertas) de todos los edificios incluidos en el ámbito de aplicación general del CTE. Los </w:t>
      </w:r>
      <w:r>
        <w:rPr>
          <w:i/>
          <w:sz w:val="20"/>
        </w:rPr>
        <w:t>suelos elevados </w:t>
      </w:r>
      <w:r>
        <w:rPr>
          <w:sz w:val="20"/>
        </w:rPr>
        <w:t>se consideran suelos que están en contacto con el terreno. Las medianerías que vayan a quedar descubiertas porque no se ha edificado en los solares colindantes o porque la superficie de las mismas excede a las de las colindantes se consideran fachadas. Los suelos de las terrazas y los de los balcones se consideran cubiertas.</w:t>
      </w:r>
    </w:p>
    <w:p>
      <w:pPr>
        <w:pStyle w:val="BodyText"/>
        <w:rPr>
          <w:sz w:val="22"/>
        </w:rPr>
      </w:pPr>
    </w:p>
    <w:p>
      <w:pPr>
        <w:spacing w:before="172"/>
        <w:ind w:left="1958" w:right="0" w:firstLine="0"/>
        <w:jc w:val="left"/>
        <w:rPr>
          <w:sz w:val="16"/>
        </w:rPr>
      </w:pPr>
      <w:r>
        <w:rPr/>
        <w:pict>
          <v:line style="position:absolute;mso-position-horizontal-relative:page;mso-position-vertical-relative:paragraph;z-index:251667456" from="152.520004pt,5.723848pt" to="152.520004pt,20.903848pt" stroked="true" strokeweight=".48pt" strokecolor="#000000">
            <v:stroke dashstyle="solid"/>
            <w10:wrap type="none"/>
          </v:line>
        </w:pict>
      </w:r>
      <w:r>
        <w:rPr>
          <w:sz w:val="16"/>
        </w:rPr>
        <w:t>El DB HS 1 trata sobre las humedades producidas por filtración y condensación.</w:t>
      </w:r>
    </w:p>
    <w:p>
      <w:pPr>
        <w:pStyle w:val="BodyText"/>
      </w:pPr>
    </w:p>
    <w:p>
      <w:pPr>
        <w:pStyle w:val="BodyText"/>
        <w:spacing w:before="10"/>
        <w:rPr>
          <w:sz w:val="18"/>
        </w:rPr>
      </w:pPr>
    </w:p>
    <w:p>
      <w:pPr>
        <w:pStyle w:val="ListParagraph"/>
        <w:numPr>
          <w:ilvl w:val="0"/>
          <w:numId w:val="12"/>
        </w:numPr>
        <w:tabs>
          <w:tab w:pos="672" w:val="left" w:leader="none"/>
        </w:tabs>
        <w:spacing w:line="240" w:lineRule="auto" w:before="0" w:after="0"/>
        <w:ind w:left="672" w:right="391" w:hanging="454"/>
        <w:jc w:val="both"/>
        <w:rPr>
          <w:sz w:val="20"/>
        </w:rPr>
      </w:pPr>
      <w:r>
        <w:rPr>
          <w:sz w:val="20"/>
        </w:rPr>
        <w:t>La comprobación de la limitación de humedades de condensación superficiales e intersticiales debe realizarse según lo establecido en la Sección HE-1 Limitación de la demanda energética del DB HE Ahorro de</w:t>
      </w:r>
      <w:r>
        <w:rPr>
          <w:spacing w:val="-1"/>
          <w:sz w:val="20"/>
        </w:rPr>
        <w:t> </w:t>
      </w:r>
      <w:r>
        <w:rPr>
          <w:sz w:val="20"/>
        </w:rPr>
        <w:t>energía.</w:t>
      </w:r>
    </w:p>
    <w:p>
      <w:pPr>
        <w:pStyle w:val="BodyText"/>
        <w:rPr>
          <w:sz w:val="22"/>
        </w:rPr>
      </w:pPr>
    </w:p>
    <w:p>
      <w:pPr>
        <w:pStyle w:val="BodyText"/>
        <w:spacing w:before="9"/>
        <w:rPr>
          <w:sz w:val="18"/>
        </w:rPr>
      </w:pPr>
    </w:p>
    <w:p>
      <w:pPr>
        <w:spacing w:before="0"/>
        <w:ind w:left="1942" w:right="393" w:firstLine="0"/>
        <w:jc w:val="both"/>
        <w:rPr>
          <w:sz w:val="16"/>
        </w:rPr>
      </w:pPr>
      <w:r>
        <w:rPr/>
        <w:pict>
          <v:line style="position:absolute;mso-position-horizontal-relative:page;mso-position-vertical-relative:paragraph;z-index:251668480" from="151.800003pt,-2.875806pt" to="151.800003pt,39.964194pt" stroked="true" strokeweight=".48001pt" strokecolor="#000000">
            <v:stroke dashstyle="solid"/>
            <w10:wrap type="none"/>
          </v:line>
        </w:pict>
      </w:r>
      <w:r>
        <w:rPr>
          <w:sz w:val="16"/>
        </w:rPr>
        <w:t>Desde de la aprobación del nuevo DB HE Ahorro de energía con fecha de septiembre de 2013, la compro- bación de la limitación de las humedades producidas por condensación puede realizarse según lo estable- cido en DA DB-HE / 2 Comprobación de limitación de condensaciones superficiales e intersticiales en los cerramientos.</w:t>
      </w:r>
    </w:p>
    <w:p>
      <w:pPr>
        <w:pStyle w:val="BodyText"/>
        <w:spacing w:before="9"/>
        <w:rPr>
          <w:sz w:val="21"/>
        </w:rPr>
      </w:pPr>
    </w:p>
    <w:p>
      <w:pPr>
        <w:pStyle w:val="Heading3"/>
        <w:numPr>
          <w:ilvl w:val="1"/>
          <w:numId w:val="11"/>
        </w:numPr>
        <w:tabs>
          <w:tab w:pos="785" w:val="left" w:leader="none"/>
          <w:tab w:pos="786" w:val="left" w:leader="none"/>
        </w:tabs>
        <w:spacing w:line="240" w:lineRule="auto" w:before="92" w:after="0"/>
        <w:ind w:left="785" w:right="0" w:hanging="568"/>
        <w:jc w:val="left"/>
      </w:pPr>
      <w:r>
        <w:rPr/>
        <w:t>Procedimiento de</w:t>
      </w:r>
      <w:r>
        <w:rPr>
          <w:spacing w:val="-1"/>
        </w:rPr>
        <w:t> </w:t>
      </w:r>
      <w:r>
        <w:rPr/>
        <w:t>verificación</w:t>
      </w:r>
    </w:p>
    <w:p>
      <w:pPr>
        <w:pStyle w:val="ListParagraph"/>
        <w:numPr>
          <w:ilvl w:val="0"/>
          <w:numId w:val="13"/>
        </w:numPr>
        <w:tabs>
          <w:tab w:pos="671" w:val="left" w:leader="none"/>
          <w:tab w:pos="672" w:val="left" w:leader="none"/>
        </w:tabs>
        <w:spacing w:line="240" w:lineRule="auto" w:before="158" w:after="0"/>
        <w:ind w:left="671" w:right="0" w:hanging="454"/>
        <w:jc w:val="left"/>
        <w:rPr>
          <w:sz w:val="20"/>
        </w:rPr>
      </w:pPr>
      <w:r>
        <w:rPr>
          <w:sz w:val="20"/>
        </w:rPr>
        <w:t>Para la aplicación de esta sección debe seguirse la secuencia que se expone a</w:t>
      </w:r>
      <w:r>
        <w:rPr>
          <w:spacing w:val="-16"/>
          <w:sz w:val="20"/>
        </w:rPr>
        <w:t> </w:t>
      </w:r>
      <w:r>
        <w:rPr>
          <w:sz w:val="20"/>
        </w:rPr>
        <w:t>continuación.</w:t>
      </w:r>
    </w:p>
    <w:p>
      <w:pPr>
        <w:pStyle w:val="ListParagraph"/>
        <w:numPr>
          <w:ilvl w:val="0"/>
          <w:numId w:val="13"/>
        </w:numPr>
        <w:tabs>
          <w:tab w:pos="671" w:val="left" w:leader="none"/>
          <w:tab w:pos="673" w:val="left" w:leader="none"/>
        </w:tabs>
        <w:spacing w:line="240" w:lineRule="auto" w:before="120" w:after="0"/>
        <w:ind w:left="672" w:right="392" w:hanging="454"/>
        <w:jc w:val="left"/>
        <w:rPr>
          <w:sz w:val="20"/>
        </w:rPr>
      </w:pPr>
      <w:r>
        <w:rPr>
          <w:sz w:val="20"/>
        </w:rPr>
        <w:t>Cumplimiento de las siguientes condiciones de diseño del apartado 2 relativas a los elementos constructivos:</w:t>
      </w:r>
    </w:p>
    <w:p>
      <w:pPr>
        <w:pStyle w:val="ListParagraph"/>
        <w:numPr>
          <w:ilvl w:val="1"/>
          <w:numId w:val="13"/>
        </w:numPr>
        <w:tabs>
          <w:tab w:pos="1126" w:val="left" w:leader="none"/>
          <w:tab w:pos="1127" w:val="left" w:leader="none"/>
        </w:tabs>
        <w:spacing w:line="240" w:lineRule="auto" w:before="120" w:after="0"/>
        <w:ind w:left="1126" w:right="0" w:hanging="455"/>
        <w:jc w:val="left"/>
        <w:rPr>
          <w:sz w:val="20"/>
        </w:rPr>
      </w:pPr>
      <w:r>
        <w:rPr>
          <w:sz w:val="20"/>
        </w:rPr>
        <w:t>muros:</w:t>
      </w:r>
    </w:p>
    <w:p>
      <w:pPr>
        <w:pStyle w:val="ListParagraph"/>
        <w:numPr>
          <w:ilvl w:val="2"/>
          <w:numId w:val="13"/>
        </w:numPr>
        <w:tabs>
          <w:tab w:pos="1298" w:val="left" w:leader="none"/>
          <w:tab w:pos="1299" w:val="left" w:leader="none"/>
        </w:tabs>
        <w:spacing w:line="240" w:lineRule="auto" w:before="120" w:after="0"/>
        <w:ind w:left="1298" w:right="0" w:hanging="416"/>
        <w:jc w:val="left"/>
        <w:rPr>
          <w:sz w:val="20"/>
        </w:rPr>
      </w:pPr>
      <w:r>
        <w:rPr>
          <w:sz w:val="20"/>
        </w:rPr>
        <w:t>sus</w:t>
      </w:r>
      <w:r>
        <w:rPr>
          <w:spacing w:val="12"/>
          <w:sz w:val="20"/>
        </w:rPr>
        <w:t> </w:t>
      </w:r>
      <w:r>
        <w:rPr>
          <w:sz w:val="20"/>
        </w:rPr>
        <w:t>características</w:t>
      </w:r>
      <w:r>
        <w:rPr>
          <w:spacing w:val="13"/>
          <w:sz w:val="20"/>
        </w:rPr>
        <w:t> </w:t>
      </w:r>
      <w:r>
        <w:rPr>
          <w:sz w:val="20"/>
        </w:rPr>
        <w:t>deben</w:t>
      </w:r>
      <w:r>
        <w:rPr>
          <w:spacing w:val="11"/>
          <w:sz w:val="20"/>
        </w:rPr>
        <w:t> </w:t>
      </w:r>
      <w:r>
        <w:rPr>
          <w:sz w:val="20"/>
        </w:rPr>
        <w:t>corresponder</w:t>
      </w:r>
      <w:r>
        <w:rPr>
          <w:spacing w:val="13"/>
          <w:sz w:val="20"/>
        </w:rPr>
        <w:t> </w:t>
      </w:r>
      <w:r>
        <w:rPr>
          <w:sz w:val="20"/>
        </w:rPr>
        <w:t>con</w:t>
      </w:r>
      <w:r>
        <w:rPr>
          <w:spacing w:val="13"/>
          <w:sz w:val="20"/>
        </w:rPr>
        <w:t> </w:t>
      </w:r>
      <w:r>
        <w:rPr>
          <w:sz w:val="20"/>
        </w:rPr>
        <w:t>las</w:t>
      </w:r>
      <w:r>
        <w:rPr>
          <w:spacing w:val="13"/>
          <w:sz w:val="20"/>
        </w:rPr>
        <w:t> </w:t>
      </w:r>
      <w:r>
        <w:rPr>
          <w:sz w:val="20"/>
        </w:rPr>
        <w:t>especificadas</w:t>
      </w:r>
      <w:r>
        <w:rPr>
          <w:spacing w:val="13"/>
          <w:sz w:val="20"/>
        </w:rPr>
        <w:t> </w:t>
      </w:r>
      <w:r>
        <w:rPr>
          <w:sz w:val="20"/>
        </w:rPr>
        <w:t>en</w:t>
      </w:r>
      <w:r>
        <w:rPr>
          <w:spacing w:val="11"/>
          <w:sz w:val="20"/>
        </w:rPr>
        <w:t> </w:t>
      </w:r>
      <w:r>
        <w:rPr>
          <w:sz w:val="20"/>
        </w:rPr>
        <w:t>el</w:t>
      </w:r>
      <w:r>
        <w:rPr>
          <w:spacing w:val="13"/>
          <w:sz w:val="20"/>
        </w:rPr>
        <w:t> </w:t>
      </w:r>
      <w:r>
        <w:rPr>
          <w:sz w:val="20"/>
        </w:rPr>
        <w:t>apartado</w:t>
      </w:r>
      <w:r>
        <w:rPr>
          <w:spacing w:val="11"/>
          <w:sz w:val="20"/>
        </w:rPr>
        <w:t> </w:t>
      </w:r>
      <w:r>
        <w:rPr>
          <w:sz w:val="20"/>
        </w:rPr>
        <w:t>2.1.2</w:t>
      </w:r>
      <w:r>
        <w:rPr>
          <w:spacing w:val="13"/>
          <w:sz w:val="20"/>
        </w:rPr>
        <w:t> </w:t>
      </w:r>
      <w:r>
        <w:rPr>
          <w:sz w:val="20"/>
        </w:rPr>
        <w:t>según</w:t>
      </w:r>
      <w:r>
        <w:rPr>
          <w:spacing w:val="13"/>
          <w:sz w:val="20"/>
        </w:rPr>
        <w:t> </w:t>
      </w:r>
      <w:r>
        <w:rPr>
          <w:sz w:val="20"/>
        </w:rPr>
        <w:t>el</w:t>
      </w:r>
    </w:p>
    <w:p>
      <w:pPr>
        <w:spacing w:before="1"/>
        <w:ind w:left="1296" w:right="0" w:firstLine="0"/>
        <w:jc w:val="left"/>
        <w:rPr>
          <w:sz w:val="20"/>
        </w:rPr>
      </w:pPr>
      <w:r>
        <w:rPr>
          <w:i/>
          <w:sz w:val="20"/>
        </w:rPr>
        <w:t>grado de impermeabilidad </w:t>
      </w:r>
      <w:r>
        <w:rPr>
          <w:sz w:val="20"/>
        </w:rPr>
        <w:t>exigido en al apartado 2.1.1;</w:t>
      </w:r>
    </w:p>
    <w:p>
      <w:pPr>
        <w:pStyle w:val="ListParagraph"/>
        <w:numPr>
          <w:ilvl w:val="2"/>
          <w:numId w:val="13"/>
        </w:numPr>
        <w:tabs>
          <w:tab w:pos="1298" w:val="left" w:leader="none"/>
          <w:tab w:pos="1299" w:val="left" w:leader="none"/>
        </w:tabs>
        <w:spacing w:line="240" w:lineRule="auto" w:before="119" w:after="0"/>
        <w:ind w:left="1296" w:right="391" w:hanging="436"/>
        <w:jc w:val="left"/>
        <w:rPr>
          <w:sz w:val="20"/>
        </w:rPr>
      </w:pPr>
      <w:r>
        <w:rPr>
          <w:sz w:val="20"/>
        </w:rPr>
        <w:t>las características de los puntos singulares del mismo deben corresponder con las especificadas en el apartado</w:t>
      </w:r>
      <w:r>
        <w:rPr>
          <w:spacing w:val="-4"/>
          <w:sz w:val="20"/>
        </w:rPr>
        <w:t> </w:t>
      </w:r>
      <w:r>
        <w:rPr>
          <w:sz w:val="20"/>
        </w:rPr>
        <w:t>2.1.3;</w:t>
      </w:r>
    </w:p>
    <w:p>
      <w:pPr>
        <w:pStyle w:val="ListParagraph"/>
        <w:numPr>
          <w:ilvl w:val="1"/>
          <w:numId w:val="13"/>
        </w:numPr>
        <w:tabs>
          <w:tab w:pos="1126" w:val="left" w:leader="none"/>
          <w:tab w:pos="1127" w:val="left" w:leader="none"/>
        </w:tabs>
        <w:spacing w:line="240" w:lineRule="auto" w:before="119" w:after="0"/>
        <w:ind w:left="1126" w:right="0" w:hanging="455"/>
        <w:jc w:val="left"/>
        <w:rPr>
          <w:sz w:val="20"/>
        </w:rPr>
      </w:pPr>
      <w:r>
        <w:rPr>
          <w:sz w:val="20"/>
        </w:rPr>
        <w:t>suelos:</w:t>
      </w:r>
    </w:p>
    <w:p>
      <w:pPr>
        <w:pStyle w:val="ListParagraph"/>
        <w:numPr>
          <w:ilvl w:val="2"/>
          <w:numId w:val="13"/>
        </w:numPr>
        <w:tabs>
          <w:tab w:pos="1298" w:val="left" w:leader="none"/>
          <w:tab w:pos="1299" w:val="left" w:leader="none"/>
        </w:tabs>
        <w:spacing w:line="240" w:lineRule="auto" w:before="121" w:after="0"/>
        <w:ind w:left="1298" w:right="0" w:hanging="416"/>
        <w:jc w:val="left"/>
        <w:rPr>
          <w:sz w:val="20"/>
        </w:rPr>
      </w:pPr>
      <w:r>
        <w:rPr>
          <w:sz w:val="20"/>
        </w:rPr>
        <w:t>sus</w:t>
      </w:r>
      <w:r>
        <w:rPr>
          <w:spacing w:val="12"/>
          <w:sz w:val="20"/>
        </w:rPr>
        <w:t> </w:t>
      </w:r>
      <w:r>
        <w:rPr>
          <w:sz w:val="20"/>
        </w:rPr>
        <w:t>características</w:t>
      </w:r>
      <w:r>
        <w:rPr>
          <w:spacing w:val="13"/>
          <w:sz w:val="20"/>
        </w:rPr>
        <w:t> </w:t>
      </w:r>
      <w:r>
        <w:rPr>
          <w:sz w:val="20"/>
        </w:rPr>
        <w:t>deben</w:t>
      </w:r>
      <w:r>
        <w:rPr>
          <w:spacing w:val="11"/>
          <w:sz w:val="20"/>
        </w:rPr>
        <w:t> </w:t>
      </w:r>
      <w:r>
        <w:rPr>
          <w:sz w:val="20"/>
        </w:rPr>
        <w:t>corresponder</w:t>
      </w:r>
      <w:r>
        <w:rPr>
          <w:spacing w:val="13"/>
          <w:sz w:val="20"/>
        </w:rPr>
        <w:t> </w:t>
      </w:r>
      <w:r>
        <w:rPr>
          <w:sz w:val="20"/>
        </w:rPr>
        <w:t>con</w:t>
      </w:r>
      <w:r>
        <w:rPr>
          <w:spacing w:val="13"/>
          <w:sz w:val="20"/>
        </w:rPr>
        <w:t> </w:t>
      </w:r>
      <w:r>
        <w:rPr>
          <w:sz w:val="20"/>
        </w:rPr>
        <w:t>las</w:t>
      </w:r>
      <w:r>
        <w:rPr>
          <w:spacing w:val="13"/>
          <w:sz w:val="20"/>
        </w:rPr>
        <w:t> </w:t>
      </w:r>
      <w:r>
        <w:rPr>
          <w:sz w:val="20"/>
        </w:rPr>
        <w:t>especificadas</w:t>
      </w:r>
      <w:r>
        <w:rPr>
          <w:spacing w:val="13"/>
          <w:sz w:val="20"/>
        </w:rPr>
        <w:t> </w:t>
      </w:r>
      <w:r>
        <w:rPr>
          <w:sz w:val="20"/>
        </w:rPr>
        <w:t>en</w:t>
      </w:r>
      <w:r>
        <w:rPr>
          <w:spacing w:val="11"/>
          <w:sz w:val="20"/>
        </w:rPr>
        <w:t> </w:t>
      </w:r>
      <w:r>
        <w:rPr>
          <w:sz w:val="20"/>
        </w:rPr>
        <w:t>el</w:t>
      </w:r>
      <w:r>
        <w:rPr>
          <w:spacing w:val="13"/>
          <w:sz w:val="20"/>
        </w:rPr>
        <w:t> </w:t>
      </w:r>
      <w:r>
        <w:rPr>
          <w:sz w:val="20"/>
        </w:rPr>
        <w:t>apartado</w:t>
      </w:r>
      <w:r>
        <w:rPr>
          <w:spacing w:val="11"/>
          <w:sz w:val="20"/>
        </w:rPr>
        <w:t> </w:t>
      </w:r>
      <w:r>
        <w:rPr>
          <w:sz w:val="20"/>
        </w:rPr>
        <w:t>2.2.2</w:t>
      </w:r>
      <w:r>
        <w:rPr>
          <w:spacing w:val="13"/>
          <w:sz w:val="20"/>
        </w:rPr>
        <w:t> </w:t>
      </w:r>
      <w:r>
        <w:rPr>
          <w:sz w:val="20"/>
        </w:rPr>
        <w:t>según</w:t>
      </w:r>
      <w:r>
        <w:rPr>
          <w:spacing w:val="13"/>
          <w:sz w:val="20"/>
        </w:rPr>
        <w:t> </w:t>
      </w:r>
      <w:r>
        <w:rPr>
          <w:sz w:val="20"/>
        </w:rPr>
        <w:t>el</w:t>
      </w:r>
    </w:p>
    <w:p>
      <w:pPr>
        <w:spacing w:before="0"/>
        <w:ind w:left="1296" w:right="0" w:firstLine="0"/>
        <w:jc w:val="left"/>
        <w:rPr>
          <w:sz w:val="20"/>
        </w:rPr>
      </w:pPr>
      <w:r>
        <w:rPr>
          <w:i/>
          <w:sz w:val="20"/>
        </w:rPr>
        <w:t>grado de impermeabilidad </w:t>
      </w:r>
      <w:r>
        <w:rPr>
          <w:sz w:val="20"/>
        </w:rPr>
        <w:t>exigido en el apartado 2.2.1;</w:t>
      </w:r>
    </w:p>
    <w:p>
      <w:pPr>
        <w:pStyle w:val="ListParagraph"/>
        <w:numPr>
          <w:ilvl w:val="2"/>
          <w:numId w:val="13"/>
        </w:numPr>
        <w:tabs>
          <w:tab w:pos="1298" w:val="left" w:leader="none"/>
          <w:tab w:pos="1299" w:val="left" w:leader="none"/>
        </w:tabs>
        <w:spacing w:line="240" w:lineRule="auto" w:before="119" w:after="0"/>
        <w:ind w:left="1296" w:right="392" w:hanging="436"/>
        <w:jc w:val="left"/>
        <w:rPr>
          <w:sz w:val="20"/>
        </w:rPr>
      </w:pPr>
      <w:r>
        <w:rPr>
          <w:sz w:val="20"/>
        </w:rPr>
        <w:t>las características de los puntos singulares de los mismos deben corresponder con las especificadas en el apartado</w:t>
      </w:r>
      <w:r>
        <w:rPr>
          <w:spacing w:val="-4"/>
          <w:sz w:val="20"/>
        </w:rPr>
        <w:t> </w:t>
      </w:r>
      <w:r>
        <w:rPr>
          <w:sz w:val="20"/>
        </w:rPr>
        <w:t>2.2.3;</w:t>
      </w:r>
    </w:p>
    <w:p>
      <w:pPr>
        <w:spacing w:after="0" w:line="240" w:lineRule="auto"/>
        <w:jc w:val="left"/>
        <w:rPr>
          <w:sz w:val="20"/>
        </w:rPr>
        <w:sectPr>
          <w:headerReference w:type="default" r:id="rId7"/>
          <w:footerReference w:type="default" r:id="rId8"/>
          <w:pgSz w:w="11910" w:h="16840"/>
          <w:pgMar w:header="724" w:footer="636" w:top="1320" w:bottom="820" w:left="1200" w:right="738"/>
          <w:pgNumType w:start="9"/>
        </w:sectPr>
      </w:pPr>
    </w:p>
    <w:p>
      <w:pPr>
        <w:pStyle w:val="ListParagraph"/>
        <w:numPr>
          <w:ilvl w:val="1"/>
          <w:numId w:val="13"/>
        </w:numPr>
        <w:tabs>
          <w:tab w:pos="1125" w:val="left" w:leader="none"/>
          <w:tab w:pos="1126" w:val="left" w:leader="none"/>
        </w:tabs>
        <w:spacing w:line="240" w:lineRule="auto" w:before="89" w:after="0"/>
        <w:ind w:left="1126" w:right="0" w:hanging="455"/>
        <w:jc w:val="left"/>
        <w:rPr>
          <w:sz w:val="20"/>
        </w:rPr>
      </w:pPr>
      <w:r>
        <w:rPr>
          <w:sz w:val="20"/>
        </w:rPr>
        <w:t>fachadas:</w:t>
      </w:r>
    </w:p>
    <w:p>
      <w:pPr>
        <w:pStyle w:val="ListParagraph"/>
        <w:numPr>
          <w:ilvl w:val="2"/>
          <w:numId w:val="13"/>
        </w:numPr>
        <w:tabs>
          <w:tab w:pos="1298" w:val="left" w:leader="none"/>
          <w:tab w:pos="1299" w:val="left" w:leader="none"/>
        </w:tabs>
        <w:spacing w:line="240" w:lineRule="auto" w:before="120" w:after="0"/>
        <w:ind w:left="1298" w:right="0" w:hanging="416"/>
        <w:jc w:val="left"/>
        <w:rPr>
          <w:sz w:val="20"/>
        </w:rPr>
      </w:pPr>
      <w:r>
        <w:rPr>
          <w:sz w:val="20"/>
        </w:rPr>
        <w:t>las características de las fachadas deben corresponder con las especificadas en el</w:t>
      </w:r>
      <w:r>
        <w:rPr>
          <w:spacing w:val="53"/>
          <w:sz w:val="20"/>
        </w:rPr>
        <w:t> </w:t>
      </w:r>
      <w:r>
        <w:rPr>
          <w:sz w:val="20"/>
        </w:rPr>
        <w:t>apartado</w:t>
      </w:r>
    </w:p>
    <w:p>
      <w:pPr>
        <w:spacing w:before="0"/>
        <w:ind w:left="1296" w:right="0" w:firstLine="0"/>
        <w:jc w:val="left"/>
        <w:rPr>
          <w:sz w:val="20"/>
        </w:rPr>
      </w:pPr>
      <w:r>
        <w:rPr>
          <w:sz w:val="20"/>
        </w:rPr>
        <w:t>2.3.2 según el </w:t>
      </w:r>
      <w:r>
        <w:rPr>
          <w:i/>
          <w:sz w:val="20"/>
        </w:rPr>
        <w:t>grado de impermeabilidad </w:t>
      </w:r>
      <w:r>
        <w:rPr>
          <w:sz w:val="20"/>
        </w:rPr>
        <w:t>exigido en al apartado 2.3.1;</w:t>
      </w:r>
    </w:p>
    <w:p>
      <w:pPr>
        <w:pStyle w:val="ListParagraph"/>
        <w:numPr>
          <w:ilvl w:val="2"/>
          <w:numId w:val="13"/>
        </w:numPr>
        <w:tabs>
          <w:tab w:pos="1298" w:val="left" w:leader="none"/>
          <w:tab w:pos="1299" w:val="left" w:leader="none"/>
        </w:tabs>
        <w:spacing w:line="240" w:lineRule="auto" w:before="121" w:after="0"/>
        <w:ind w:left="1296" w:right="392" w:hanging="436"/>
        <w:jc w:val="left"/>
        <w:rPr>
          <w:sz w:val="20"/>
        </w:rPr>
      </w:pPr>
      <w:r>
        <w:rPr>
          <w:sz w:val="20"/>
        </w:rPr>
        <w:t>las características de los puntos singulares de las mismas deben corresponder con las especificadas en el apartado</w:t>
      </w:r>
      <w:r>
        <w:rPr>
          <w:spacing w:val="-4"/>
          <w:sz w:val="20"/>
        </w:rPr>
        <w:t> </w:t>
      </w:r>
      <w:r>
        <w:rPr>
          <w:sz w:val="20"/>
        </w:rPr>
        <w:t>2.3.3;</w:t>
      </w:r>
    </w:p>
    <w:p>
      <w:pPr>
        <w:pStyle w:val="ListParagraph"/>
        <w:numPr>
          <w:ilvl w:val="1"/>
          <w:numId w:val="13"/>
        </w:numPr>
        <w:tabs>
          <w:tab w:pos="1125" w:val="left" w:leader="none"/>
          <w:tab w:pos="1127" w:val="left" w:leader="none"/>
        </w:tabs>
        <w:spacing w:line="240" w:lineRule="auto" w:before="119" w:after="0"/>
        <w:ind w:left="1126" w:right="0" w:hanging="455"/>
        <w:jc w:val="left"/>
        <w:rPr>
          <w:sz w:val="20"/>
        </w:rPr>
      </w:pPr>
      <w:r>
        <w:rPr>
          <w:sz w:val="20"/>
        </w:rPr>
        <w:t>cubiertas:</w:t>
      </w:r>
    </w:p>
    <w:p>
      <w:pPr>
        <w:pStyle w:val="ListParagraph"/>
        <w:numPr>
          <w:ilvl w:val="2"/>
          <w:numId w:val="13"/>
        </w:numPr>
        <w:tabs>
          <w:tab w:pos="1298" w:val="left" w:leader="none"/>
          <w:tab w:pos="1299" w:val="left" w:leader="none"/>
        </w:tabs>
        <w:spacing w:line="240" w:lineRule="auto" w:before="121" w:after="0"/>
        <w:ind w:left="1295" w:right="391" w:hanging="413"/>
        <w:jc w:val="left"/>
        <w:rPr>
          <w:sz w:val="20"/>
        </w:rPr>
      </w:pPr>
      <w:r>
        <w:rPr>
          <w:sz w:val="20"/>
        </w:rPr>
        <w:t>las características de las cubiertas deben corresponder con las especificadas en el apartado 2.4.2;</w:t>
      </w:r>
    </w:p>
    <w:p>
      <w:pPr>
        <w:pStyle w:val="ListParagraph"/>
        <w:numPr>
          <w:ilvl w:val="2"/>
          <w:numId w:val="13"/>
        </w:numPr>
        <w:tabs>
          <w:tab w:pos="1298" w:val="left" w:leader="none"/>
          <w:tab w:pos="1299" w:val="left" w:leader="none"/>
        </w:tabs>
        <w:spacing w:line="240" w:lineRule="auto" w:before="119" w:after="0"/>
        <w:ind w:left="1295" w:right="391" w:hanging="436"/>
        <w:jc w:val="left"/>
        <w:rPr>
          <w:sz w:val="20"/>
        </w:rPr>
      </w:pPr>
      <w:r>
        <w:rPr>
          <w:sz w:val="20"/>
        </w:rPr>
        <w:t>las características de los </w:t>
      </w:r>
      <w:r>
        <w:rPr>
          <w:i/>
          <w:sz w:val="20"/>
        </w:rPr>
        <w:t>componentes </w:t>
      </w:r>
      <w:r>
        <w:rPr>
          <w:sz w:val="20"/>
        </w:rPr>
        <w:t>de las mismas deben corresponder con las especificadas en el apartado</w:t>
      </w:r>
      <w:r>
        <w:rPr>
          <w:spacing w:val="-4"/>
          <w:sz w:val="20"/>
        </w:rPr>
        <w:t> </w:t>
      </w:r>
      <w:r>
        <w:rPr>
          <w:sz w:val="20"/>
        </w:rPr>
        <w:t>2.4.3;</w:t>
      </w:r>
    </w:p>
    <w:p>
      <w:pPr>
        <w:pStyle w:val="ListParagraph"/>
        <w:numPr>
          <w:ilvl w:val="2"/>
          <w:numId w:val="13"/>
        </w:numPr>
        <w:tabs>
          <w:tab w:pos="1298" w:val="left" w:leader="none"/>
          <w:tab w:pos="1299" w:val="left" w:leader="none"/>
        </w:tabs>
        <w:spacing w:line="240" w:lineRule="auto" w:before="120" w:after="0"/>
        <w:ind w:left="1295" w:right="392" w:hanging="458"/>
        <w:jc w:val="left"/>
        <w:rPr>
          <w:sz w:val="20"/>
        </w:rPr>
      </w:pPr>
      <w:r>
        <w:rPr>
          <w:sz w:val="20"/>
        </w:rPr>
        <w:t>las características de los puntos singulares de las mismas deben corresponder con las especificadas en el apartado</w:t>
      </w:r>
      <w:r>
        <w:rPr>
          <w:spacing w:val="-4"/>
          <w:sz w:val="20"/>
        </w:rPr>
        <w:t> </w:t>
      </w:r>
      <w:r>
        <w:rPr>
          <w:sz w:val="20"/>
        </w:rPr>
        <w:t>2.4.4.</w:t>
      </w:r>
    </w:p>
    <w:p>
      <w:pPr>
        <w:pStyle w:val="ListParagraph"/>
        <w:numPr>
          <w:ilvl w:val="0"/>
          <w:numId w:val="13"/>
        </w:numPr>
        <w:tabs>
          <w:tab w:pos="672" w:val="left" w:leader="none"/>
        </w:tabs>
        <w:spacing w:line="240" w:lineRule="auto" w:before="119" w:after="0"/>
        <w:ind w:left="671" w:right="391" w:hanging="454"/>
        <w:jc w:val="both"/>
        <w:rPr>
          <w:sz w:val="20"/>
        </w:rPr>
      </w:pPr>
      <w:r>
        <w:rPr>
          <w:sz w:val="20"/>
        </w:rPr>
        <w:t>Cumplimiento de las condiciones de dimensionado del apartado 3 relativas a los tubos de </w:t>
      </w:r>
      <w:r>
        <w:rPr>
          <w:i/>
          <w:sz w:val="20"/>
        </w:rPr>
        <w:t>drenaje</w:t>
      </w:r>
      <w:r>
        <w:rPr>
          <w:sz w:val="20"/>
        </w:rPr>
        <w:t>, a las canaletas de recogida del agua filtrada en los </w:t>
      </w:r>
      <w:r>
        <w:rPr>
          <w:i/>
          <w:sz w:val="20"/>
        </w:rPr>
        <w:t>muros parcialmente estancos </w:t>
      </w:r>
      <w:r>
        <w:rPr>
          <w:sz w:val="20"/>
        </w:rPr>
        <w:t>y a las bombas de achique.</w:t>
      </w:r>
    </w:p>
    <w:p>
      <w:pPr>
        <w:pStyle w:val="ListParagraph"/>
        <w:numPr>
          <w:ilvl w:val="0"/>
          <w:numId w:val="13"/>
        </w:numPr>
        <w:tabs>
          <w:tab w:pos="671" w:val="left" w:leader="none"/>
          <w:tab w:pos="672" w:val="left" w:leader="none"/>
        </w:tabs>
        <w:spacing w:line="240" w:lineRule="auto" w:before="121" w:after="0"/>
        <w:ind w:left="671" w:right="0" w:hanging="454"/>
        <w:jc w:val="left"/>
        <w:rPr>
          <w:sz w:val="20"/>
        </w:rPr>
      </w:pPr>
      <w:r>
        <w:rPr>
          <w:sz w:val="20"/>
        </w:rPr>
        <w:t>Cumplimiento de las condiciones relativas a los productos de construcción del apartado</w:t>
      </w:r>
      <w:r>
        <w:rPr>
          <w:spacing w:val="-18"/>
          <w:sz w:val="20"/>
        </w:rPr>
        <w:t> </w:t>
      </w:r>
      <w:r>
        <w:rPr>
          <w:sz w:val="20"/>
        </w:rPr>
        <w:t>4.</w:t>
      </w:r>
    </w:p>
    <w:p>
      <w:pPr>
        <w:pStyle w:val="ListParagraph"/>
        <w:numPr>
          <w:ilvl w:val="0"/>
          <w:numId w:val="13"/>
        </w:numPr>
        <w:tabs>
          <w:tab w:pos="671" w:val="left" w:leader="none"/>
          <w:tab w:pos="672" w:val="left" w:leader="none"/>
        </w:tabs>
        <w:spacing w:line="240" w:lineRule="auto" w:before="120" w:after="0"/>
        <w:ind w:left="671" w:right="0" w:hanging="454"/>
        <w:jc w:val="left"/>
        <w:rPr>
          <w:sz w:val="20"/>
        </w:rPr>
      </w:pPr>
      <w:r>
        <w:rPr>
          <w:sz w:val="20"/>
        </w:rPr>
        <w:t>Cumplimiento de las condiciones de construcción del apartado</w:t>
      </w:r>
      <w:r>
        <w:rPr>
          <w:spacing w:val="-7"/>
          <w:sz w:val="20"/>
        </w:rPr>
        <w:t> </w:t>
      </w:r>
      <w:r>
        <w:rPr>
          <w:sz w:val="20"/>
        </w:rPr>
        <w:t>5.</w:t>
      </w:r>
    </w:p>
    <w:p>
      <w:pPr>
        <w:pStyle w:val="ListParagraph"/>
        <w:numPr>
          <w:ilvl w:val="0"/>
          <w:numId w:val="13"/>
        </w:numPr>
        <w:tabs>
          <w:tab w:pos="671" w:val="left" w:leader="none"/>
          <w:tab w:pos="672" w:val="left" w:leader="none"/>
        </w:tabs>
        <w:spacing w:line="240" w:lineRule="auto" w:before="120" w:after="0"/>
        <w:ind w:left="671" w:right="0" w:hanging="454"/>
        <w:jc w:val="left"/>
        <w:rPr>
          <w:sz w:val="20"/>
        </w:rPr>
      </w:pPr>
      <w:r>
        <w:rPr>
          <w:sz w:val="20"/>
        </w:rPr>
        <w:t>Cumplimiento de las condiciones de mantenimiento y conservación del apartado</w:t>
      </w:r>
      <w:r>
        <w:rPr>
          <w:spacing w:val="-14"/>
          <w:sz w:val="20"/>
        </w:rPr>
        <w:t> </w:t>
      </w:r>
      <w:r>
        <w:rPr>
          <w:sz w:val="20"/>
        </w:rPr>
        <w:t>6.</w:t>
      </w:r>
    </w:p>
    <w:p>
      <w:pPr>
        <w:pStyle w:val="BodyText"/>
        <w:rPr>
          <w:sz w:val="22"/>
        </w:rPr>
      </w:pPr>
    </w:p>
    <w:p>
      <w:pPr>
        <w:pStyle w:val="BodyText"/>
        <w:spacing w:before="1"/>
        <w:rPr>
          <w:sz w:val="25"/>
        </w:rPr>
      </w:pPr>
    </w:p>
    <w:p>
      <w:pPr>
        <w:pStyle w:val="ListParagraph"/>
        <w:numPr>
          <w:ilvl w:val="0"/>
          <w:numId w:val="14"/>
        </w:numPr>
        <w:tabs>
          <w:tab w:pos="503" w:val="left" w:leader="none"/>
        </w:tabs>
        <w:spacing w:line="240" w:lineRule="auto" w:before="0" w:after="0"/>
        <w:ind w:left="502" w:right="0" w:hanging="285"/>
        <w:jc w:val="left"/>
        <w:rPr>
          <w:b/>
          <w:sz w:val="28"/>
        </w:rPr>
      </w:pPr>
      <w:r>
        <w:rPr>
          <w:b/>
          <w:sz w:val="28"/>
        </w:rPr>
        <w:t>Diseño</w:t>
      </w:r>
    </w:p>
    <w:p>
      <w:pPr>
        <w:pStyle w:val="BodyText"/>
        <w:spacing w:before="1"/>
        <w:rPr>
          <w:b/>
          <w:sz w:val="39"/>
        </w:rPr>
      </w:pPr>
    </w:p>
    <w:p>
      <w:pPr>
        <w:spacing w:before="0"/>
        <w:ind w:left="1958" w:right="393" w:firstLine="0"/>
        <w:jc w:val="both"/>
        <w:rPr>
          <w:sz w:val="16"/>
        </w:rPr>
      </w:pPr>
      <w:r>
        <w:rPr/>
        <w:pict>
          <v:line style="position:absolute;mso-position-horizontal-relative:page;mso-position-vertical-relative:paragraph;z-index:251669504" from="152.520004pt,-2.875793pt" to="152.520004pt,55.084207pt" stroked="true" strokeweight=".48pt" strokecolor="#000000">
            <v:stroke dashstyle="solid"/>
            <w10:wrap type="none"/>
          </v:line>
        </w:pict>
      </w:r>
      <w:r>
        <w:rPr>
          <w:sz w:val="16"/>
        </w:rPr>
        <w:t>Las soluciones constructivas recogidas en este apartado se consideran soluciones aceptadas, pero no obligatorias. Se pueden utilizar otras soluciones, siempre que éstas proporcionen las mismas prestaciones, de acuerdo con lo dispuesto en el artículo 5 del CTE.</w:t>
      </w:r>
    </w:p>
    <w:p>
      <w:pPr>
        <w:spacing w:before="120"/>
        <w:ind w:left="1958" w:right="392" w:firstLine="0"/>
        <w:jc w:val="both"/>
        <w:rPr>
          <w:sz w:val="16"/>
        </w:rPr>
      </w:pPr>
      <w:r>
        <w:rPr>
          <w:sz w:val="16"/>
        </w:rPr>
        <w:t>Se recogen algunas soluciones poco usuales, pero que son factibles y pueden darse en algunos casos, como por ejemplo en rehabilitación.</w:t>
      </w:r>
    </w:p>
    <w:p>
      <w:pPr>
        <w:pStyle w:val="BodyText"/>
      </w:pPr>
    </w:p>
    <w:p>
      <w:pPr>
        <w:pStyle w:val="BodyText"/>
        <w:spacing w:before="7"/>
        <w:rPr>
          <w:sz w:val="21"/>
        </w:rPr>
      </w:pPr>
    </w:p>
    <w:p>
      <w:pPr>
        <w:pStyle w:val="Heading3"/>
        <w:numPr>
          <w:ilvl w:val="1"/>
          <w:numId w:val="14"/>
        </w:numPr>
        <w:tabs>
          <w:tab w:pos="785" w:val="left" w:leader="none"/>
          <w:tab w:pos="786" w:val="left" w:leader="none"/>
        </w:tabs>
        <w:spacing w:line="240" w:lineRule="auto" w:before="92" w:after="0"/>
        <w:ind w:left="785" w:right="0" w:hanging="568"/>
        <w:jc w:val="left"/>
      </w:pPr>
      <w:r>
        <w:rPr/>
        <w:t>Muros</w:t>
      </w:r>
    </w:p>
    <w:p>
      <w:pPr>
        <w:pStyle w:val="BodyText"/>
        <w:spacing w:before="2"/>
        <w:rPr>
          <w:b/>
          <w:sz w:val="26"/>
        </w:rPr>
      </w:pPr>
    </w:p>
    <w:p>
      <w:pPr>
        <w:pStyle w:val="Heading5"/>
        <w:numPr>
          <w:ilvl w:val="2"/>
          <w:numId w:val="14"/>
        </w:numPr>
        <w:tabs>
          <w:tab w:pos="786" w:val="left" w:leader="none"/>
        </w:tabs>
        <w:spacing w:line="240" w:lineRule="auto" w:before="0" w:after="0"/>
        <w:ind w:left="785" w:right="0" w:hanging="568"/>
        <w:jc w:val="left"/>
      </w:pPr>
      <w:r>
        <w:rPr/>
        <w:t>Grado de</w:t>
      </w:r>
      <w:r>
        <w:rPr>
          <w:spacing w:val="-3"/>
        </w:rPr>
        <w:t> </w:t>
      </w:r>
      <w:r>
        <w:rPr/>
        <w:t>impermeabilidad</w:t>
      </w:r>
    </w:p>
    <w:p>
      <w:pPr>
        <w:pStyle w:val="ListParagraph"/>
        <w:numPr>
          <w:ilvl w:val="0"/>
          <w:numId w:val="15"/>
        </w:numPr>
        <w:tabs>
          <w:tab w:pos="672" w:val="left" w:leader="none"/>
        </w:tabs>
        <w:spacing w:line="240" w:lineRule="auto" w:before="157" w:after="0"/>
        <w:ind w:left="672" w:right="392" w:hanging="454"/>
        <w:jc w:val="both"/>
        <w:rPr>
          <w:sz w:val="20"/>
        </w:rPr>
      </w:pPr>
      <w:r>
        <w:rPr>
          <w:sz w:val="20"/>
        </w:rPr>
        <w:t>El </w:t>
      </w:r>
      <w:r>
        <w:rPr>
          <w:i/>
          <w:sz w:val="20"/>
        </w:rPr>
        <w:t>grado de impermeabilidad </w:t>
      </w:r>
      <w:r>
        <w:rPr>
          <w:sz w:val="20"/>
        </w:rPr>
        <w:t>mínimo exigido a los muros que están en contacto con el terreno  frente a la penetración del agua del terreno y de las escorrentías se obtiene en la tabla 2.1 en función de la presencia de agua y del </w:t>
      </w:r>
      <w:r>
        <w:rPr>
          <w:i/>
          <w:sz w:val="20"/>
        </w:rPr>
        <w:t>coeficiente de permeabilidad </w:t>
      </w:r>
      <w:r>
        <w:rPr>
          <w:sz w:val="20"/>
        </w:rPr>
        <w:t>del</w:t>
      </w:r>
      <w:r>
        <w:rPr>
          <w:spacing w:val="-15"/>
          <w:sz w:val="20"/>
        </w:rPr>
        <w:t> </w:t>
      </w:r>
      <w:r>
        <w:rPr>
          <w:sz w:val="20"/>
        </w:rPr>
        <w:t>terreno.</w:t>
      </w:r>
    </w:p>
    <w:p>
      <w:pPr>
        <w:pStyle w:val="ListParagraph"/>
        <w:numPr>
          <w:ilvl w:val="0"/>
          <w:numId w:val="15"/>
        </w:numPr>
        <w:tabs>
          <w:tab w:pos="671" w:val="left" w:leader="none"/>
          <w:tab w:pos="672" w:val="left" w:leader="none"/>
        </w:tabs>
        <w:spacing w:line="240" w:lineRule="auto" w:before="120" w:after="0"/>
        <w:ind w:left="671" w:right="0" w:hanging="454"/>
        <w:jc w:val="left"/>
        <w:rPr>
          <w:sz w:val="20"/>
        </w:rPr>
      </w:pPr>
      <w:r>
        <w:rPr>
          <w:sz w:val="20"/>
        </w:rPr>
        <w:t>La presencia de agua se</w:t>
      </w:r>
      <w:r>
        <w:rPr>
          <w:spacing w:val="-3"/>
          <w:sz w:val="20"/>
        </w:rPr>
        <w:t> </w:t>
      </w:r>
      <w:r>
        <w:rPr>
          <w:sz w:val="20"/>
        </w:rPr>
        <w:t>considera</w:t>
      </w:r>
    </w:p>
    <w:p>
      <w:pPr>
        <w:pStyle w:val="ListParagraph"/>
        <w:numPr>
          <w:ilvl w:val="1"/>
          <w:numId w:val="15"/>
        </w:numPr>
        <w:tabs>
          <w:tab w:pos="1126" w:val="left" w:leader="none"/>
          <w:tab w:pos="1127" w:val="left" w:leader="none"/>
        </w:tabs>
        <w:spacing w:line="230" w:lineRule="exact" w:before="121" w:after="0"/>
        <w:ind w:left="1126" w:right="0" w:hanging="455"/>
        <w:jc w:val="left"/>
        <w:rPr>
          <w:sz w:val="20"/>
        </w:rPr>
      </w:pPr>
      <w:r>
        <w:rPr>
          <w:sz w:val="20"/>
        </w:rPr>
        <w:t>baja</w:t>
      </w:r>
      <w:r>
        <w:rPr>
          <w:spacing w:val="12"/>
          <w:sz w:val="20"/>
        </w:rPr>
        <w:t> </w:t>
      </w:r>
      <w:r>
        <w:rPr>
          <w:sz w:val="20"/>
        </w:rPr>
        <w:t>cuando</w:t>
      </w:r>
      <w:r>
        <w:rPr>
          <w:spacing w:val="13"/>
          <w:sz w:val="20"/>
        </w:rPr>
        <w:t> </w:t>
      </w:r>
      <w:r>
        <w:rPr>
          <w:sz w:val="20"/>
        </w:rPr>
        <w:t>la</w:t>
      </w:r>
      <w:r>
        <w:rPr>
          <w:spacing w:val="12"/>
          <w:sz w:val="20"/>
        </w:rPr>
        <w:t> </w:t>
      </w:r>
      <w:r>
        <w:rPr>
          <w:sz w:val="20"/>
        </w:rPr>
        <w:t>cara</w:t>
      </w:r>
      <w:r>
        <w:rPr>
          <w:spacing w:val="13"/>
          <w:sz w:val="20"/>
        </w:rPr>
        <w:t> </w:t>
      </w:r>
      <w:r>
        <w:rPr>
          <w:sz w:val="20"/>
        </w:rPr>
        <w:t>inferior</w:t>
      </w:r>
      <w:r>
        <w:rPr>
          <w:spacing w:val="12"/>
          <w:sz w:val="20"/>
        </w:rPr>
        <w:t> </w:t>
      </w:r>
      <w:r>
        <w:rPr>
          <w:sz w:val="20"/>
        </w:rPr>
        <w:t>del</w:t>
      </w:r>
      <w:r>
        <w:rPr>
          <w:spacing w:val="13"/>
          <w:sz w:val="20"/>
        </w:rPr>
        <w:t> </w:t>
      </w:r>
      <w:r>
        <w:rPr>
          <w:sz w:val="20"/>
        </w:rPr>
        <w:t>suelo</w:t>
      </w:r>
      <w:r>
        <w:rPr>
          <w:spacing w:val="12"/>
          <w:sz w:val="20"/>
        </w:rPr>
        <w:t> </w:t>
      </w:r>
      <w:r>
        <w:rPr>
          <w:sz w:val="20"/>
        </w:rPr>
        <w:t>en</w:t>
      </w:r>
      <w:r>
        <w:rPr>
          <w:spacing w:val="13"/>
          <w:sz w:val="20"/>
        </w:rPr>
        <w:t> </w:t>
      </w:r>
      <w:r>
        <w:rPr>
          <w:sz w:val="20"/>
        </w:rPr>
        <w:t>contacto</w:t>
      </w:r>
      <w:r>
        <w:rPr>
          <w:spacing w:val="12"/>
          <w:sz w:val="20"/>
        </w:rPr>
        <w:t> </w:t>
      </w:r>
      <w:r>
        <w:rPr>
          <w:sz w:val="20"/>
        </w:rPr>
        <w:t>con</w:t>
      </w:r>
      <w:r>
        <w:rPr>
          <w:spacing w:val="13"/>
          <w:sz w:val="20"/>
        </w:rPr>
        <w:t> </w:t>
      </w:r>
      <w:r>
        <w:rPr>
          <w:sz w:val="20"/>
        </w:rPr>
        <w:t>el</w:t>
      </w:r>
      <w:r>
        <w:rPr>
          <w:spacing w:val="12"/>
          <w:sz w:val="20"/>
        </w:rPr>
        <w:t> </w:t>
      </w:r>
      <w:r>
        <w:rPr>
          <w:sz w:val="20"/>
        </w:rPr>
        <w:t>terreno</w:t>
      </w:r>
      <w:r>
        <w:rPr>
          <w:spacing w:val="13"/>
          <w:sz w:val="20"/>
        </w:rPr>
        <w:t> </w:t>
      </w:r>
      <w:r>
        <w:rPr>
          <w:sz w:val="20"/>
        </w:rPr>
        <w:t>se</w:t>
      </w:r>
      <w:r>
        <w:rPr>
          <w:spacing w:val="12"/>
          <w:sz w:val="20"/>
        </w:rPr>
        <w:t> </w:t>
      </w:r>
      <w:r>
        <w:rPr>
          <w:sz w:val="20"/>
        </w:rPr>
        <w:t>encuentra</w:t>
      </w:r>
      <w:r>
        <w:rPr>
          <w:spacing w:val="13"/>
          <w:sz w:val="20"/>
        </w:rPr>
        <w:t> </w:t>
      </w:r>
      <w:r>
        <w:rPr>
          <w:sz w:val="20"/>
        </w:rPr>
        <w:t>por</w:t>
      </w:r>
      <w:r>
        <w:rPr>
          <w:spacing w:val="12"/>
          <w:sz w:val="20"/>
        </w:rPr>
        <w:t> </w:t>
      </w:r>
      <w:r>
        <w:rPr>
          <w:sz w:val="20"/>
        </w:rPr>
        <w:t>encima</w:t>
      </w:r>
      <w:r>
        <w:rPr>
          <w:spacing w:val="13"/>
          <w:sz w:val="20"/>
        </w:rPr>
        <w:t> </w:t>
      </w:r>
      <w:r>
        <w:rPr>
          <w:sz w:val="20"/>
        </w:rPr>
        <w:t>del</w:t>
      </w:r>
    </w:p>
    <w:p>
      <w:pPr>
        <w:spacing w:line="230" w:lineRule="exact" w:before="0"/>
        <w:ind w:left="1125" w:right="0" w:firstLine="0"/>
        <w:jc w:val="left"/>
        <w:rPr>
          <w:sz w:val="20"/>
        </w:rPr>
      </w:pPr>
      <w:r>
        <w:rPr>
          <w:i/>
          <w:sz w:val="20"/>
        </w:rPr>
        <w:t>nivel freático</w:t>
      </w:r>
      <w:r>
        <w:rPr>
          <w:sz w:val="20"/>
        </w:rPr>
        <w:t>;</w:t>
      </w:r>
    </w:p>
    <w:p>
      <w:pPr>
        <w:pStyle w:val="ListParagraph"/>
        <w:numPr>
          <w:ilvl w:val="1"/>
          <w:numId w:val="15"/>
        </w:numPr>
        <w:tabs>
          <w:tab w:pos="1126" w:val="left" w:leader="none"/>
          <w:tab w:pos="1127" w:val="left" w:leader="none"/>
        </w:tabs>
        <w:spacing w:line="240" w:lineRule="auto" w:before="120" w:after="0"/>
        <w:ind w:left="1125" w:right="391" w:hanging="454"/>
        <w:jc w:val="left"/>
        <w:rPr>
          <w:sz w:val="20"/>
        </w:rPr>
      </w:pPr>
      <w:r>
        <w:rPr>
          <w:sz w:val="20"/>
        </w:rPr>
        <w:t>media cuando la cara inferior del suelo en contacto con el terreno se encuentra a la misma profundidad que el </w:t>
      </w:r>
      <w:r>
        <w:rPr>
          <w:i/>
          <w:sz w:val="20"/>
        </w:rPr>
        <w:t>nivel freático </w:t>
      </w:r>
      <w:r>
        <w:rPr>
          <w:sz w:val="20"/>
        </w:rPr>
        <w:t>o a menos de dos metros por</w:t>
      </w:r>
      <w:r>
        <w:rPr>
          <w:spacing w:val="-10"/>
          <w:sz w:val="20"/>
        </w:rPr>
        <w:t> </w:t>
      </w:r>
      <w:r>
        <w:rPr>
          <w:sz w:val="20"/>
        </w:rPr>
        <w:t>debajo;</w:t>
      </w:r>
    </w:p>
    <w:p>
      <w:pPr>
        <w:pStyle w:val="ListParagraph"/>
        <w:numPr>
          <w:ilvl w:val="1"/>
          <w:numId w:val="15"/>
        </w:numPr>
        <w:tabs>
          <w:tab w:pos="1125" w:val="left" w:leader="none"/>
          <w:tab w:pos="1126" w:val="left" w:leader="none"/>
        </w:tabs>
        <w:spacing w:line="240" w:lineRule="auto" w:before="120" w:after="0"/>
        <w:ind w:left="1125" w:right="391" w:hanging="454"/>
        <w:jc w:val="left"/>
        <w:rPr>
          <w:sz w:val="20"/>
        </w:rPr>
      </w:pPr>
      <w:r>
        <w:rPr>
          <w:sz w:val="20"/>
        </w:rPr>
        <w:t>alta cuando la cara inferior del suelo en contacto con el terreno se encuentra a dos o más metros por debajo del </w:t>
      </w:r>
      <w:r>
        <w:rPr>
          <w:i/>
          <w:sz w:val="20"/>
        </w:rPr>
        <w:t>nivel</w:t>
      </w:r>
      <w:r>
        <w:rPr>
          <w:i/>
          <w:spacing w:val="-5"/>
          <w:sz w:val="20"/>
        </w:rPr>
        <w:t> </w:t>
      </w:r>
      <w:r>
        <w:rPr>
          <w:i/>
          <w:sz w:val="20"/>
        </w:rPr>
        <w:t>freático</w:t>
      </w:r>
      <w:r>
        <w:rPr>
          <w:sz w:val="20"/>
        </w:rPr>
        <w:t>.</w:t>
      </w:r>
    </w:p>
    <w:p>
      <w:pPr>
        <w:spacing w:after="0" w:line="240" w:lineRule="auto"/>
        <w:jc w:val="left"/>
        <w:rPr>
          <w:sz w:val="20"/>
        </w:rPr>
        <w:sectPr>
          <w:pgSz w:w="11910" w:h="16840"/>
          <w:pgMar w:header="724" w:footer="636" w:top="1320" w:bottom="840" w:left="1200" w:right="738"/>
        </w:sectPr>
      </w:pPr>
    </w:p>
    <w:p>
      <w:pPr>
        <w:spacing w:before="89" w:after="3"/>
        <w:ind w:left="655" w:right="828" w:firstLine="0"/>
        <w:jc w:val="center"/>
        <w:rPr>
          <w:b/>
          <w:sz w:val="18"/>
        </w:rPr>
      </w:pPr>
      <w:r>
        <w:rPr>
          <w:b/>
          <w:sz w:val="18"/>
        </w:rPr>
        <w:t>Tabla 2.1 </w:t>
      </w:r>
      <w:r>
        <w:rPr>
          <w:b/>
          <w:i/>
          <w:sz w:val="18"/>
        </w:rPr>
        <w:t>Grado de impermeabilidad </w:t>
      </w:r>
      <w:r>
        <w:rPr>
          <w:b/>
          <w:sz w:val="18"/>
        </w:rPr>
        <w:t>mínimo exigido a los muros</w:t>
      </w:r>
    </w:p>
    <w:tbl>
      <w:tblPr>
        <w:tblW w:w="0" w:type="auto"/>
        <w:jc w:val="left"/>
        <w:tblInd w:w="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8"/>
        <w:gridCol w:w="1846"/>
        <w:gridCol w:w="2118"/>
        <w:gridCol w:w="1678"/>
      </w:tblGrid>
      <w:tr>
        <w:trPr>
          <w:trHeight w:val="257" w:hRule="atLeast"/>
        </w:trPr>
        <w:tc>
          <w:tcPr>
            <w:tcW w:w="3378" w:type="dxa"/>
            <w:tcBorders>
              <w:bottom w:val="single" w:sz="4" w:space="0" w:color="000000"/>
              <w:right w:val="single" w:sz="4" w:space="0" w:color="000000"/>
            </w:tcBorders>
          </w:tcPr>
          <w:p>
            <w:pPr>
              <w:pStyle w:val="TableParagraph"/>
              <w:jc w:val="left"/>
              <w:rPr>
                <w:rFonts w:ascii="Times New Roman"/>
                <w:sz w:val="16"/>
              </w:rPr>
            </w:pPr>
          </w:p>
        </w:tc>
        <w:tc>
          <w:tcPr>
            <w:tcW w:w="5642" w:type="dxa"/>
            <w:gridSpan w:val="3"/>
            <w:tcBorders>
              <w:top w:val="single" w:sz="4" w:space="0" w:color="000000"/>
              <w:left w:val="single" w:sz="4" w:space="0" w:color="000000"/>
              <w:bottom w:val="single" w:sz="4" w:space="0" w:color="000000"/>
            </w:tcBorders>
          </w:tcPr>
          <w:p>
            <w:pPr>
              <w:pStyle w:val="TableParagraph"/>
              <w:spacing w:before="23"/>
              <w:ind w:left="1079"/>
              <w:jc w:val="left"/>
              <w:rPr>
                <w:b/>
                <w:sz w:val="18"/>
              </w:rPr>
            </w:pPr>
            <w:r>
              <w:rPr>
                <w:b/>
                <w:i/>
                <w:sz w:val="18"/>
              </w:rPr>
              <w:t>Coeficiente de permeabilidad </w:t>
            </w:r>
            <w:r>
              <w:rPr>
                <w:b/>
                <w:sz w:val="18"/>
              </w:rPr>
              <w:t>del terreno</w:t>
            </w:r>
          </w:p>
        </w:tc>
      </w:tr>
      <w:tr>
        <w:trPr>
          <w:trHeight w:val="266" w:hRule="atLeast"/>
        </w:trPr>
        <w:tc>
          <w:tcPr>
            <w:tcW w:w="3378" w:type="dxa"/>
            <w:tcBorders>
              <w:top w:val="single" w:sz="4" w:space="0" w:color="000000"/>
              <w:bottom w:val="single" w:sz="4" w:space="0" w:color="000000"/>
              <w:right w:val="single" w:sz="4" w:space="0" w:color="000000"/>
            </w:tcBorders>
          </w:tcPr>
          <w:p>
            <w:pPr>
              <w:pStyle w:val="TableParagraph"/>
              <w:spacing w:before="26"/>
              <w:ind w:left="890" w:right="862"/>
              <w:rPr>
                <w:b/>
                <w:sz w:val="18"/>
              </w:rPr>
            </w:pPr>
            <w:r>
              <w:rPr>
                <w:b/>
                <w:sz w:val="18"/>
              </w:rPr>
              <w:t>Presencia de agua</w:t>
            </w:r>
          </w:p>
        </w:tc>
        <w:tc>
          <w:tcPr>
            <w:tcW w:w="1846" w:type="dxa"/>
            <w:tcBorders>
              <w:top w:val="single" w:sz="4" w:space="0" w:color="000000"/>
              <w:left w:val="single" w:sz="4" w:space="0" w:color="000000"/>
              <w:bottom w:val="single" w:sz="4" w:space="0" w:color="000000"/>
            </w:tcBorders>
          </w:tcPr>
          <w:p>
            <w:pPr>
              <w:pStyle w:val="TableParagraph"/>
              <w:spacing w:before="20"/>
              <w:ind w:left="423" w:right="330"/>
              <w:rPr>
                <w:b/>
                <w:sz w:val="18"/>
              </w:rPr>
            </w:pPr>
            <w:r>
              <w:rPr>
                <w:b/>
                <w:position w:val="1"/>
                <w:sz w:val="18"/>
              </w:rPr>
              <w:t>K</w:t>
            </w:r>
            <w:r>
              <w:rPr>
                <w:b/>
                <w:sz w:val="12"/>
              </w:rPr>
              <w:t>s</w:t>
            </w:r>
            <w:r>
              <w:rPr>
                <w:rFonts w:ascii="Symbol" w:hAnsi="Symbol"/>
                <w:b/>
                <w:position w:val="1"/>
                <w:sz w:val="18"/>
              </w:rPr>
              <w:t></w:t>
            </w:r>
            <w:r>
              <w:rPr>
                <w:b/>
                <w:position w:val="1"/>
                <w:sz w:val="18"/>
              </w:rPr>
              <w:t>10</w:t>
            </w:r>
            <w:r>
              <w:rPr>
                <w:b/>
                <w:position w:val="7"/>
                <w:sz w:val="12"/>
              </w:rPr>
              <w:t>-2 </w:t>
            </w:r>
            <w:r>
              <w:rPr>
                <w:b/>
                <w:position w:val="1"/>
                <w:sz w:val="18"/>
              </w:rPr>
              <w:t>cm/s</w:t>
            </w:r>
          </w:p>
        </w:tc>
        <w:tc>
          <w:tcPr>
            <w:tcW w:w="2118" w:type="dxa"/>
            <w:tcBorders>
              <w:top w:val="single" w:sz="4" w:space="0" w:color="000000"/>
              <w:bottom w:val="single" w:sz="4" w:space="0" w:color="000000"/>
            </w:tcBorders>
          </w:tcPr>
          <w:p>
            <w:pPr>
              <w:pStyle w:val="TableParagraph"/>
              <w:spacing w:before="22"/>
              <w:ind w:left="339" w:right="273"/>
              <w:rPr>
                <w:b/>
                <w:sz w:val="18"/>
              </w:rPr>
            </w:pPr>
            <w:r>
              <w:rPr>
                <w:b/>
                <w:position w:val="1"/>
                <w:sz w:val="18"/>
              </w:rPr>
              <w:t>10</w:t>
            </w:r>
            <w:r>
              <w:rPr>
                <w:b/>
                <w:position w:val="7"/>
                <w:sz w:val="12"/>
              </w:rPr>
              <w:t>-5</w:t>
            </w:r>
            <w:r>
              <w:rPr>
                <w:b/>
                <w:position w:val="1"/>
                <w:sz w:val="18"/>
              </w:rPr>
              <w:t>&lt;K</w:t>
            </w:r>
            <w:r>
              <w:rPr>
                <w:b/>
                <w:sz w:val="12"/>
              </w:rPr>
              <w:t>s</w:t>
            </w:r>
            <w:r>
              <w:rPr>
                <w:b/>
                <w:position w:val="1"/>
                <w:sz w:val="18"/>
              </w:rPr>
              <w:t>&lt;10</w:t>
            </w:r>
            <w:r>
              <w:rPr>
                <w:b/>
                <w:position w:val="7"/>
                <w:sz w:val="12"/>
              </w:rPr>
              <w:t>-2 </w:t>
            </w:r>
            <w:r>
              <w:rPr>
                <w:b/>
                <w:position w:val="1"/>
                <w:sz w:val="18"/>
              </w:rPr>
              <w:t>cm/s</w:t>
            </w:r>
          </w:p>
        </w:tc>
        <w:tc>
          <w:tcPr>
            <w:tcW w:w="1678" w:type="dxa"/>
            <w:tcBorders>
              <w:top w:val="single" w:sz="4" w:space="0" w:color="000000"/>
              <w:bottom w:val="single" w:sz="4" w:space="0" w:color="000000"/>
            </w:tcBorders>
          </w:tcPr>
          <w:p>
            <w:pPr>
              <w:pStyle w:val="TableParagraph"/>
              <w:spacing w:before="20"/>
              <w:ind w:left="285" w:right="305"/>
              <w:rPr>
                <w:b/>
                <w:sz w:val="18"/>
              </w:rPr>
            </w:pPr>
            <w:r>
              <w:rPr>
                <w:b/>
                <w:position w:val="1"/>
                <w:sz w:val="18"/>
              </w:rPr>
              <w:t>K</w:t>
            </w:r>
            <w:r>
              <w:rPr>
                <w:b/>
                <w:sz w:val="12"/>
              </w:rPr>
              <w:t>s</w:t>
            </w:r>
            <w:r>
              <w:rPr>
                <w:rFonts w:ascii="Symbol" w:hAnsi="Symbol"/>
                <w:b/>
                <w:position w:val="1"/>
                <w:sz w:val="18"/>
              </w:rPr>
              <w:t></w:t>
            </w:r>
            <w:r>
              <w:rPr>
                <w:b/>
                <w:position w:val="1"/>
                <w:sz w:val="18"/>
              </w:rPr>
              <w:t>10</w:t>
            </w:r>
            <w:r>
              <w:rPr>
                <w:b/>
                <w:position w:val="7"/>
                <w:sz w:val="12"/>
              </w:rPr>
              <w:t>-5 </w:t>
            </w:r>
            <w:r>
              <w:rPr>
                <w:b/>
                <w:position w:val="1"/>
                <w:sz w:val="18"/>
              </w:rPr>
              <w:t>cm/s</w:t>
            </w:r>
          </w:p>
        </w:tc>
      </w:tr>
      <w:tr>
        <w:trPr>
          <w:trHeight w:val="249" w:hRule="atLeast"/>
        </w:trPr>
        <w:tc>
          <w:tcPr>
            <w:tcW w:w="3378" w:type="dxa"/>
            <w:tcBorders>
              <w:top w:val="single" w:sz="4" w:space="0" w:color="000000"/>
              <w:right w:val="single" w:sz="4" w:space="0" w:color="000000"/>
            </w:tcBorders>
          </w:tcPr>
          <w:p>
            <w:pPr>
              <w:pStyle w:val="TableParagraph"/>
              <w:spacing w:before="18"/>
              <w:ind w:left="890" w:right="862"/>
              <w:rPr>
                <w:b/>
                <w:sz w:val="18"/>
              </w:rPr>
            </w:pPr>
            <w:r>
              <w:rPr>
                <w:b/>
                <w:sz w:val="18"/>
              </w:rPr>
              <w:t>Alta</w:t>
            </w:r>
          </w:p>
        </w:tc>
        <w:tc>
          <w:tcPr>
            <w:tcW w:w="1846" w:type="dxa"/>
            <w:tcBorders>
              <w:top w:val="single" w:sz="4" w:space="0" w:color="000000"/>
              <w:left w:val="single" w:sz="4" w:space="0" w:color="000000"/>
            </w:tcBorders>
          </w:tcPr>
          <w:p>
            <w:pPr>
              <w:pStyle w:val="TableParagraph"/>
              <w:spacing w:before="19"/>
              <w:ind w:left="94"/>
              <w:rPr>
                <w:sz w:val="18"/>
              </w:rPr>
            </w:pPr>
            <w:r>
              <w:rPr>
                <w:sz w:val="18"/>
              </w:rPr>
              <w:t>5</w:t>
            </w:r>
          </w:p>
        </w:tc>
        <w:tc>
          <w:tcPr>
            <w:tcW w:w="2118" w:type="dxa"/>
            <w:tcBorders>
              <w:top w:val="single" w:sz="4" w:space="0" w:color="000000"/>
            </w:tcBorders>
          </w:tcPr>
          <w:p>
            <w:pPr>
              <w:pStyle w:val="TableParagraph"/>
              <w:spacing w:before="19"/>
              <w:ind w:left="66"/>
              <w:rPr>
                <w:sz w:val="18"/>
              </w:rPr>
            </w:pPr>
            <w:r>
              <w:rPr>
                <w:sz w:val="18"/>
              </w:rPr>
              <w:t>5</w:t>
            </w:r>
          </w:p>
        </w:tc>
        <w:tc>
          <w:tcPr>
            <w:tcW w:w="1678" w:type="dxa"/>
            <w:tcBorders>
              <w:top w:val="single" w:sz="4" w:space="0" w:color="000000"/>
            </w:tcBorders>
          </w:tcPr>
          <w:p>
            <w:pPr>
              <w:pStyle w:val="TableParagraph"/>
              <w:spacing w:before="19"/>
              <w:ind w:right="19"/>
              <w:rPr>
                <w:sz w:val="18"/>
              </w:rPr>
            </w:pPr>
            <w:r>
              <w:rPr>
                <w:sz w:val="18"/>
              </w:rPr>
              <w:t>4</w:t>
            </w:r>
          </w:p>
        </w:tc>
      </w:tr>
      <w:tr>
        <w:trPr>
          <w:trHeight w:val="253" w:hRule="atLeast"/>
        </w:trPr>
        <w:tc>
          <w:tcPr>
            <w:tcW w:w="3378" w:type="dxa"/>
            <w:tcBorders>
              <w:right w:val="single" w:sz="4" w:space="0" w:color="000000"/>
            </w:tcBorders>
          </w:tcPr>
          <w:p>
            <w:pPr>
              <w:pStyle w:val="TableParagraph"/>
              <w:spacing w:before="17"/>
              <w:ind w:left="890" w:right="862"/>
              <w:rPr>
                <w:b/>
                <w:sz w:val="18"/>
              </w:rPr>
            </w:pPr>
            <w:r>
              <w:rPr>
                <w:b/>
                <w:sz w:val="18"/>
              </w:rPr>
              <w:t>Media</w:t>
            </w:r>
          </w:p>
        </w:tc>
        <w:tc>
          <w:tcPr>
            <w:tcW w:w="1846" w:type="dxa"/>
            <w:tcBorders>
              <w:left w:val="single" w:sz="4" w:space="0" w:color="000000"/>
            </w:tcBorders>
          </w:tcPr>
          <w:p>
            <w:pPr>
              <w:pStyle w:val="TableParagraph"/>
              <w:spacing w:before="19"/>
              <w:ind w:left="94"/>
              <w:rPr>
                <w:sz w:val="18"/>
              </w:rPr>
            </w:pPr>
            <w:r>
              <w:rPr>
                <w:sz w:val="18"/>
              </w:rPr>
              <w:t>3</w:t>
            </w:r>
          </w:p>
        </w:tc>
        <w:tc>
          <w:tcPr>
            <w:tcW w:w="2118" w:type="dxa"/>
          </w:tcPr>
          <w:p>
            <w:pPr>
              <w:pStyle w:val="TableParagraph"/>
              <w:spacing w:before="19"/>
              <w:ind w:left="66"/>
              <w:rPr>
                <w:sz w:val="18"/>
              </w:rPr>
            </w:pPr>
            <w:r>
              <w:rPr>
                <w:sz w:val="18"/>
              </w:rPr>
              <w:t>2</w:t>
            </w:r>
          </w:p>
        </w:tc>
        <w:tc>
          <w:tcPr>
            <w:tcW w:w="1678" w:type="dxa"/>
          </w:tcPr>
          <w:p>
            <w:pPr>
              <w:pStyle w:val="TableParagraph"/>
              <w:spacing w:before="19"/>
              <w:ind w:right="19"/>
              <w:rPr>
                <w:sz w:val="18"/>
              </w:rPr>
            </w:pPr>
            <w:r>
              <w:rPr>
                <w:sz w:val="18"/>
              </w:rPr>
              <w:t>2</w:t>
            </w:r>
          </w:p>
        </w:tc>
      </w:tr>
      <w:tr>
        <w:trPr>
          <w:trHeight w:val="261" w:hRule="atLeast"/>
        </w:trPr>
        <w:tc>
          <w:tcPr>
            <w:tcW w:w="3378" w:type="dxa"/>
            <w:tcBorders>
              <w:bottom w:val="single" w:sz="4" w:space="0" w:color="000000"/>
              <w:right w:val="single" w:sz="4" w:space="0" w:color="000000"/>
            </w:tcBorders>
          </w:tcPr>
          <w:p>
            <w:pPr>
              <w:pStyle w:val="TableParagraph"/>
              <w:spacing w:before="22"/>
              <w:ind w:left="890" w:right="862"/>
              <w:rPr>
                <w:b/>
                <w:sz w:val="18"/>
              </w:rPr>
            </w:pPr>
            <w:r>
              <w:rPr>
                <w:b/>
                <w:sz w:val="18"/>
              </w:rPr>
              <w:t>Baja</w:t>
            </w:r>
          </w:p>
        </w:tc>
        <w:tc>
          <w:tcPr>
            <w:tcW w:w="1846" w:type="dxa"/>
            <w:tcBorders>
              <w:left w:val="single" w:sz="4" w:space="0" w:color="000000"/>
              <w:bottom w:val="single" w:sz="4" w:space="0" w:color="000000"/>
            </w:tcBorders>
          </w:tcPr>
          <w:p>
            <w:pPr>
              <w:pStyle w:val="TableParagraph"/>
              <w:spacing w:before="23"/>
              <w:ind w:left="94"/>
              <w:rPr>
                <w:sz w:val="18"/>
              </w:rPr>
            </w:pPr>
            <w:r>
              <w:rPr>
                <w:sz w:val="18"/>
              </w:rPr>
              <w:t>1</w:t>
            </w:r>
          </w:p>
        </w:tc>
        <w:tc>
          <w:tcPr>
            <w:tcW w:w="2118" w:type="dxa"/>
            <w:tcBorders>
              <w:bottom w:val="single" w:sz="4" w:space="0" w:color="000000"/>
            </w:tcBorders>
          </w:tcPr>
          <w:p>
            <w:pPr>
              <w:pStyle w:val="TableParagraph"/>
              <w:spacing w:before="23"/>
              <w:ind w:left="66"/>
              <w:rPr>
                <w:sz w:val="18"/>
              </w:rPr>
            </w:pPr>
            <w:r>
              <w:rPr>
                <w:sz w:val="18"/>
              </w:rPr>
              <w:t>1</w:t>
            </w:r>
          </w:p>
        </w:tc>
        <w:tc>
          <w:tcPr>
            <w:tcW w:w="1678" w:type="dxa"/>
            <w:tcBorders>
              <w:bottom w:val="single" w:sz="4" w:space="0" w:color="000000"/>
            </w:tcBorders>
          </w:tcPr>
          <w:p>
            <w:pPr>
              <w:pStyle w:val="TableParagraph"/>
              <w:spacing w:before="23"/>
              <w:ind w:right="19"/>
              <w:rPr>
                <w:sz w:val="18"/>
              </w:rPr>
            </w:pPr>
            <w:r>
              <w:rPr>
                <w:sz w:val="18"/>
              </w:rPr>
              <w:t>1</w:t>
            </w:r>
          </w:p>
        </w:tc>
      </w:tr>
    </w:tbl>
    <w:p>
      <w:pPr>
        <w:pStyle w:val="BodyText"/>
        <w:spacing w:before="3"/>
        <w:rPr>
          <w:b/>
          <w:sz w:val="17"/>
        </w:rPr>
      </w:pPr>
    </w:p>
    <w:p>
      <w:pPr>
        <w:pStyle w:val="ListParagraph"/>
        <w:numPr>
          <w:ilvl w:val="2"/>
          <w:numId w:val="14"/>
        </w:numPr>
        <w:tabs>
          <w:tab w:pos="786" w:val="left" w:leader="none"/>
        </w:tabs>
        <w:spacing w:line="240" w:lineRule="auto" w:before="0" w:after="0"/>
        <w:ind w:left="785" w:right="0" w:hanging="568"/>
        <w:jc w:val="left"/>
        <w:rPr>
          <w:b/>
          <w:i/>
          <w:sz w:val="20"/>
        </w:rPr>
      </w:pPr>
      <w:r>
        <w:rPr>
          <w:b/>
          <w:sz w:val="20"/>
        </w:rPr>
        <w:t>Condiciones de las </w:t>
      </w:r>
      <w:r>
        <w:rPr>
          <w:b/>
          <w:i/>
          <w:sz w:val="20"/>
        </w:rPr>
        <w:t>soluciones</w:t>
      </w:r>
      <w:r>
        <w:rPr>
          <w:b/>
          <w:i/>
          <w:spacing w:val="-4"/>
          <w:sz w:val="20"/>
        </w:rPr>
        <w:t> </w:t>
      </w:r>
      <w:r>
        <w:rPr>
          <w:b/>
          <w:i/>
          <w:sz w:val="20"/>
        </w:rPr>
        <w:t>constructivas</w:t>
      </w:r>
    </w:p>
    <w:p>
      <w:pPr>
        <w:pStyle w:val="ListParagraph"/>
        <w:numPr>
          <w:ilvl w:val="0"/>
          <w:numId w:val="16"/>
        </w:numPr>
        <w:tabs>
          <w:tab w:pos="672" w:val="left" w:leader="none"/>
        </w:tabs>
        <w:spacing w:line="240" w:lineRule="auto" w:before="158" w:after="0"/>
        <w:ind w:left="671" w:right="391" w:hanging="454"/>
        <w:jc w:val="both"/>
        <w:rPr>
          <w:sz w:val="20"/>
        </w:rPr>
      </w:pPr>
      <w:r>
        <w:rPr>
          <w:sz w:val="20"/>
        </w:rPr>
        <w:t>Las condiciones exigidas a cada </w:t>
      </w:r>
      <w:r>
        <w:rPr>
          <w:i/>
          <w:sz w:val="20"/>
        </w:rPr>
        <w:t>solución constructiva</w:t>
      </w:r>
      <w:r>
        <w:rPr>
          <w:sz w:val="20"/>
        </w:rPr>
        <w:t>, en función del tipo de muro, del tipo de </w:t>
      </w:r>
      <w:r>
        <w:rPr>
          <w:i/>
          <w:sz w:val="20"/>
        </w:rPr>
        <w:t>impermeabilización </w:t>
      </w:r>
      <w:r>
        <w:rPr>
          <w:sz w:val="20"/>
        </w:rPr>
        <w:t>y del </w:t>
      </w:r>
      <w:r>
        <w:rPr>
          <w:i/>
          <w:sz w:val="20"/>
        </w:rPr>
        <w:t>grado de impermeabilidad, </w:t>
      </w:r>
      <w:r>
        <w:rPr>
          <w:sz w:val="20"/>
        </w:rPr>
        <w:t>se obtienen en la tabla 2.2. Las casillas sombreadas se refieren a soluciones que no se consideran aceptables y la casilla en blanco a una solución a la que no se le exige ninguna condición para los </w:t>
      </w:r>
      <w:r>
        <w:rPr>
          <w:i/>
          <w:sz w:val="20"/>
        </w:rPr>
        <w:t>grados de impermeabilidad </w:t>
      </w:r>
      <w:r>
        <w:rPr>
          <w:sz w:val="20"/>
        </w:rPr>
        <w:t>correspondientes.</w:t>
      </w:r>
    </w:p>
    <w:p>
      <w:pPr>
        <w:spacing w:before="60" w:after="4"/>
        <w:ind w:left="655" w:right="827" w:firstLine="0"/>
        <w:jc w:val="center"/>
        <w:rPr>
          <w:b/>
          <w:sz w:val="18"/>
        </w:rPr>
      </w:pPr>
      <w:r>
        <w:rPr>
          <w:b/>
          <w:sz w:val="18"/>
        </w:rPr>
        <w:t>Tabla 2.2 Condiciones de las soluciones de muro</w:t>
      </w:r>
    </w:p>
    <w:tbl>
      <w:tblPr>
        <w:tblW w:w="0" w:type="auto"/>
        <w:jc w:val="left"/>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
        <w:gridCol w:w="499"/>
        <w:gridCol w:w="955"/>
        <w:gridCol w:w="935"/>
        <w:gridCol w:w="977"/>
        <w:gridCol w:w="956"/>
        <w:gridCol w:w="935"/>
        <w:gridCol w:w="977"/>
        <w:gridCol w:w="951"/>
        <w:gridCol w:w="956"/>
        <w:gridCol w:w="963"/>
      </w:tblGrid>
      <w:tr>
        <w:trPr>
          <w:trHeight w:val="352" w:hRule="atLeast"/>
        </w:trPr>
        <w:tc>
          <w:tcPr>
            <w:tcW w:w="735" w:type="dxa"/>
            <w:gridSpan w:val="2"/>
            <w:vMerge w:val="restart"/>
            <w:tcBorders>
              <w:top w:val="nil"/>
              <w:left w:val="nil"/>
            </w:tcBorders>
          </w:tcPr>
          <w:p>
            <w:pPr>
              <w:pStyle w:val="TableParagraph"/>
              <w:jc w:val="left"/>
              <w:rPr>
                <w:rFonts w:ascii="Times New Roman"/>
                <w:sz w:val="16"/>
              </w:rPr>
            </w:pPr>
          </w:p>
        </w:tc>
        <w:tc>
          <w:tcPr>
            <w:tcW w:w="2867" w:type="dxa"/>
            <w:gridSpan w:val="3"/>
          </w:tcPr>
          <w:p>
            <w:pPr>
              <w:pStyle w:val="TableParagraph"/>
              <w:spacing w:before="71"/>
              <w:ind w:left="658"/>
              <w:jc w:val="left"/>
              <w:rPr>
                <w:b/>
                <w:i/>
                <w:sz w:val="18"/>
              </w:rPr>
            </w:pPr>
            <w:r>
              <w:rPr>
                <w:b/>
                <w:i/>
                <w:sz w:val="18"/>
              </w:rPr>
              <w:t>Muro de gravedad</w:t>
            </w:r>
          </w:p>
        </w:tc>
        <w:tc>
          <w:tcPr>
            <w:tcW w:w="2868" w:type="dxa"/>
            <w:gridSpan w:val="3"/>
          </w:tcPr>
          <w:p>
            <w:pPr>
              <w:pStyle w:val="TableParagraph"/>
              <w:spacing w:before="71"/>
              <w:ind w:left="522"/>
              <w:jc w:val="left"/>
              <w:rPr>
                <w:b/>
                <w:i/>
                <w:sz w:val="18"/>
              </w:rPr>
            </w:pPr>
            <w:r>
              <w:rPr>
                <w:b/>
                <w:i/>
                <w:sz w:val="18"/>
              </w:rPr>
              <w:t>Muro flexorresistente</w:t>
            </w:r>
          </w:p>
        </w:tc>
        <w:tc>
          <w:tcPr>
            <w:tcW w:w="2870" w:type="dxa"/>
            <w:gridSpan w:val="3"/>
            <w:tcBorders>
              <w:right w:val="nil"/>
            </w:tcBorders>
          </w:tcPr>
          <w:p>
            <w:pPr>
              <w:pStyle w:val="TableParagraph"/>
              <w:spacing w:before="71"/>
              <w:ind w:left="854"/>
              <w:jc w:val="left"/>
              <w:rPr>
                <w:b/>
                <w:i/>
                <w:sz w:val="18"/>
              </w:rPr>
            </w:pPr>
            <w:r>
              <w:rPr>
                <w:b/>
                <w:i/>
                <w:sz w:val="18"/>
              </w:rPr>
              <w:t>Muro pantalla</w:t>
            </w:r>
          </w:p>
        </w:tc>
      </w:tr>
      <w:tr>
        <w:trPr>
          <w:trHeight w:val="567" w:hRule="atLeast"/>
        </w:trPr>
        <w:tc>
          <w:tcPr>
            <w:tcW w:w="735" w:type="dxa"/>
            <w:gridSpan w:val="2"/>
            <w:vMerge/>
            <w:tcBorders>
              <w:top w:val="nil"/>
              <w:left w:val="nil"/>
            </w:tcBorders>
          </w:tcPr>
          <w:p>
            <w:pPr>
              <w:rPr>
                <w:sz w:val="2"/>
                <w:szCs w:val="2"/>
              </w:rPr>
            </w:pPr>
          </w:p>
        </w:tc>
        <w:tc>
          <w:tcPr>
            <w:tcW w:w="955" w:type="dxa"/>
            <w:tcBorders>
              <w:right w:val="nil"/>
            </w:tcBorders>
          </w:tcPr>
          <w:p>
            <w:pPr>
              <w:pStyle w:val="TableParagraph"/>
              <w:spacing w:before="97"/>
              <w:ind w:left="107" w:right="271"/>
              <w:jc w:val="left"/>
              <w:rPr>
                <w:b/>
                <w:sz w:val="16"/>
              </w:rPr>
            </w:pPr>
            <w:r>
              <w:rPr>
                <w:b/>
                <w:sz w:val="16"/>
              </w:rPr>
              <w:t>Imp. interior</w:t>
            </w:r>
          </w:p>
        </w:tc>
        <w:tc>
          <w:tcPr>
            <w:tcW w:w="935" w:type="dxa"/>
            <w:tcBorders>
              <w:left w:val="nil"/>
              <w:right w:val="nil"/>
            </w:tcBorders>
          </w:tcPr>
          <w:p>
            <w:pPr>
              <w:pStyle w:val="TableParagraph"/>
              <w:spacing w:before="97"/>
              <w:ind w:left="113" w:right="215"/>
              <w:jc w:val="left"/>
              <w:rPr>
                <w:b/>
                <w:sz w:val="16"/>
              </w:rPr>
            </w:pPr>
            <w:r>
              <w:rPr>
                <w:b/>
                <w:sz w:val="16"/>
              </w:rPr>
              <w:t>Imp. exterior</w:t>
            </w:r>
          </w:p>
        </w:tc>
        <w:tc>
          <w:tcPr>
            <w:tcW w:w="977" w:type="dxa"/>
            <w:tcBorders>
              <w:left w:val="nil"/>
            </w:tcBorders>
          </w:tcPr>
          <w:p>
            <w:pPr>
              <w:pStyle w:val="TableParagraph"/>
              <w:spacing w:before="4"/>
              <w:ind w:left="133"/>
              <w:jc w:val="left"/>
              <w:rPr>
                <w:b/>
                <w:i/>
                <w:sz w:val="16"/>
              </w:rPr>
            </w:pPr>
            <w:r>
              <w:rPr>
                <w:b/>
                <w:i/>
                <w:sz w:val="16"/>
              </w:rPr>
              <w:t>Parcialm</w:t>
            </w:r>
          </w:p>
          <w:p>
            <w:pPr>
              <w:pStyle w:val="TableParagraph"/>
              <w:spacing w:line="184" w:lineRule="exact" w:before="4"/>
              <w:ind w:left="133"/>
              <w:jc w:val="left"/>
              <w:rPr>
                <w:b/>
                <w:i/>
                <w:sz w:val="16"/>
              </w:rPr>
            </w:pPr>
            <w:r>
              <w:rPr>
                <w:b/>
                <w:i/>
                <w:sz w:val="16"/>
              </w:rPr>
              <w:t>ente </w:t>
            </w:r>
            <w:r>
              <w:rPr>
                <w:b/>
                <w:i/>
                <w:w w:val="95"/>
                <w:sz w:val="16"/>
              </w:rPr>
              <w:t>estanco</w:t>
            </w:r>
          </w:p>
        </w:tc>
        <w:tc>
          <w:tcPr>
            <w:tcW w:w="956" w:type="dxa"/>
            <w:tcBorders>
              <w:right w:val="nil"/>
            </w:tcBorders>
          </w:tcPr>
          <w:p>
            <w:pPr>
              <w:pStyle w:val="TableParagraph"/>
              <w:spacing w:before="97"/>
              <w:ind w:left="109" w:right="270"/>
              <w:jc w:val="left"/>
              <w:rPr>
                <w:b/>
                <w:sz w:val="16"/>
              </w:rPr>
            </w:pPr>
            <w:r>
              <w:rPr>
                <w:b/>
                <w:sz w:val="16"/>
              </w:rPr>
              <w:t>Imp. interior</w:t>
            </w:r>
          </w:p>
        </w:tc>
        <w:tc>
          <w:tcPr>
            <w:tcW w:w="935" w:type="dxa"/>
            <w:tcBorders>
              <w:left w:val="nil"/>
              <w:right w:val="nil"/>
            </w:tcBorders>
          </w:tcPr>
          <w:p>
            <w:pPr>
              <w:pStyle w:val="TableParagraph"/>
              <w:spacing w:before="97"/>
              <w:ind w:left="114" w:right="214"/>
              <w:jc w:val="left"/>
              <w:rPr>
                <w:b/>
                <w:sz w:val="16"/>
              </w:rPr>
            </w:pPr>
            <w:r>
              <w:rPr>
                <w:b/>
                <w:sz w:val="16"/>
              </w:rPr>
              <w:t>Imp. exterior</w:t>
            </w:r>
          </w:p>
        </w:tc>
        <w:tc>
          <w:tcPr>
            <w:tcW w:w="977" w:type="dxa"/>
            <w:tcBorders>
              <w:left w:val="nil"/>
            </w:tcBorders>
          </w:tcPr>
          <w:p>
            <w:pPr>
              <w:pStyle w:val="TableParagraph"/>
              <w:spacing w:before="4"/>
              <w:ind w:left="135"/>
              <w:jc w:val="left"/>
              <w:rPr>
                <w:b/>
                <w:i/>
                <w:sz w:val="16"/>
              </w:rPr>
            </w:pPr>
            <w:r>
              <w:rPr>
                <w:b/>
                <w:i/>
                <w:sz w:val="16"/>
              </w:rPr>
              <w:t>Parcialm</w:t>
            </w:r>
          </w:p>
          <w:p>
            <w:pPr>
              <w:pStyle w:val="TableParagraph"/>
              <w:spacing w:line="184" w:lineRule="exact" w:before="4"/>
              <w:ind w:left="135"/>
              <w:jc w:val="left"/>
              <w:rPr>
                <w:b/>
                <w:i/>
                <w:sz w:val="16"/>
              </w:rPr>
            </w:pPr>
            <w:r>
              <w:rPr>
                <w:b/>
                <w:i/>
                <w:sz w:val="16"/>
              </w:rPr>
              <w:t>ente </w:t>
            </w:r>
            <w:r>
              <w:rPr>
                <w:b/>
                <w:i/>
                <w:w w:val="95"/>
                <w:sz w:val="16"/>
              </w:rPr>
              <w:t>estanco</w:t>
            </w:r>
          </w:p>
        </w:tc>
        <w:tc>
          <w:tcPr>
            <w:tcW w:w="951" w:type="dxa"/>
            <w:tcBorders>
              <w:right w:val="nil"/>
            </w:tcBorders>
          </w:tcPr>
          <w:p>
            <w:pPr>
              <w:pStyle w:val="TableParagraph"/>
              <w:spacing w:before="97"/>
              <w:ind w:left="110" w:right="264"/>
              <w:jc w:val="left"/>
              <w:rPr>
                <w:b/>
                <w:sz w:val="16"/>
              </w:rPr>
            </w:pPr>
            <w:r>
              <w:rPr>
                <w:b/>
                <w:sz w:val="16"/>
              </w:rPr>
              <w:t>Imp. interior</w:t>
            </w:r>
          </w:p>
        </w:tc>
        <w:tc>
          <w:tcPr>
            <w:tcW w:w="956" w:type="dxa"/>
            <w:tcBorders>
              <w:left w:val="nil"/>
              <w:right w:val="nil"/>
            </w:tcBorders>
          </w:tcPr>
          <w:p>
            <w:pPr>
              <w:pStyle w:val="TableParagraph"/>
              <w:spacing w:before="97"/>
              <w:ind w:left="121" w:right="228"/>
              <w:jc w:val="left"/>
              <w:rPr>
                <w:b/>
                <w:sz w:val="16"/>
              </w:rPr>
            </w:pPr>
            <w:r>
              <w:rPr>
                <w:b/>
                <w:sz w:val="16"/>
              </w:rPr>
              <w:t>Imp. exterior</w:t>
            </w:r>
          </w:p>
        </w:tc>
        <w:tc>
          <w:tcPr>
            <w:tcW w:w="963" w:type="dxa"/>
            <w:tcBorders>
              <w:left w:val="nil"/>
              <w:right w:val="nil"/>
            </w:tcBorders>
          </w:tcPr>
          <w:p>
            <w:pPr>
              <w:pStyle w:val="TableParagraph"/>
              <w:spacing w:before="4"/>
              <w:ind w:left="120"/>
              <w:jc w:val="left"/>
              <w:rPr>
                <w:b/>
                <w:i/>
                <w:sz w:val="16"/>
              </w:rPr>
            </w:pPr>
            <w:r>
              <w:rPr>
                <w:b/>
                <w:i/>
                <w:sz w:val="16"/>
              </w:rPr>
              <w:t>Parcialm</w:t>
            </w:r>
          </w:p>
          <w:p>
            <w:pPr>
              <w:pStyle w:val="TableParagraph"/>
              <w:spacing w:line="184" w:lineRule="exact" w:before="4"/>
              <w:ind w:left="120"/>
              <w:jc w:val="left"/>
              <w:rPr>
                <w:b/>
                <w:i/>
                <w:sz w:val="16"/>
              </w:rPr>
            </w:pPr>
            <w:r>
              <w:rPr>
                <w:b/>
                <w:i/>
                <w:sz w:val="16"/>
              </w:rPr>
              <w:t>ente </w:t>
            </w:r>
            <w:r>
              <w:rPr>
                <w:b/>
                <w:i/>
                <w:w w:val="95"/>
                <w:sz w:val="16"/>
              </w:rPr>
              <w:t>estanco</w:t>
            </w:r>
          </w:p>
        </w:tc>
      </w:tr>
      <w:tr>
        <w:trPr>
          <w:trHeight w:val="567" w:hRule="atLeast"/>
        </w:trPr>
        <w:tc>
          <w:tcPr>
            <w:tcW w:w="236" w:type="dxa"/>
            <w:vMerge w:val="restart"/>
            <w:tcBorders>
              <w:left w:val="nil"/>
            </w:tcBorders>
            <w:textDirection w:val="btLr"/>
          </w:tcPr>
          <w:p>
            <w:pPr>
              <w:pStyle w:val="TableParagraph"/>
              <w:spacing w:line="142" w:lineRule="exact" w:before="68"/>
              <w:ind w:left="302"/>
              <w:jc w:val="left"/>
              <w:rPr>
                <w:b/>
                <w:i/>
                <w:sz w:val="18"/>
              </w:rPr>
            </w:pPr>
            <w:r>
              <w:rPr>
                <w:b/>
                <w:i/>
                <w:sz w:val="18"/>
              </w:rPr>
              <w:t>Grado de impermeabilidad</w:t>
            </w:r>
          </w:p>
        </w:tc>
        <w:tc>
          <w:tcPr>
            <w:tcW w:w="499" w:type="dxa"/>
          </w:tcPr>
          <w:p>
            <w:pPr>
              <w:pStyle w:val="TableParagraph"/>
              <w:spacing w:before="176"/>
              <w:ind w:left="107"/>
              <w:jc w:val="left"/>
              <w:rPr>
                <w:b/>
                <w:sz w:val="18"/>
              </w:rPr>
            </w:pPr>
            <w:r>
              <w:rPr>
                <w:b/>
                <w:sz w:val="18"/>
              </w:rPr>
              <w:t>≤1</w:t>
            </w:r>
          </w:p>
        </w:tc>
        <w:tc>
          <w:tcPr>
            <w:tcW w:w="955" w:type="dxa"/>
            <w:tcBorders>
              <w:right w:val="nil"/>
            </w:tcBorders>
          </w:tcPr>
          <w:p>
            <w:pPr>
              <w:pStyle w:val="TableParagraph"/>
              <w:spacing w:before="5"/>
              <w:jc w:val="left"/>
              <w:rPr>
                <w:b/>
                <w:sz w:val="17"/>
              </w:rPr>
            </w:pPr>
          </w:p>
          <w:p>
            <w:pPr>
              <w:pStyle w:val="TableParagraph"/>
              <w:ind w:left="157"/>
              <w:jc w:val="left"/>
              <w:rPr>
                <w:sz w:val="14"/>
              </w:rPr>
            </w:pPr>
            <w:r>
              <w:rPr>
                <w:sz w:val="14"/>
              </w:rPr>
              <w:t>I2+D1+D5</w:t>
            </w:r>
          </w:p>
        </w:tc>
        <w:tc>
          <w:tcPr>
            <w:tcW w:w="935" w:type="dxa"/>
            <w:tcBorders>
              <w:left w:val="nil"/>
              <w:right w:val="nil"/>
            </w:tcBorders>
          </w:tcPr>
          <w:p>
            <w:pPr>
              <w:pStyle w:val="TableParagraph"/>
              <w:spacing w:before="120"/>
              <w:ind w:left="394" w:right="103" w:hanging="240"/>
              <w:jc w:val="left"/>
              <w:rPr>
                <w:sz w:val="14"/>
              </w:rPr>
            </w:pPr>
            <w:r>
              <w:rPr>
                <w:sz w:val="14"/>
              </w:rPr>
              <w:t>I2+I3+D1+ D5</w:t>
            </w:r>
          </w:p>
        </w:tc>
        <w:tc>
          <w:tcPr>
            <w:tcW w:w="977" w:type="dxa"/>
            <w:tcBorders>
              <w:left w:val="nil"/>
            </w:tcBorders>
          </w:tcPr>
          <w:p>
            <w:pPr>
              <w:pStyle w:val="TableParagraph"/>
              <w:spacing w:before="5"/>
              <w:jc w:val="left"/>
              <w:rPr>
                <w:b/>
                <w:sz w:val="17"/>
              </w:rPr>
            </w:pPr>
          </w:p>
          <w:p>
            <w:pPr>
              <w:pStyle w:val="TableParagraph"/>
              <w:ind w:left="192" w:right="156"/>
              <w:rPr>
                <w:sz w:val="14"/>
              </w:rPr>
            </w:pPr>
            <w:r>
              <w:rPr>
                <w:sz w:val="14"/>
              </w:rPr>
              <w:t>V1</w:t>
            </w:r>
          </w:p>
        </w:tc>
        <w:tc>
          <w:tcPr>
            <w:tcW w:w="956" w:type="dxa"/>
            <w:tcBorders>
              <w:right w:val="nil"/>
            </w:tcBorders>
          </w:tcPr>
          <w:p>
            <w:pPr>
              <w:pStyle w:val="TableParagraph"/>
              <w:spacing w:before="120"/>
              <w:ind w:left="390" w:right="93" w:hanging="272"/>
              <w:jc w:val="left"/>
              <w:rPr>
                <w:sz w:val="14"/>
              </w:rPr>
            </w:pPr>
            <w:r>
              <w:rPr>
                <w:sz w:val="14"/>
              </w:rPr>
              <w:t>C1+I2+D1+ D5</w:t>
            </w:r>
          </w:p>
        </w:tc>
        <w:tc>
          <w:tcPr>
            <w:tcW w:w="935" w:type="dxa"/>
            <w:tcBorders>
              <w:left w:val="nil"/>
              <w:right w:val="nil"/>
            </w:tcBorders>
          </w:tcPr>
          <w:p>
            <w:pPr>
              <w:pStyle w:val="TableParagraph"/>
              <w:spacing w:before="120"/>
              <w:ind w:left="395" w:right="102" w:hanging="240"/>
              <w:jc w:val="left"/>
              <w:rPr>
                <w:sz w:val="14"/>
              </w:rPr>
            </w:pPr>
            <w:r>
              <w:rPr>
                <w:sz w:val="14"/>
              </w:rPr>
              <w:t>I2+I3+D1+ D5</w:t>
            </w:r>
          </w:p>
        </w:tc>
        <w:tc>
          <w:tcPr>
            <w:tcW w:w="977" w:type="dxa"/>
            <w:tcBorders>
              <w:left w:val="nil"/>
            </w:tcBorders>
          </w:tcPr>
          <w:p>
            <w:pPr>
              <w:pStyle w:val="TableParagraph"/>
              <w:spacing w:before="5"/>
              <w:jc w:val="left"/>
              <w:rPr>
                <w:b/>
                <w:sz w:val="17"/>
              </w:rPr>
            </w:pPr>
          </w:p>
          <w:p>
            <w:pPr>
              <w:pStyle w:val="TableParagraph"/>
              <w:ind w:left="192" w:right="154"/>
              <w:rPr>
                <w:sz w:val="14"/>
              </w:rPr>
            </w:pPr>
            <w:r>
              <w:rPr>
                <w:sz w:val="14"/>
              </w:rPr>
              <w:t>V1</w:t>
            </w:r>
          </w:p>
        </w:tc>
        <w:tc>
          <w:tcPr>
            <w:tcW w:w="951" w:type="dxa"/>
            <w:tcBorders>
              <w:right w:val="nil"/>
            </w:tcBorders>
          </w:tcPr>
          <w:p>
            <w:pPr>
              <w:pStyle w:val="TableParagraph"/>
              <w:spacing w:before="120"/>
              <w:ind w:left="391" w:right="87" w:hanging="272"/>
              <w:jc w:val="left"/>
              <w:rPr>
                <w:sz w:val="14"/>
              </w:rPr>
            </w:pPr>
            <w:r>
              <w:rPr>
                <w:sz w:val="14"/>
              </w:rPr>
              <w:t>C2+I2+D1+ D5</w:t>
            </w:r>
          </w:p>
        </w:tc>
        <w:tc>
          <w:tcPr>
            <w:tcW w:w="956" w:type="dxa"/>
            <w:tcBorders>
              <w:left w:val="nil"/>
              <w:right w:val="nil"/>
            </w:tcBorders>
          </w:tcPr>
          <w:p>
            <w:pPr>
              <w:pStyle w:val="TableParagraph"/>
              <w:spacing w:before="120"/>
              <w:ind w:left="401" w:right="87" w:hanging="272"/>
              <w:jc w:val="left"/>
              <w:rPr>
                <w:sz w:val="14"/>
              </w:rPr>
            </w:pPr>
            <w:r>
              <w:rPr>
                <w:sz w:val="14"/>
              </w:rPr>
              <w:t>C2+I2+D1+ D5</w:t>
            </w:r>
          </w:p>
        </w:tc>
        <w:tc>
          <w:tcPr>
            <w:tcW w:w="963" w:type="dxa"/>
            <w:tcBorders>
              <w:left w:val="nil"/>
              <w:right w:val="nil"/>
            </w:tcBorders>
          </w:tcPr>
          <w:p>
            <w:pPr>
              <w:pStyle w:val="TableParagraph"/>
              <w:jc w:val="left"/>
              <w:rPr>
                <w:rFonts w:ascii="Times New Roman"/>
                <w:sz w:val="16"/>
              </w:rPr>
            </w:pPr>
          </w:p>
        </w:tc>
      </w:tr>
      <w:tr>
        <w:trPr>
          <w:trHeight w:val="565" w:hRule="atLeast"/>
        </w:trPr>
        <w:tc>
          <w:tcPr>
            <w:tcW w:w="236" w:type="dxa"/>
            <w:vMerge/>
            <w:tcBorders>
              <w:top w:val="nil"/>
              <w:left w:val="nil"/>
            </w:tcBorders>
            <w:textDirection w:val="btLr"/>
          </w:tcPr>
          <w:p>
            <w:pPr>
              <w:rPr>
                <w:sz w:val="2"/>
                <w:szCs w:val="2"/>
              </w:rPr>
            </w:pPr>
          </w:p>
        </w:tc>
        <w:tc>
          <w:tcPr>
            <w:tcW w:w="499" w:type="dxa"/>
          </w:tcPr>
          <w:p>
            <w:pPr>
              <w:pStyle w:val="TableParagraph"/>
              <w:spacing w:before="176"/>
              <w:ind w:left="107"/>
              <w:jc w:val="left"/>
              <w:rPr>
                <w:b/>
                <w:sz w:val="18"/>
              </w:rPr>
            </w:pPr>
            <w:r>
              <w:rPr>
                <w:b/>
                <w:sz w:val="18"/>
              </w:rPr>
              <w:t>≤2</w:t>
            </w:r>
          </w:p>
        </w:tc>
        <w:tc>
          <w:tcPr>
            <w:tcW w:w="955" w:type="dxa"/>
            <w:tcBorders>
              <w:right w:val="nil"/>
            </w:tcBorders>
          </w:tcPr>
          <w:p>
            <w:pPr>
              <w:pStyle w:val="TableParagraph"/>
              <w:spacing w:line="232" w:lineRule="auto" w:before="112"/>
              <w:ind w:left="303" w:right="95" w:hanging="188"/>
              <w:jc w:val="left"/>
              <w:rPr>
                <w:sz w:val="10"/>
              </w:rPr>
            </w:pPr>
            <w:r>
              <w:rPr>
                <w:sz w:val="14"/>
              </w:rPr>
              <w:t>C3+I1+D1+ </w:t>
            </w:r>
            <w:r>
              <w:rPr>
                <w:position w:val="-5"/>
                <w:sz w:val="14"/>
              </w:rPr>
              <w:t>D3 </w:t>
            </w:r>
            <w:r>
              <w:rPr>
                <w:sz w:val="10"/>
              </w:rPr>
              <w:t>(3)</w:t>
            </w:r>
          </w:p>
        </w:tc>
        <w:tc>
          <w:tcPr>
            <w:tcW w:w="935" w:type="dxa"/>
            <w:tcBorders>
              <w:left w:val="nil"/>
              <w:right w:val="nil"/>
            </w:tcBorders>
          </w:tcPr>
          <w:p>
            <w:pPr>
              <w:pStyle w:val="TableParagraph"/>
              <w:spacing w:before="120"/>
              <w:ind w:left="394" w:right="103" w:hanging="240"/>
              <w:jc w:val="left"/>
              <w:rPr>
                <w:sz w:val="14"/>
              </w:rPr>
            </w:pPr>
            <w:r>
              <w:rPr>
                <w:sz w:val="14"/>
              </w:rPr>
              <w:t>I1+I3+D1+ D3</w:t>
            </w:r>
          </w:p>
        </w:tc>
        <w:tc>
          <w:tcPr>
            <w:tcW w:w="977" w:type="dxa"/>
            <w:tcBorders>
              <w:left w:val="nil"/>
            </w:tcBorders>
          </w:tcPr>
          <w:p>
            <w:pPr>
              <w:pStyle w:val="TableParagraph"/>
              <w:spacing w:before="5"/>
              <w:jc w:val="left"/>
              <w:rPr>
                <w:b/>
                <w:sz w:val="17"/>
              </w:rPr>
            </w:pPr>
          </w:p>
          <w:p>
            <w:pPr>
              <w:pStyle w:val="TableParagraph"/>
              <w:ind w:left="192" w:right="155"/>
              <w:rPr>
                <w:sz w:val="14"/>
              </w:rPr>
            </w:pPr>
            <w:r>
              <w:rPr>
                <w:sz w:val="14"/>
              </w:rPr>
              <w:t>D4+V1</w:t>
            </w:r>
          </w:p>
        </w:tc>
        <w:tc>
          <w:tcPr>
            <w:tcW w:w="956" w:type="dxa"/>
            <w:tcBorders>
              <w:right w:val="nil"/>
            </w:tcBorders>
          </w:tcPr>
          <w:p>
            <w:pPr>
              <w:pStyle w:val="TableParagraph"/>
              <w:spacing w:before="120"/>
              <w:ind w:left="259" w:right="93" w:hanging="141"/>
              <w:jc w:val="left"/>
              <w:rPr>
                <w:sz w:val="14"/>
              </w:rPr>
            </w:pPr>
            <w:r>
              <w:rPr>
                <w:sz w:val="14"/>
              </w:rPr>
              <w:t>C1+C3+I1+ D1+D3</w:t>
            </w:r>
          </w:p>
        </w:tc>
        <w:tc>
          <w:tcPr>
            <w:tcW w:w="935" w:type="dxa"/>
            <w:tcBorders>
              <w:left w:val="nil"/>
              <w:right w:val="nil"/>
            </w:tcBorders>
          </w:tcPr>
          <w:p>
            <w:pPr>
              <w:pStyle w:val="TableParagraph"/>
              <w:spacing w:before="120"/>
              <w:ind w:left="395" w:right="102" w:hanging="240"/>
              <w:jc w:val="left"/>
              <w:rPr>
                <w:sz w:val="14"/>
              </w:rPr>
            </w:pPr>
            <w:r>
              <w:rPr>
                <w:sz w:val="14"/>
              </w:rPr>
              <w:t>I1+I3+D1+ D3</w:t>
            </w:r>
          </w:p>
        </w:tc>
        <w:tc>
          <w:tcPr>
            <w:tcW w:w="977" w:type="dxa"/>
            <w:tcBorders>
              <w:left w:val="nil"/>
            </w:tcBorders>
          </w:tcPr>
          <w:p>
            <w:pPr>
              <w:pStyle w:val="TableParagraph"/>
              <w:spacing w:before="5"/>
              <w:jc w:val="left"/>
              <w:rPr>
                <w:b/>
                <w:sz w:val="17"/>
              </w:rPr>
            </w:pPr>
          </w:p>
          <w:p>
            <w:pPr>
              <w:pStyle w:val="TableParagraph"/>
              <w:ind w:left="192" w:right="153"/>
              <w:rPr>
                <w:sz w:val="14"/>
              </w:rPr>
            </w:pPr>
            <w:r>
              <w:rPr>
                <w:sz w:val="14"/>
              </w:rPr>
              <w:t>D4+V1</w:t>
            </w:r>
          </w:p>
        </w:tc>
        <w:tc>
          <w:tcPr>
            <w:tcW w:w="951" w:type="dxa"/>
            <w:tcBorders>
              <w:right w:val="nil"/>
            </w:tcBorders>
          </w:tcPr>
          <w:p>
            <w:pPr>
              <w:pStyle w:val="TableParagraph"/>
              <w:spacing w:before="5"/>
              <w:jc w:val="left"/>
              <w:rPr>
                <w:b/>
                <w:sz w:val="17"/>
              </w:rPr>
            </w:pPr>
          </w:p>
          <w:p>
            <w:pPr>
              <w:pStyle w:val="TableParagraph"/>
              <w:ind w:left="140" w:right="126"/>
              <w:rPr>
                <w:sz w:val="14"/>
              </w:rPr>
            </w:pPr>
            <w:r>
              <w:rPr>
                <w:sz w:val="14"/>
              </w:rPr>
              <w:t>C1+C2+I1</w:t>
            </w:r>
          </w:p>
        </w:tc>
        <w:tc>
          <w:tcPr>
            <w:tcW w:w="956" w:type="dxa"/>
            <w:tcBorders>
              <w:left w:val="nil"/>
              <w:right w:val="nil"/>
            </w:tcBorders>
          </w:tcPr>
          <w:p>
            <w:pPr>
              <w:pStyle w:val="TableParagraph"/>
              <w:spacing w:before="5"/>
              <w:jc w:val="left"/>
              <w:rPr>
                <w:b/>
                <w:sz w:val="17"/>
              </w:rPr>
            </w:pPr>
          </w:p>
          <w:p>
            <w:pPr>
              <w:pStyle w:val="TableParagraph"/>
              <w:ind w:left="302"/>
              <w:jc w:val="left"/>
              <w:rPr>
                <w:sz w:val="14"/>
              </w:rPr>
            </w:pPr>
            <w:r>
              <w:rPr>
                <w:sz w:val="14"/>
              </w:rPr>
              <w:t>C2+I1</w:t>
            </w:r>
          </w:p>
        </w:tc>
        <w:tc>
          <w:tcPr>
            <w:tcW w:w="963" w:type="dxa"/>
            <w:tcBorders>
              <w:left w:val="nil"/>
              <w:right w:val="nil"/>
            </w:tcBorders>
          </w:tcPr>
          <w:p>
            <w:pPr>
              <w:pStyle w:val="TableParagraph"/>
              <w:spacing w:before="5"/>
              <w:jc w:val="left"/>
              <w:rPr>
                <w:b/>
                <w:sz w:val="17"/>
              </w:rPr>
            </w:pPr>
          </w:p>
          <w:p>
            <w:pPr>
              <w:pStyle w:val="TableParagraph"/>
              <w:ind w:left="274"/>
              <w:jc w:val="left"/>
              <w:rPr>
                <w:sz w:val="14"/>
              </w:rPr>
            </w:pPr>
            <w:r>
              <w:rPr>
                <w:sz w:val="14"/>
              </w:rPr>
              <w:t>D4+V1</w:t>
            </w:r>
          </w:p>
        </w:tc>
      </w:tr>
      <w:tr>
        <w:trPr>
          <w:trHeight w:val="567" w:hRule="atLeast"/>
        </w:trPr>
        <w:tc>
          <w:tcPr>
            <w:tcW w:w="236" w:type="dxa"/>
            <w:vMerge/>
            <w:tcBorders>
              <w:top w:val="nil"/>
              <w:left w:val="nil"/>
            </w:tcBorders>
            <w:textDirection w:val="btLr"/>
          </w:tcPr>
          <w:p>
            <w:pPr>
              <w:rPr>
                <w:sz w:val="2"/>
                <w:szCs w:val="2"/>
              </w:rPr>
            </w:pPr>
          </w:p>
        </w:tc>
        <w:tc>
          <w:tcPr>
            <w:tcW w:w="499" w:type="dxa"/>
          </w:tcPr>
          <w:p>
            <w:pPr>
              <w:pStyle w:val="TableParagraph"/>
              <w:spacing w:before="177"/>
              <w:ind w:left="107"/>
              <w:jc w:val="left"/>
              <w:rPr>
                <w:b/>
                <w:sz w:val="18"/>
              </w:rPr>
            </w:pPr>
            <w:r>
              <w:rPr>
                <w:b/>
                <w:sz w:val="18"/>
              </w:rPr>
              <w:t>≤3</w:t>
            </w:r>
          </w:p>
        </w:tc>
        <w:tc>
          <w:tcPr>
            <w:tcW w:w="955" w:type="dxa"/>
            <w:tcBorders>
              <w:right w:val="nil"/>
            </w:tcBorders>
          </w:tcPr>
          <w:p>
            <w:pPr>
              <w:pStyle w:val="TableParagraph"/>
              <w:spacing w:line="230" w:lineRule="auto" w:before="115"/>
              <w:ind w:left="303" w:right="95" w:hanging="188"/>
              <w:jc w:val="left"/>
              <w:rPr>
                <w:sz w:val="10"/>
              </w:rPr>
            </w:pPr>
            <w:r>
              <w:rPr>
                <w:sz w:val="14"/>
              </w:rPr>
              <w:t>C3+I1+D1+ </w:t>
            </w:r>
            <w:r>
              <w:rPr>
                <w:position w:val="-5"/>
                <w:sz w:val="14"/>
              </w:rPr>
              <w:t>D3 </w:t>
            </w:r>
            <w:r>
              <w:rPr>
                <w:sz w:val="10"/>
              </w:rPr>
              <w:t>(3)</w:t>
            </w:r>
          </w:p>
        </w:tc>
        <w:tc>
          <w:tcPr>
            <w:tcW w:w="935" w:type="dxa"/>
            <w:tcBorders>
              <w:left w:val="nil"/>
              <w:right w:val="nil"/>
            </w:tcBorders>
          </w:tcPr>
          <w:p>
            <w:pPr>
              <w:pStyle w:val="TableParagraph"/>
              <w:spacing w:before="121"/>
              <w:ind w:left="394" w:right="103" w:hanging="240"/>
              <w:jc w:val="left"/>
              <w:rPr>
                <w:sz w:val="14"/>
              </w:rPr>
            </w:pPr>
            <w:r>
              <w:rPr>
                <w:sz w:val="14"/>
              </w:rPr>
              <w:t>I1+I3+D1+ D3</w:t>
            </w:r>
          </w:p>
        </w:tc>
        <w:tc>
          <w:tcPr>
            <w:tcW w:w="977" w:type="dxa"/>
            <w:tcBorders>
              <w:left w:val="nil"/>
            </w:tcBorders>
          </w:tcPr>
          <w:p>
            <w:pPr>
              <w:pStyle w:val="TableParagraph"/>
              <w:spacing w:before="6"/>
              <w:jc w:val="left"/>
              <w:rPr>
                <w:b/>
                <w:sz w:val="17"/>
              </w:rPr>
            </w:pPr>
          </w:p>
          <w:p>
            <w:pPr>
              <w:pStyle w:val="TableParagraph"/>
              <w:ind w:left="192" w:right="155"/>
              <w:rPr>
                <w:sz w:val="14"/>
              </w:rPr>
            </w:pPr>
            <w:r>
              <w:rPr>
                <w:sz w:val="14"/>
              </w:rPr>
              <w:t>D4+V1</w:t>
            </w:r>
          </w:p>
        </w:tc>
        <w:tc>
          <w:tcPr>
            <w:tcW w:w="956" w:type="dxa"/>
            <w:tcBorders>
              <w:right w:val="nil"/>
            </w:tcBorders>
          </w:tcPr>
          <w:p>
            <w:pPr>
              <w:pStyle w:val="TableParagraph"/>
              <w:spacing w:line="266" w:lineRule="auto" w:before="109"/>
              <w:ind w:left="176" w:right="93" w:hanging="58"/>
              <w:jc w:val="left"/>
              <w:rPr>
                <w:sz w:val="14"/>
              </w:rPr>
            </w:pPr>
            <w:r>
              <w:rPr>
                <w:sz w:val="14"/>
              </w:rPr>
              <w:t>C1+C3+I1+ D1+D3 </w:t>
            </w:r>
            <w:r>
              <w:rPr>
                <w:sz w:val="14"/>
                <w:vertAlign w:val="superscript"/>
              </w:rPr>
              <w:t>(2)</w:t>
            </w:r>
          </w:p>
        </w:tc>
        <w:tc>
          <w:tcPr>
            <w:tcW w:w="935" w:type="dxa"/>
            <w:tcBorders>
              <w:left w:val="nil"/>
              <w:right w:val="nil"/>
            </w:tcBorders>
          </w:tcPr>
          <w:p>
            <w:pPr>
              <w:pStyle w:val="TableParagraph"/>
              <w:spacing w:before="121"/>
              <w:ind w:left="395" w:right="102" w:hanging="240"/>
              <w:jc w:val="left"/>
              <w:rPr>
                <w:sz w:val="14"/>
              </w:rPr>
            </w:pPr>
            <w:r>
              <w:rPr>
                <w:sz w:val="14"/>
              </w:rPr>
              <w:t>I1+I3+D1+ D3</w:t>
            </w:r>
          </w:p>
        </w:tc>
        <w:tc>
          <w:tcPr>
            <w:tcW w:w="977" w:type="dxa"/>
            <w:tcBorders>
              <w:left w:val="nil"/>
            </w:tcBorders>
          </w:tcPr>
          <w:p>
            <w:pPr>
              <w:pStyle w:val="TableParagraph"/>
              <w:spacing w:before="6"/>
              <w:jc w:val="left"/>
              <w:rPr>
                <w:b/>
                <w:sz w:val="17"/>
              </w:rPr>
            </w:pPr>
          </w:p>
          <w:p>
            <w:pPr>
              <w:pStyle w:val="TableParagraph"/>
              <w:ind w:left="192" w:right="153"/>
              <w:rPr>
                <w:sz w:val="14"/>
              </w:rPr>
            </w:pPr>
            <w:r>
              <w:rPr>
                <w:sz w:val="14"/>
              </w:rPr>
              <w:t>D4+V1</w:t>
            </w:r>
          </w:p>
        </w:tc>
        <w:tc>
          <w:tcPr>
            <w:tcW w:w="951" w:type="dxa"/>
            <w:tcBorders>
              <w:right w:val="nil"/>
            </w:tcBorders>
          </w:tcPr>
          <w:p>
            <w:pPr>
              <w:pStyle w:val="TableParagraph"/>
              <w:spacing w:before="6"/>
              <w:jc w:val="left"/>
              <w:rPr>
                <w:b/>
                <w:sz w:val="17"/>
              </w:rPr>
            </w:pPr>
          </w:p>
          <w:p>
            <w:pPr>
              <w:pStyle w:val="TableParagraph"/>
              <w:ind w:left="140" w:right="126"/>
              <w:rPr>
                <w:sz w:val="14"/>
              </w:rPr>
            </w:pPr>
            <w:r>
              <w:rPr>
                <w:sz w:val="14"/>
              </w:rPr>
              <w:t>C1+C2+I1</w:t>
            </w:r>
          </w:p>
        </w:tc>
        <w:tc>
          <w:tcPr>
            <w:tcW w:w="956" w:type="dxa"/>
            <w:tcBorders>
              <w:left w:val="nil"/>
              <w:right w:val="nil"/>
            </w:tcBorders>
          </w:tcPr>
          <w:p>
            <w:pPr>
              <w:pStyle w:val="TableParagraph"/>
              <w:spacing w:before="6"/>
              <w:jc w:val="left"/>
              <w:rPr>
                <w:b/>
                <w:sz w:val="17"/>
              </w:rPr>
            </w:pPr>
          </w:p>
          <w:p>
            <w:pPr>
              <w:pStyle w:val="TableParagraph"/>
              <w:ind w:left="302"/>
              <w:jc w:val="left"/>
              <w:rPr>
                <w:sz w:val="14"/>
              </w:rPr>
            </w:pPr>
            <w:r>
              <w:rPr>
                <w:sz w:val="14"/>
              </w:rPr>
              <w:t>C2+I1</w:t>
            </w:r>
          </w:p>
        </w:tc>
        <w:tc>
          <w:tcPr>
            <w:tcW w:w="963" w:type="dxa"/>
            <w:tcBorders>
              <w:left w:val="nil"/>
              <w:right w:val="nil"/>
            </w:tcBorders>
          </w:tcPr>
          <w:p>
            <w:pPr>
              <w:pStyle w:val="TableParagraph"/>
              <w:spacing w:before="6"/>
              <w:jc w:val="left"/>
              <w:rPr>
                <w:b/>
                <w:sz w:val="17"/>
              </w:rPr>
            </w:pPr>
          </w:p>
          <w:p>
            <w:pPr>
              <w:pStyle w:val="TableParagraph"/>
              <w:ind w:left="274"/>
              <w:jc w:val="left"/>
              <w:rPr>
                <w:sz w:val="14"/>
              </w:rPr>
            </w:pPr>
            <w:r>
              <w:rPr>
                <w:sz w:val="14"/>
              </w:rPr>
              <w:t>D4+V1</w:t>
            </w:r>
          </w:p>
        </w:tc>
      </w:tr>
      <w:tr>
        <w:trPr>
          <w:trHeight w:val="567" w:hRule="atLeast"/>
        </w:trPr>
        <w:tc>
          <w:tcPr>
            <w:tcW w:w="236" w:type="dxa"/>
            <w:vMerge/>
            <w:tcBorders>
              <w:top w:val="nil"/>
              <w:left w:val="nil"/>
            </w:tcBorders>
            <w:textDirection w:val="btLr"/>
          </w:tcPr>
          <w:p>
            <w:pPr>
              <w:rPr>
                <w:sz w:val="2"/>
                <w:szCs w:val="2"/>
              </w:rPr>
            </w:pPr>
          </w:p>
        </w:tc>
        <w:tc>
          <w:tcPr>
            <w:tcW w:w="499" w:type="dxa"/>
          </w:tcPr>
          <w:p>
            <w:pPr>
              <w:pStyle w:val="TableParagraph"/>
              <w:spacing w:before="177"/>
              <w:ind w:left="107"/>
              <w:jc w:val="left"/>
              <w:rPr>
                <w:b/>
                <w:sz w:val="18"/>
              </w:rPr>
            </w:pPr>
            <w:r>
              <w:rPr>
                <w:b/>
                <w:sz w:val="18"/>
              </w:rPr>
              <w:t>≤4</w:t>
            </w:r>
          </w:p>
        </w:tc>
        <w:tc>
          <w:tcPr>
            <w:tcW w:w="955" w:type="dxa"/>
            <w:tcBorders>
              <w:right w:val="nil"/>
            </w:tcBorders>
            <w:shd w:val="clear" w:color="auto" w:fill="A6A6A6"/>
          </w:tcPr>
          <w:p>
            <w:pPr>
              <w:pStyle w:val="TableParagraph"/>
              <w:jc w:val="left"/>
              <w:rPr>
                <w:rFonts w:ascii="Times New Roman"/>
                <w:sz w:val="16"/>
              </w:rPr>
            </w:pPr>
          </w:p>
        </w:tc>
        <w:tc>
          <w:tcPr>
            <w:tcW w:w="935" w:type="dxa"/>
            <w:tcBorders>
              <w:left w:val="nil"/>
              <w:right w:val="nil"/>
            </w:tcBorders>
          </w:tcPr>
          <w:p>
            <w:pPr>
              <w:pStyle w:val="TableParagraph"/>
              <w:spacing w:before="121"/>
              <w:ind w:left="394" w:right="103" w:hanging="240"/>
              <w:jc w:val="left"/>
              <w:rPr>
                <w:sz w:val="14"/>
              </w:rPr>
            </w:pPr>
            <w:r>
              <w:rPr>
                <w:sz w:val="14"/>
              </w:rPr>
              <w:t>I1+I3+D1+ D3</w:t>
            </w:r>
          </w:p>
        </w:tc>
        <w:tc>
          <w:tcPr>
            <w:tcW w:w="977" w:type="dxa"/>
            <w:tcBorders>
              <w:left w:val="nil"/>
            </w:tcBorders>
          </w:tcPr>
          <w:p>
            <w:pPr>
              <w:pStyle w:val="TableParagraph"/>
              <w:spacing w:before="6"/>
              <w:jc w:val="left"/>
              <w:rPr>
                <w:b/>
                <w:sz w:val="17"/>
              </w:rPr>
            </w:pPr>
          </w:p>
          <w:p>
            <w:pPr>
              <w:pStyle w:val="TableParagraph"/>
              <w:ind w:left="192" w:right="155"/>
              <w:rPr>
                <w:sz w:val="14"/>
              </w:rPr>
            </w:pPr>
            <w:r>
              <w:rPr>
                <w:sz w:val="14"/>
              </w:rPr>
              <w:t>D4+V1</w:t>
            </w:r>
          </w:p>
        </w:tc>
        <w:tc>
          <w:tcPr>
            <w:tcW w:w="956" w:type="dxa"/>
            <w:tcBorders>
              <w:right w:val="nil"/>
            </w:tcBorders>
            <w:shd w:val="clear" w:color="auto" w:fill="A6A6A6"/>
          </w:tcPr>
          <w:p>
            <w:pPr>
              <w:pStyle w:val="TableParagraph"/>
              <w:jc w:val="left"/>
              <w:rPr>
                <w:rFonts w:ascii="Times New Roman"/>
                <w:sz w:val="16"/>
              </w:rPr>
            </w:pPr>
          </w:p>
        </w:tc>
        <w:tc>
          <w:tcPr>
            <w:tcW w:w="935" w:type="dxa"/>
            <w:tcBorders>
              <w:left w:val="nil"/>
              <w:right w:val="nil"/>
            </w:tcBorders>
          </w:tcPr>
          <w:p>
            <w:pPr>
              <w:pStyle w:val="TableParagraph"/>
              <w:spacing w:before="121"/>
              <w:ind w:left="395" w:right="102" w:hanging="240"/>
              <w:jc w:val="left"/>
              <w:rPr>
                <w:sz w:val="14"/>
              </w:rPr>
            </w:pPr>
            <w:r>
              <w:rPr>
                <w:sz w:val="14"/>
              </w:rPr>
              <w:t>I1+I3+D1+ D3</w:t>
            </w:r>
          </w:p>
        </w:tc>
        <w:tc>
          <w:tcPr>
            <w:tcW w:w="977" w:type="dxa"/>
            <w:tcBorders>
              <w:left w:val="nil"/>
            </w:tcBorders>
          </w:tcPr>
          <w:p>
            <w:pPr>
              <w:pStyle w:val="TableParagraph"/>
              <w:spacing w:before="6"/>
              <w:jc w:val="left"/>
              <w:rPr>
                <w:b/>
                <w:sz w:val="17"/>
              </w:rPr>
            </w:pPr>
          </w:p>
          <w:p>
            <w:pPr>
              <w:pStyle w:val="TableParagraph"/>
              <w:ind w:left="192" w:right="153"/>
              <w:rPr>
                <w:sz w:val="14"/>
              </w:rPr>
            </w:pPr>
            <w:r>
              <w:rPr>
                <w:sz w:val="14"/>
              </w:rPr>
              <w:t>D4+V1</w:t>
            </w:r>
          </w:p>
        </w:tc>
        <w:tc>
          <w:tcPr>
            <w:tcW w:w="951" w:type="dxa"/>
            <w:tcBorders>
              <w:right w:val="nil"/>
            </w:tcBorders>
          </w:tcPr>
          <w:p>
            <w:pPr>
              <w:pStyle w:val="TableParagraph"/>
              <w:spacing w:before="6"/>
              <w:jc w:val="left"/>
              <w:rPr>
                <w:b/>
                <w:sz w:val="17"/>
              </w:rPr>
            </w:pPr>
          </w:p>
          <w:p>
            <w:pPr>
              <w:pStyle w:val="TableParagraph"/>
              <w:ind w:left="140" w:right="126"/>
              <w:rPr>
                <w:sz w:val="14"/>
              </w:rPr>
            </w:pPr>
            <w:r>
              <w:rPr>
                <w:sz w:val="14"/>
              </w:rPr>
              <w:t>C1+C2+I1</w:t>
            </w:r>
          </w:p>
        </w:tc>
        <w:tc>
          <w:tcPr>
            <w:tcW w:w="956" w:type="dxa"/>
            <w:tcBorders>
              <w:left w:val="nil"/>
              <w:right w:val="nil"/>
            </w:tcBorders>
          </w:tcPr>
          <w:p>
            <w:pPr>
              <w:pStyle w:val="TableParagraph"/>
              <w:spacing w:before="6"/>
              <w:jc w:val="left"/>
              <w:rPr>
                <w:b/>
                <w:sz w:val="17"/>
              </w:rPr>
            </w:pPr>
          </w:p>
          <w:p>
            <w:pPr>
              <w:pStyle w:val="TableParagraph"/>
              <w:ind w:left="302"/>
              <w:jc w:val="left"/>
              <w:rPr>
                <w:sz w:val="14"/>
              </w:rPr>
            </w:pPr>
            <w:r>
              <w:rPr>
                <w:sz w:val="14"/>
              </w:rPr>
              <w:t>C2+I1</w:t>
            </w:r>
          </w:p>
        </w:tc>
        <w:tc>
          <w:tcPr>
            <w:tcW w:w="963" w:type="dxa"/>
            <w:tcBorders>
              <w:left w:val="nil"/>
              <w:right w:val="nil"/>
            </w:tcBorders>
          </w:tcPr>
          <w:p>
            <w:pPr>
              <w:pStyle w:val="TableParagraph"/>
              <w:spacing w:before="6"/>
              <w:jc w:val="left"/>
              <w:rPr>
                <w:b/>
                <w:sz w:val="17"/>
              </w:rPr>
            </w:pPr>
          </w:p>
          <w:p>
            <w:pPr>
              <w:pStyle w:val="TableParagraph"/>
              <w:ind w:left="274"/>
              <w:jc w:val="left"/>
              <w:rPr>
                <w:sz w:val="14"/>
              </w:rPr>
            </w:pPr>
            <w:r>
              <w:rPr>
                <w:sz w:val="14"/>
              </w:rPr>
              <w:t>D4+V1</w:t>
            </w:r>
          </w:p>
        </w:tc>
      </w:tr>
      <w:tr>
        <w:trPr>
          <w:trHeight w:val="567" w:hRule="atLeast"/>
        </w:trPr>
        <w:tc>
          <w:tcPr>
            <w:tcW w:w="236" w:type="dxa"/>
            <w:vMerge/>
            <w:tcBorders>
              <w:top w:val="nil"/>
              <w:left w:val="nil"/>
            </w:tcBorders>
            <w:textDirection w:val="btLr"/>
          </w:tcPr>
          <w:p>
            <w:pPr>
              <w:rPr>
                <w:sz w:val="2"/>
                <w:szCs w:val="2"/>
              </w:rPr>
            </w:pPr>
          </w:p>
        </w:tc>
        <w:tc>
          <w:tcPr>
            <w:tcW w:w="499" w:type="dxa"/>
          </w:tcPr>
          <w:p>
            <w:pPr>
              <w:pStyle w:val="TableParagraph"/>
              <w:spacing w:before="176"/>
              <w:ind w:left="107"/>
              <w:jc w:val="left"/>
              <w:rPr>
                <w:b/>
                <w:sz w:val="18"/>
              </w:rPr>
            </w:pPr>
            <w:r>
              <w:rPr>
                <w:b/>
                <w:sz w:val="18"/>
              </w:rPr>
              <w:t>≤5</w:t>
            </w:r>
          </w:p>
        </w:tc>
        <w:tc>
          <w:tcPr>
            <w:tcW w:w="955" w:type="dxa"/>
            <w:tcBorders>
              <w:right w:val="nil"/>
            </w:tcBorders>
            <w:shd w:val="clear" w:color="auto" w:fill="A6A6A6"/>
          </w:tcPr>
          <w:p>
            <w:pPr>
              <w:pStyle w:val="TableParagraph"/>
              <w:jc w:val="left"/>
              <w:rPr>
                <w:rFonts w:ascii="Times New Roman"/>
                <w:sz w:val="16"/>
              </w:rPr>
            </w:pPr>
          </w:p>
        </w:tc>
        <w:tc>
          <w:tcPr>
            <w:tcW w:w="935" w:type="dxa"/>
            <w:tcBorders>
              <w:left w:val="nil"/>
              <w:right w:val="nil"/>
            </w:tcBorders>
          </w:tcPr>
          <w:p>
            <w:pPr>
              <w:pStyle w:val="TableParagraph"/>
              <w:spacing w:before="120"/>
              <w:ind w:left="263" w:right="104" w:hanging="110"/>
              <w:jc w:val="left"/>
              <w:rPr>
                <w:sz w:val="14"/>
              </w:rPr>
            </w:pPr>
            <w:r>
              <w:rPr>
                <w:sz w:val="14"/>
              </w:rPr>
              <w:t>I1+I3+D1+ D2+D3</w:t>
            </w:r>
          </w:p>
        </w:tc>
        <w:tc>
          <w:tcPr>
            <w:tcW w:w="977" w:type="dxa"/>
            <w:tcBorders>
              <w:left w:val="nil"/>
            </w:tcBorders>
          </w:tcPr>
          <w:p>
            <w:pPr>
              <w:pStyle w:val="TableParagraph"/>
              <w:spacing w:before="1"/>
              <w:jc w:val="left"/>
              <w:rPr>
                <w:b/>
                <w:sz w:val="18"/>
              </w:rPr>
            </w:pPr>
          </w:p>
          <w:p>
            <w:pPr>
              <w:pStyle w:val="TableParagraph"/>
              <w:ind w:left="192" w:right="157"/>
              <w:rPr>
                <w:sz w:val="14"/>
              </w:rPr>
            </w:pPr>
            <w:r>
              <w:rPr>
                <w:sz w:val="14"/>
              </w:rPr>
              <w:t>D4+V1 </w:t>
            </w:r>
            <w:r>
              <w:rPr>
                <w:sz w:val="14"/>
                <w:vertAlign w:val="superscript"/>
              </w:rPr>
              <w:t>(1)</w:t>
            </w:r>
          </w:p>
        </w:tc>
        <w:tc>
          <w:tcPr>
            <w:tcW w:w="956" w:type="dxa"/>
            <w:tcBorders>
              <w:right w:val="nil"/>
            </w:tcBorders>
            <w:shd w:val="clear" w:color="auto" w:fill="A6A6A6"/>
          </w:tcPr>
          <w:p>
            <w:pPr>
              <w:pStyle w:val="TableParagraph"/>
              <w:jc w:val="left"/>
              <w:rPr>
                <w:rFonts w:ascii="Times New Roman"/>
                <w:sz w:val="16"/>
              </w:rPr>
            </w:pPr>
          </w:p>
        </w:tc>
        <w:tc>
          <w:tcPr>
            <w:tcW w:w="935" w:type="dxa"/>
            <w:tcBorders>
              <w:left w:val="nil"/>
              <w:right w:val="nil"/>
            </w:tcBorders>
          </w:tcPr>
          <w:p>
            <w:pPr>
              <w:pStyle w:val="TableParagraph"/>
              <w:spacing w:before="120"/>
              <w:ind w:left="264" w:right="103" w:hanging="110"/>
              <w:jc w:val="left"/>
              <w:rPr>
                <w:sz w:val="14"/>
              </w:rPr>
            </w:pPr>
            <w:r>
              <w:rPr>
                <w:sz w:val="14"/>
              </w:rPr>
              <w:t>I1+I3+D1+ D2+D3</w:t>
            </w:r>
          </w:p>
        </w:tc>
        <w:tc>
          <w:tcPr>
            <w:tcW w:w="977" w:type="dxa"/>
            <w:tcBorders>
              <w:left w:val="nil"/>
            </w:tcBorders>
          </w:tcPr>
          <w:p>
            <w:pPr>
              <w:pStyle w:val="TableParagraph"/>
              <w:spacing w:before="6"/>
              <w:jc w:val="left"/>
              <w:rPr>
                <w:b/>
                <w:sz w:val="17"/>
              </w:rPr>
            </w:pPr>
          </w:p>
          <w:p>
            <w:pPr>
              <w:pStyle w:val="TableParagraph"/>
              <w:ind w:left="192" w:right="153"/>
              <w:rPr>
                <w:sz w:val="14"/>
              </w:rPr>
            </w:pPr>
            <w:r>
              <w:rPr>
                <w:sz w:val="14"/>
              </w:rPr>
              <w:t>D4+V1</w:t>
            </w:r>
          </w:p>
        </w:tc>
        <w:tc>
          <w:tcPr>
            <w:tcW w:w="951" w:type="dxa"/>
            <w:tcBorders>
              <w:right w:val="nil"/>
            </w:tcBorders>
          </w:tcPr>
          <w:p>
            <w:pPr>
              <w:pStyle w:val="TableParagraph"/>
              <w:spacing w:before="6"/>
              <w:jc w:val="left"/>
              <w:rPr>
                <w:b/>
                <w:sz w:val="17"/>
              </w:rPr>
            </w:pPr>
          </w:p>
          <w:p>
            <w:pPr>
              <w:pStyle w:val="TableParagraph"/>
              <w:ind w:left="140" w:right="126"/>
              <w:rPr>
                <w:sz w:val="14"/>
              </w:rPr>
            </w:pPr>
            <w:r>
              <w:rPr>
                <w:sz w:val="14"/>
              </w:rPr>
              <w:t>C1+C2+I1</w:t>
            </w:r>
          </w:p>
        </w:tc>
        <w:tc>
          <w:tcPr>
            <w:tcW w:w="956" w:type="dxa"/>
            <w:tcBorders>
              <w:left w:val="nil"/>
              <w:right w:val="nil"/>
            </w:tcBorders>
          </w:tcPr>
          <w:p>
            <w:pPr>
              <w:pStyle w:val="TableParagraph"/>
              <w:spacing w:before="6"/>
              <w:jc w:val="left"/>
              <w:rPr>
                <w:b/>
                <w:sz w:val="17"/>
              </w:rPr>
            </w:pPr>
          </w:p>
          <w:p>
            <w:pPr>
              <w:pStyle w:val="TableParagraph"/>
              <w:ind w:left="302"/>
              <w:jc w:val="left"/>
              <w:rPr>
                <w:sz w:val="14"/>
              </w:rPr>
            </w:pPr>
            <w:r>
              <w:rPr>
                <w:sz w:val="14"/>
              </w:rPr>
              <w:t>C2+I1</w:t>
            </w:r>
          </w:p>
        </w:tc>
        <w:tc>
          <w:tcPr>
            <w:tcW w:w="963" w:type="dxa"/>
            <w:tcBorders>
              <w:left w:val="nil"/>
              <w:right w:val="nil"/>
            </w:tcBorders>
          </w:tcPr>
          <w:p>
            <w:pPr>
              <w:pStyle w:val="TableParagraph"/>
              <w:spacing w:before="6"/>
              <w:jc w:val="left"/>
              <w:rPr>
                <w:b/>
                <w:sz w:val="17"/>
              </w:rPr>
            </w:pPr>
          </w:p>
          <w:p>
            <w:pPr>
              <w:pStyle w:val="TableParagraph"/>
              <w:ind w:left="274"/>
              <w:jc w:val="left"/>
              <w:rPr>
                <w:sz w:val="14"/>
              </w:rPr>
            </w:pPr>
            <w:r>
              <w:rPr>
                <w:sz w:val="14"/>
              </w:rPr>
              <w:t>D4+V1</w:t>
            </w:r>
          </w:p>
        </w:tc>
      </w:tr>
    </w:tbl>
    <w:p>
      <w:pPr>
        <w:pStyle w:val="ListParagraph"/>
        <w:numPr>
          <w:ilvl w:val="1"/>
          <w:numId w:val="16"/>
        </w:numPr>
        <w:tabs>
          <w:tab w:pos="4264" w:val="left" w:leader="none"/>
          <w:tab w:pos="4265" w:val="left" w:leader="none"/>
        </w:tabs>
        <w:spacing w:line="179" w:lineRule="exact" w:before="0" w:after="0"/>
        <w:ind w:left="4264" w:right="0" w:hanging="361"/>
        <w:jc w:val="left"/>
        <w:rPr>
          <w:b/>
          <w:sz w:val="16"/>
        </w:rPr>
      </w:pPr>
      <w:r>
        <w:rPr>
          <w:b/>
          <w:position w:val="6"/>
          <w:sz w:val="10"/>
        </w:rPr>
        <w:t>(1) </w:t>
      </w:r>
      <w:r>
        <w:rPr>
          <w:b/>
          <w:sz w:val="16"/>
        </w:rPr>
        <w:t>Solución no aceptable para más de un sótano.</w:t>
      </w:r>
    </w:p>
    <w:p>
      <w:pPr>
        <w:pStyle w:val="ListParagraph"/>
        <w:numPr>
          <w:ilvl w:val="1"/>
          <w:numId w:val="16"/>
        </w:numPr>
        <w:tabs>
          <w:tab w:pos="4264" w:val="left" w:leader="none"/>
          <w:tab w:pos="4265" w:val="left" w:leader="none"/>
        </w:tabs>
        <w:spacing w:line="184" w:lineRule="exact" w:before="0" w:after="0"/>
        <w:ind w:left="4264" w:right="0" w:hanging="361"/>
        <w:jc w:val="left"/>
        <w:rPr>
          <w:b/>
          <w:sz w:val="16"/>
        </w:rPr>
      </w:pPr>
      <w:r>
        <w:rPr>
          <w:b/>
          <w:position w:val="6"/>
          <w:sz w:val="10"/>
        </w:rPr>
        <w:t>(2)   </w:t>
      </w:r>
      <w:r>
        <w:rPr>
          <w:b/>
          <w:sz w:val="16"/>
        </w:rPr>
        <w:t>Solución no aceptable para más de dos</w:t>
      </w:r>
      <w:r>
        <w:rPr>
          <w:b/>
          <w:spacing w:val="-20"/>
          <w:sz w:val="16"/>
        </w:rPr>
        <w:t> </w:t>
      </w:r>
      <w:r>
        <w:rPr>
          <w:b/>
          <w:sz w:val="16"/>
        </w:rPr>
        <w:t>sótanos.</w:t>
      </w:r>
    </w:p>
    <w:p>
      <w:pPr>
        <w:pStyle w:val="ListParagraph"/>
        <w:numPr>
          <w:ilvl w:val="1"/>
          <w:numId w:val="16"/>
        </w:numPr>
        <w:tabs>
          <w:tab w:pos="4264" w:val="left" w:leader="none"/>
          <w:tab w:pos="4265" w:val="left" w:leader="none"/>
        </w:tabs>
        <w:spacing w:line="186" w:lineRule="exact" w:before="0" w:after="0"/>
        <w:ind w:left="4264" w:right="0" w:hanging="361"/>
        <w:jc w:val="left"/>
        <w:rPr>
          <w:b/>
          <w:sz w:val="16"/>
        </w:rPr>
      </w:pPr>
      <w:r>
        <w:rPr>
          <w:b/>
          <w:position w:val="6"/>
          <w:sz w:val="10"/>
        </w:rPr>
        <w:t>(3)   </w:t>
      </w:r>
      <w:r>
        <w:rPr>
          <w:b/>
          <w:sz w:val="16"/>
        </w:rPr>
        <w:t>Solución no aceptable para más de tres</w:t>
      </w:r>
      <w:r>
        <w:rPr>
          <w:b/>
          <w:spacing w:val="-25"/>
          <w:sz w:val="16"/>
        </w:rPr>
        <w:t> </w:t>
      </w:r>
      <w:r>
        <w:rPr>
          <w:b/>
          <w:sz w:val="16"/>
        </w:rPr>
        <w:t>sótanos.</w:t>
      </w:r>
    </w:p>
    <w:p>
      <w:pPr>
        <w:pStyle w:val="ListParagraph"/>
        <w:numPr>
          <w:ilvl w:val="0"/>
          <w:numId w:val="16"/>
        </w:numPr>
        <w:tabs>
          <w:tab w:pos="671" w:val="left" w:leader="none"/>
          <w:tab w:pos="672" w:val="left" w:leader="none"/>
        </w:tabs>
        <w:spacing w:line="240" w:lineRule="auto" w:before="59" w:after="0"/>
        <w:ind w:left="671" w:right="0" w:hanging="454"/>
        <w:jc w:val="left"/>
        <w:rPr>
          <w:sz w:val="20"/>
        </w:rPr>
      </w:pPr>
      <w:r>
        <w:rPr>
          <w:sz w:val="20"/>
        </w:rPr>
        <w:t>A continuación se describen las condiciones agrupadas en bloques</w:t>
      </w:r>
      <w:r>
        <w:rPr>
          <w:spacing w:val="-8"/>
          <w:sz w:val="20"/>
        </w:rPr>
        <w:t> </w:t>
      </w:r>
      <w:r>
        <w:rPr>
          <w:sz w:val="20"/>
        </w:rPr>
        <w:t>homogéneos.</w:t>
      </w:r>
    </w:p>
    <w:p>
      <w:pPr>
        <w:pStyle w:val="ListParagraph"/>
        <w:numPr>
          <w:ilvl w:val="0"/>
          <w:numId w:val="17"/>
        </w:numPr>
        <w:tabs>
          <w:tab w:pos="961" w:val="left" w:leader="none"/>
        </w:tabs>
        <w:spacing w:line="240" w:lineRule="auto" w:before="160" w:after="0"/>
        <w:ind w:left="960" w:right="0" w:hanging="383"/>
        <w:jc w:val="left"/>
        <w:rPr>
          <w:sz w:val="20"/>
        </w:rPr>
      </w:pPr>
      <w:r>
        <w:rPr>
          <w:sz w:val="20"/>
        </w:rPr>
        <w:t>Constitución del</w:t>
      </w:r>
      <w:r>
        <w:rPr>
          <w:spacing w:val="-3"/>
          <w:sz w:val="20"/>
        </w:rPr>
        <w:t> </w:t>
      </w:r>
      <w:r>
        <w:rPr>
          <w:sz w:val="20"/>
        </w:rPr>
        <w:t>muro:</w:t>
      </w:r>
    </w:p>
    <w:p>
      <w:pPr>
        <w:tabs>
          <w:tab w:pos="1579" w:val="left" w:leader="none"/>
        </w:tabs>
        <w:spacing w:before="0"/>
        <w:ind w:left="1070" w:right="0" w:firstLine="0"/>
        <w:jc w:val="left"/>
        <w:rPr>
          <w:sz w:val="20"/>
        </w:rPr>
      </w:pPr>
      <w:r>
        <w:rPr>
          <w:sz w:val="20"/>
        </w:rPr>
        <w:t>C1</w:t>
        <w:tab/>
        <w:t>Cuando el muro se construya in situ debe utilizarse </w:t>
      </w:r>
      <w:r>
        <w:rPr>
          <w:i/>
          <w:sz w:val="20"/>
        </w:rPr>
        <w:t>hormigón</w:t>
      </w:r>
      <w:r>
        <w:rPr>
          <w:i/>
          <w:spacing w:val="-8"/>
          <w:sz w:val="20"/>
        </w:rPr>
        <w:t> </w:t>
      </w:r>
      <w:r>
        <w:rPr>
          <w:i/>
          <w:sz w:val="20"/>
        </w:rPr>
        <w:t>hidrófugo</w:t>
      </w:r>
      <w:r>
        <w:rPr>
          <w:sz w:val="20"/>
        </w:rPr>
        <w:t>.</w:t>
      </w:r>
    </w:p>
    <w:p>
      <w:pPr>
        <w:pStyle w:val="BodyText"/>
        <w:spacing w:before="3"/>
        <w:rPr>
          <w:sz w:val="25"/>
        </w:rPr>
      </w:pPr>
    </w:p>
    <w:p>
      <w:pPr>
        <w:spacing w:before="0"/>
        <w:ind w:left="1958" w:right="418" w:firstLine="0"/>
        <w:jc w:val="left"/>
        <w:rPr>
          <w:sz w:val="16"/>
        </w:rPr>
      </w:pPr>
      <w:r>
        <w:rPr/>
        <w:pict>
          <v:line style="position:absolute;mso-position-horizontal-relative:page;mso-position-vertical-relative:paragraph;z-index:251670528" from="152.520004pt,-2.87579pt" to="152.520004pt,21.54421pt" stroked="true" strokeweight=".48pt" strokecolor="#000000">
            <v:stroke dashstyle="solid"/>
            <w10:wrap type="none"/>
          </v:line>
        </w:pict>
      </w:r>
      <w:r>
        <w:rPr>
          <w:sz w:val="16"/>
        </w:rPr>
        <w:t>Se refiere a muros in situ de hormigón. Para otros tipos de muros realizados in situ no se aplica esta con- dición.</w:t>
      </w:r>
    </w:p>
    <w:p>
      <w:pPr>
        <w:pStyle w:val="BodyText"/>
        <w:rPr>
          <w:sz w:val="17"/>
        </w:rPr>
      </w:pPr>
    </w:p>
    <w:p>
      <w:pPr>
        <w:pStyle w:val="BodyText"/>
        <w:tabs>
          <w:tab w:pos="1579" w:val="left" w:leader="none"/>
        </w:tabs>
        <w:spacing w:before="94"/>
        <w:ind w:left="1070"/>
      </w:pPr>
      <w:r>
        <w:rPr/>
        <w:t>C2</w:t>
        <w:tab/>
        <w:t>Cuando el muro se construya in situ debe utilizarse hormigón de consistencia</w:t>
      </w:r>
      <w:r>
        <w:rPr>
          <w:spacing w:val="-21"/>
        </w:rPr>
        <w:t> </w:t>
      </w:r>
      <w:r>
        <w:rPr/>
        <w:t>fluida.</w:t>
      </w:r>
    </w:p>
    <w:p>
      <w:pPr>
        <w:pStyle w:val="BodyText"/>
        <w:spacing w:before="3"/>
        <w:rPr>
          <w:sz w:val="25"/>
        </w:rPr>
      </w:pPr>
    </w:p>
    <w:p>
      <w:pPr>
        <w:spacing w:before="0"/>
        <w:ind w:left="1958" w:right="418" w:firstLine="0"/>
        <w:jc w:val="left"/>
        <w:rPr>
          <w:sz w:val="16"/>
        </w:rPr>
      </w:pPr>
      <w:r>
        <w:rPr/>
        <w:pict>
          <v:line style="position:absolute;mso-position-horizontal-relative:page;mso-position-vertical-relative:paragraph;z-index:251671552" from="152.520004pt,-2.875696pt" to="152.520004pt,21.484304pt" stroked="true" strokeweight=".48pt" strokecolor="#000000">
            <v:stroke dashstyle="solid"/>
            <w10:wrap type="none"/>
          </v:line>
        </w:pict>
      </w:r>
      <w:r>
        <w:rPr>
          <w:sz w:val="16"/>
        </w:rPr>
        <w:t>La utilización de hormigón de consistencia fluida tiene como objetivo conseguir una correcta ejecución de los muros.</w:t>
      </w:r>
    </w:p>
    <w:p>
      <w:pPr>
        <w:pStyle w:val="BodyText"/>
        <w:rPr>
          <w:sz w:val="17"/>
        </w:rPr>
      </w:pPr>
    </w:p>
    <w:p>
      <w:pPr>
        <w:pStyle w:val="BodyText"/>
        <w:spacing w:before="94"/>
        <w:ind w:left="1580" w:right="390" w:hanging="510"/>
        <w:jc w:val="both"/>
      </w:pPr>
      <w:r>
        <w:rPr/>
        <w:t>C3 Cuando el muro sea de fábrica deben utilizarse bloques o ladrillos hidrofugados y </w:t>
      </w:r>
      <w:r>
        <w:rPr>
          <w:i/>
        </w:rPr>
        <w:t>mortero </w:t>
      </w:r>
      <w:r>
        <w:rPr>
          <w:i/>
        </w:rPr>
        <w:t>hidrófugo</w:t>
      </w:r>
      <w:r>
        <w:rPr/>
        <w:t>.</w:t>
      </w:r>
    </w:p>
    <w:p>
      <w:pPr>
        <w:spacing w:before="99"/>
        <w:ind w:left="578" w:right="0" w:firstLine="0"/>
        <w:jc w:val="both"/>
        <w:rPr>
          <w:sz w:val="20"/>
        </w:rPr>
      </w:pPr>
      <w:r>
        <w:rPr>
          <w:sz w:val="20"/>
        </w:rPr>
        <w:t>I) </w:t>
      </w:r>
      <w:r>
        <w:rPr>
          <w:i/>
          <w:sz w:val="20"/>
        </w:rPr>
        <w:t>Impermeabilización</w:t>
      </w:r>
      <w:r>
        <w:rPr>
          <w:sz w:val="20"/>
        </w:rPr>
        <w:t>:</w:t>
      </w:r>
    </w:p>
    <w:p>
      <w:pPr>
        <w:pStyle w:val="BodyText"/>
        <w:spacing w:before="1"/>
        <w:ind w:left="1580" w:right="390" w:hanging="511"/>
        <w:jc w:val="both"/>
      </w:pPr>
      <w:r>
        <w:rPr/>
        <w:t>I1 La </w:t>
      </w:r>
      <w:r>
        <w:rPr>
          <w:i/>
        </w:rPr>
        <w:t>impermeabilización </w:t>
      </w:r>
      <w:r>
        <w:rPr/>
        <w:t>debe realizarse mediante la colocación en el muro de una lámina </w:t>
      </w:r>
      <w:r>
        <w:rPr>
          <w:i/>
        </w:rPr>
        <w:t>impermeabilizante</w:t>
      </w:r>
      <w:r>
        <w:rPr/>
        <w:t>, o la aplicación directa in situ de productos líquidos, tales como polímeros acrílicos, caucho acrílico, resinas sintéticas o poliéster. En los muros pantalla construidos con excavación la </w:t>
      </w:r>
      <w:r>
        <w:rPr>
          <w:i/>
        </w:rPr>
        <w:t>impermeabilización </w:t>
      </w:r>
      <w:r>
        <w:rPr/>
        <w:t>se consigue mediante la utilización de lodos bentoníticos.</w:t>
      </w:r>
    </w:p>
    <w:p>
      <w:pPr>
        <w:pStyle w:val="BodyText"/>
        <w:spacing w:before="3"/>
        <w:rPr>
          <w:sz w:val="25"/>
        </w:rPr>
      </w:pPr>
    </w:p>
    <w:p>
      <w:pPr>
        <w:spacing w:before="0"/>
        <w:ind w:left="1958" w:right="0" w:firstLine="0"/>
        <w:jc w:val="left"/>
        <w:rPr>
          <w:sz w:val="16"/>
        </w:rPr>
      </w:pPr>
      <w:r>
        <w:rPr/>
        <w:pict>
          <v:line style="position:absolute;mso-position-horizontal-relative:page;mso-position-vertical-relative:paragraph;z-index:251672576" from="152.520004pt,-2.875796pt" to="152.520004pt,36.724204pt" stroked="true" strokeweight=".48pt" strokecolor="#000000">
            <v:stroke dashstyle="solid"/>
            <w10:wrap type="none"/>
          </v:line>
        </w:pict>
      </w:r>
      <w:r>
        <w:rPr>
          <w:sz w:val="16"/>
        </w:rPr>
        <w:t>Entre las soluciones que pueden utilizarse también como impermeabilizantes, se encuentran las barreras geosintéticas expansivas, tales como la bentonita de sodio.</w:t>
      </w:r>
    </w:p>
    <w:p>
      <w:pPr>
        <w:spacing w:before="120"/>
        <w:ind w:left="1958" w:right="0" w:firstLine="0"/>
        <w:jc w:val="left"/>
        <w:rPr>
          <w:sz w:val="16"/>
        </w:rPr>
      </w:pPr>
      <w:r>
        <w:rPr>
          <w:sz w:val="16"/>
        </w:rPr>
        <w:t>Otras soluciones pueden ser las inyecciones por el extradós del muro.</w:t>
      </w:r>
    </w:p>
    <w:p>
      <w:pPr>
        <w:spacing w:after="0"/>
        <w:jc w:val="left"/>
        <w:rPr>
          <w:sz w:val="16"/>
        </w:rPr>
        <w:sectPr>
          <w:pgSz w:w="11910" w:h="16840"/>
          <w:pgMar w:header="724" w:footer="636" w:top="1320" w:bottom="840" w:left="1200" w:right="738"/>
        </w:sectPr>
      </w:pPr>
    </w:p>
    <w:p>
      <w:pPr>
        <w:spacing w:before="150"/>
        <w:ind w:left="1958" w:right="391" w:firstLine="0"/>
        <w:jc w:val="both"/>
        <w:rPr>
          <w:sz w:val="16"/>
        </w:rPr>
      </w:pPr>
      <w:r>
        <w:rPr/>
        <w:pict>
          <v:line style="position:absolute;mso-position-horizontal-relative:page;mso-position-vertical-relative:paragraph;z-index:251673600" from="152.520004pt,4.624224pt" to="152.520004pt,38.224224pt" stroked="true" strokeweight=".48pt" strokecolor="#000000">
            <v:stroke dashstyle="solid"/>
            <w10:wrap type="none"/>
          </v:line>
        </w:pict>
      </w:r>
      <w:r>
        <w:rPr>
          <w:sz w:val="16"/>
        </w:rPr>
        <w:t>La aplicación de los lodos bentoníticos permite evitar que se produzcan desprendimientos de las paredes de la excavación en el proceso constructivo del muro, por lo que se utilizarán cuando las características del terreno así lo requieran.</w:t>
      </w:r>
    </w:p>
    <w:p>
      <w:pPr>
        <w:pStyle w:val="BodyText"/>
        <w:spacing w:before="11"/>
        <w:rPr>
          <w:sz w:val="16"/>
        </w:rPr>
      </w:pPr>
    </w:p>
    <w:p>
      <w:pPr>
        <w:pStyle w:val="BodyText"/>
        <w:spacing w:before="94"/>
        <w:ind w:left="1580"/>
      </w:pPr>
      <w:r>
        <w:rPr/>
        <w:t>Si se impermeabiliza interiormente con lámina ésta debe ser adherida.</w:t>
      </w:r>
    </w:p>
    <w:p>
      <w:pPr>
        <w:pStyle w:val="BodyText"/>
        <w:spacing w:before="1"/>
      </w:pPr>
    </w:p>
    <w:p>
      <w:pPr>
        <w:spacing w:before="0"/>
        <w:ind w:left="1958" w:right="418" w:firstLine="0"/>
        <w:jc w:val="left"/>
        <w:rPr>
          <w:sz w:val="16"/>
        </w:rPr>
      </w:pPr>
      <w:r>
        <w:rPr/>
        <w:pict>
          <v:line style="position:absolute;mso-position-horizontal-relative:page;mso-position-vertical-relative:paragraph;z-index:251674624" from="152.520004pt,.123882pt" to="152.520004pt,18.483882pt" stroked="true" strokeweight=".48pt" strokecolor="#000000">
            <v:stroke dashstyle="solid"/>
            <w10:wrap type="none"/>
          </v:line>
        </w:pict>
      </w:r>
      <w:r>
        <w:rPr>
          <w:sz w:val="16"/>
        </w:rPr>
        <w:t>La utilización de la lámina adherida tiene como objetivo que soporte una presión hidrostática negativa, siendo posible otras soluciones.</w:t>
      </w:r>
    </w:p>
    <w:p>
      <w:pPr>
        <w:pStyle w:val="BodyText"/>
        <w:spacing w:before="9"/>
        <w:rPr>
          <w:sz w:val="11"/>
        </w:rPr>
      </w:pPr>
    </w:p>
    <w:p>
      <w:pPr>
        <w:spacing w:before="94"/>
        <w:ind w:left="1580" w:right="391" w:firstLine="0"/>
        <w:jc w:val="both"/>
        <w:rPr>
          <w:sz w:val="20"/>
        </w:rPr>
      </w:pPr>
      <w:r>
        <w:rPr>
          <w:sz w:val="20"/>
        </w:rPr>
        <w:t>Si se impermeabiliza exteriormente con lámina, cuando ésta sea adherida debe colocarse una </w:t>
      </w:r>
      <w:r>
        <w:rPr>
          <w:i/>
          <w:sz w:val="20"/>
        </w:rPr>
        <w:t>capa antipunzonamiento </w:t>
      </w:r>
      <w:r>
        <w:rPr>
          <w:sz w:val="20"/>
        </w:rPr>
        <w:t>en su cara exterior y cuando sea no adherida debe colocarse una </w:t>
      </w:r>
      <w:r>
        <w:rPr>
          <w:i/>
          <w:sz w:val="20"/>
        </w:rPr>
        <w:t>capa antipunzonamiento </w:t>
      </w:r>
      <w:r>
        <w:rPr>
          <w:sz w:val="20"/>
        </w:rPr>
        <w:t>en cada una de sus caras. En ambos casos, si se dispone una </w:t>
      </w:r>
      <w:r>
        <w:rPr>
          <w:i/>
          <w:sz w:val="20"/>
        </w:rPr>
        <w:t>lámina drenante </w:t>
      </w:r>
      <w:r>
        <w:rPr>
          <w:sz w:val="20"/>
        </w:rPr>
        <w:t>puede suprimirse la </w:t>
      </w:r>
      <w:r>
        <w:rPr>
          <w:i/>
          <w:sz w:val="20"/>
        </w:rPr>
        <w:t>capa antipunzonamiento</w:t>
      </w:r>
      <w:r>
        <w:rPr>
          <w:i/>
          <w:spacing w:val="-21"/>
          <w:sz w:val="20"/>
        </w:rPr>
        <w:t> </w:t>
      </w:r>
      <w:r>
        <w:rPr>
          <w:sz w:val="20"/>
        </w:rPr>
        <w:t>exterior.</w:t>
      </w:r>
    </w:p>
    <w:p>
      <w:pPr>
        <w:spacing w:before="0"/>
        <w:ind w:left="1580" w:right="391" w:hanging="1"/>
        <w:jc w:val="both"/>
        <w:rPr>
          <w:sz w:val="20"/>
        </w:rPr>
      </w:pPr>
      <w:r>
        <w:rPr>
          <w:sz w:val="20"/>
        </w:rPr>
        <w:t>Si se impermeabiliza mediante </w:t>
      </w:r>
      <w:r>
        <w:rPr>
          <w:i/>
          <w:sz w:val="20"/>
        </w:rPr>
        <w:t>aplicaciones líquidas </w:t>
      </w:r>
      <w:r>
        <w:rPr>
          <w:sz w:val="20"/>
        </w:rPr>
        <w:t>debe colocarse una capa protectora en su cara exterior salvo que se coloque una </w:t>
      </w:r>
      <w:r>
        <w:rPr>
          <w:i/>
          <w:sz w:val="20"/>
        </w:rPr>
        <w:t>lámina drenante </w:t>
      </w:r>
      <w:r>
        <w:rPr>
          <w:sz w:val="20"/>
        </w:rPr>
        <w:t>en contacto directo con la </w:t>
      </w:r>
      <w:r>
        <w:rPr>
          <w:i/>
          <w:sz w:val="20"/>
        </w:rPr>
        <w:t>impermeabilización</w:t>
      </w:r>
      <w:r>
        <w:rPr>
          <w:sz w:val="20"/>
        </w:rPr>
        <w:t>. La capa protectora puede estar constituida por un </w:t>
      </w:r>
      <w:r>
        <w:rPr>
          <w:i/>
          <w:sz w:val="20"/>
        </w:rPr>
        <w:t>geotextil </w:t>
      </w:r>
      <w:r>
        <w:rPr>
          <w:sz w:val="20"/>
        </w:rPr>
        <w:t>o por mortero reforzado con una armadura.</w:t>
      </w:r>
    </w:p>
    <w:p>
      <w:pPr>
        <w:pStyle w:val="BodyText"/>
        <w:spacing w:before="3"/>
        <w:rPr>
          <w:sz w:val="25"/>
        </w:rPr>
      </w:pPr>
    </w:p>
    <w:p>
      <w:pPr>
        <w:spacing w:before="0"/>
        <w:ind w:left="1958" w:right="392" w:firstLine="0"/>
        <w:jc w:val="both"/>
        <w:rPr>
          <w:sz w:val="16"/>
        </w:rPr>
      </w:pPr>
      <w:r>
        <w:rPr/>
        <w:pict>
          <v:line style="position:absolute;mso-position-horizontal-relative:page;mso-position-vertical-relative:paragraph;z-index:251675648" from="152.520004pt,-2.875818pt" to="152.520004pt,30.724182pt" stroked="true" strokeweight=".48pt" strokecolor="#000000">
            <v:stroke dashstyle="solid"/>
            <w10:wrap type="none"/>
          </v:line>
        </w:pict>
      </w:r>
      <w:r>
        <w:rPr>
          <w:sz w:val="16"/>
        </w:rPr>
        <w:t>Los productos que se utilizan para conseguir la impermeabilización de los muros son diferentes en el caso de impermeabilización interior y exterior debido a que las solicitaciones son distintas en ambos casos y, por tanto, las características de estos productos deben ser adecuadas a</w:t>
      </w:r>
      <w:r>
        <w:rPr>
          <w:spacing w:val="-1"/>
          <w:sz w:val="16"/>
        </w:rPr>
        <w:t> </w:t>
      </w:r>
      <w:r>
        <w:rPr>
          <w:sz w:val="16"/>
        </w:rPr>
        <w:t>ellas.</w:t>
      </w:r>
    </w:p>
    <w:p>
      <w:pPr>
        <w:pStyle w:val="BodyText"/>
        <w:spacing w:before="11"/>
        <w:rPr>
          <w:sz w:val="16"/>
        </w:rPr>
      </w:pPr>
    </w:p>
    <w:p>
      <w:pPr>
        <w:spacing w:before="94"/>
        <w:ind w:left="1580" w:right="390" w:hanging="510"/>
        <w:jc w:val="both"/>
        <w:rPr>
          <w:sz w:val="20"/>
        </w:rPr>
      </w:pPr>
      <w:r>
        <w:rPr>
          <w:sz w:val="20"/>
        </w:rPr>
        <w:t>I2 La </w:t>
      </w:r>
      <w:r>
        <w:rPr>
          <w:i/>
          <w:sz w:val="20"/>
        </w:rPr>
        <w:t>impermeabilización </w:t>
      </w:r>
      <w:r>
        <w:rPr>
          <w:sz w:val="20"/>
        </w:rPr>
        <w:t>debe realizarse mediante la aplicación de una pintura </w:t>
      </w:r>
      <w:r>
        <w:rPr>
          <w:i/>
          <w:sz w:val="20"/>
        </w:rPr>
        <w:t>impermeabilizante </w:t>
      </w:r>
      <w:r>
        <w:rPr>
          <w:sz w:val="20"/>
        </w:rPr>
        <w:t>o según lo establecido en I1. En muros pantalla construidos con excavación, la </w:t>
      </w:r>
      <w:r>
        <w:rPr>
          <w:i/>
          <w:sz w:val="20"/>
        </w:rPr>
        <w:t>impermeabilización </w:t>
      </w:r>
      <w:r>
        <w:rPr>
          <w:sz w:val="20"/>
        </w:rPr>
        <w:t>se consigue mediante la utilización de lodos bentoníticos.</w:t>
      </w:r>
    </w:p>
    <w:p>
      <w:pPr>
        <w:pStyle w:val="BodyText"/>
        <w:spacing w:before="3"/>
        <w:rPr>
          <w:sz w:val="25"/>
        </w:rPr>
      </w:pPr>
    </w:p>
    <w:p>
      <w:pPr>
        <w:spacing w:before="0"/>
        <w:ind w:left="1958" w:right="418" w:firstLine="0"/>
        <w:jc w:val="left"/>
        <w:rPr>
          <w:sz w:val="16"/>
        </w:rPr>
      </w:pPr>
      <w:r>
        <w:rPr/>
        <w:pict>
          <v:line style="position:absolute;mso-position-horizontal-relative:page;mso-position-vertical-relative:paragraph;z-index:251676672" from="152.520004pt,-2.875793pt" to="152.520004pt,21.484207pt" stroked="true" strokeweight=".48pt" strokecolor="#000000">
            <v:stroke dashstyle="solid"/>
            <w10:wrap type="none"/>
          </v:line>
        </w:pict>
      </w:r>
      <w:r>
        <w:rPr>
          <w:sz w:val="16"/>
        </w:rPr>
        <w:t>La aplicación de los lodos bentoníticos permite evitar que se produzcan desprendimientos de las paredes de la excavación en el proceso constructivo del muro.</w:t>
      </w:r>
    </w:p>
    <w:p>
      <w:pPr>
        <w:pStyle w:val="BodyText"/>
        <w:rPr>
          <w:sz w:val="17"/>
        </w:rPr>
      </w:pPr>
    </w:p>
    <w:p>
      <w:pPr>
        <w:pStyle w:val="BodyText"/>
        <w:spacing w:before="94"/>
        <w:ind w:left="1580" w:right="391" w:hanging="510"/>
        <w:jc w:val="both"/>
      </w:pPr>
      <w:r>
        <w:rPr/>
        <w:t>I3 Cuando el muro sea de fábrica debe recubrirse por su cara interior con un revestimiento hidrófugo, tal como una capa de </w:t>
      </w:r>
      <w:r>
        <w:rPr>
          <w:i/>
        </w:rPr>
        <w:t>mortero hidrófugo </w:t>
      </w:r>
      <w:r>
        <w:rPr/>
        <w:t>sin revestir, una hoja de cartón-yeso sin yeso higroscópico u otro material no higroscópico.</w:t>
      </w:r>
    </w:p>
    <w:p>
      <w:pPr>
        <w:pStyle w:val="ListParagraph"/>
        <w:numPr>
          <w:ilvl w:val="0"/>
          <w:numId w:val="17"/>
        </w:numPr>
        <w:tabs>
          <w:tab w:pos="960" w:val="left" w:leader="none"/>
        </w:tabs>
        <w:spacing w:line="240" w:lineRule="auto" w:before="100" w:after="0"/>
        <w:ind w:left="960" w:right="0" w:hanging="382"/>
        <w:jc w:val="both"/>
        <w:rPr>
          <w:sz w:val="20"/>
        </w:rPr>
      </w:pPr>
      <w:r>
        <w:rPr>
          <w:i/>
          <w:sz w:val="20"/>
        </w:rPr>
        <w:t>Drenaje </w:t>
      </w:r>
      <w:r>
        <w:rPr>
          <w:sz w:val="20"/>
        </w:rPr>
        <w:t>y</w:t>
      </w:r>
      <w:r>
        <w:rPr>
          <w:spacing w:val="-1"/>
          <w:sz w:val="20"/>
        </w:rPr>
        <w:t> </w:t>
      </w:r>
      <w:r>
        <w:rPr>
          <w:sz w:val="20"/>
        </w:rPr>
        <w:t>evacuación:</w:t>
      </w:r>
    </w:p>
    <w:p>
      <w:pPr>
        <w:pStyle w:val="BodyText"/>
        <w:ind w:left="1580" w:right="390" w:hanging="510"/>
        <w:jc w:val="both"/>
      </w:pPr>
      <w:r>
        <w:rPr/>
        <w:t>D1 Debe disponerse una capa drenante y una capa filtrante entre el muro y el terreno o, cuando existe una capa de </w:t>
      </w:r>
      <w:r>
        <w:rPr>
          <w:i/>
        </w:rPr>
        <w:t>impermeabilización</w:t>
      </w:r>
      <w:r>
        <w:rPr/>
        <w:t>, entre ésta y el terreno. La capa drenante puede estar constituida por una </w:t>
      </w:r>
      <w:r>
        <w:rPr>
          <w:i/>
        </w:rPr>
        <w:t>lámina drenante</w:t>
      </w:r>
      <w:r>
        <w:rPr/>
        <w:t>, grava, una fábrica de bloques de arcilla porosos u otro material que produzca el mismo</w:t>
      </w:r>
      <w:r>
        <w:rPr>
          <w:spacing w:val="-10"/>
        </w:rPr>
        <w:t> </w:t>
      </w:r>
      <w:r>
        <w:rPr/>
        <w:t>efecto.</w:t>
      </w:r>
    </w:p>
    <w:p>
      <w:pPr>
        <w:pStyle w:val="BodyText"/>
        <w:spacing w:before="3"/>
        <w:rPr>
          <w:sz w:val="25"/>
        </w:rPr>
      </w:pPr>
    </w:p>
    <w:p>
      <w:pPr>
        <w:spacing w:before="0"/>
        <w:ind w:left="1958" w:right="0" w:firstLine="0"/>
        <w:jc w:val="left"/>
        <w:rPr>
          <w:sz w:val="16"/>
        </w:rPr>
      </w:pPr>
      <w:r>
        <w:rPr/>
        <w:pict>
          <v:line style="position:absolute;mso-position-horizontal-relative:page;mso-position-vertical-relative:paragraph;z-index:251677696" from="152.520004pt,-2.875779pt" to="152.520004pt,21.544221pt" stroked="true" strokeweight=".48pt" strokecolor="#000000">
            <v:stroke dashstyle="solid"/>
            <w10:wrap type="none"/>
          </v:line>
        </w:pict>
      </w:r>
      <w:r>
        <w:rPr>
          <w:sz w:val="16"/>
        </w:rPr>
        <w:t>La grava no se utiliza en el caso de empleo de manta de bentonita de sodio porque imposibilita su confi- namiento.</w:t>
      </w:r>
    </w:p>
    <w:p>
      <w:pPr>
        <w:pStyle w:val="BodyText"/>
        <w:rPr>
          <w:sz w:val="17"/>
        </w:rPr>
      </w:pPr>
    </w:p>
    <w:p>
      <w:pPr>
        <w:pStyle w:val="BodyText"/>
        <w:spacing w:before="94"/>
        <w:ind w:left="1580" w:right="390"/>
        <w:jc w:val="both"/>
      </w:pPr>
      <w:r>
        <w:rPr/>
        <w:t>Cuando la capa drenante sea una lámina, el remate superior de la lámina debe protegerse</w:t>
      </w:r>
      <w:r>
        <w:rPr>
          <w:spacing w:val="-4"/>
        </w:rPr>
        <w:t> </w:t>
      </w:r>
      <w:r>
        <w:rPr/>
        <w:t>de</w:t>
      </w:r>
      <w:r>
        <w:rPr>
          <w:spacing w:val="-3"/>
        </w:rPr>
        <w:t> </w:t>
      </w:r>
      <w:r>
        <w:rPr/>
        <w:t>la</w:t>
      </w:r>
      <w:r>
        <w:rPr>
          <w:spacing w:val="-3"/>
        </w:rPr>
        <w:t> </w:t>
      </w:r>
      <w:r>
        <w:rPr/>
        <w:t>entrada</w:t>
      </w:r>
      <w:r>
        <w:rPr>
          <w:spacing w:val="-3"/>
        </w:rPr>
        <w:t> </w:t>
      </w:r>
      <w:r>
        <w:rPr/>
        <w:t>de</w:t>
      </w:r>
      <w:r>
        <w:rPr>
          <w:spacing w:val="-3"/>
        </w:rPr>
        <w:t> </w:t>
      </w:r>
      <w:r>
        <w:rPr/>
        <w:t>agua</w:t>
      </w:r>
      <w:r>
        <w:rPr>
          <w:spacing w:val="-2"/>
        </w:rPr>
        <w:t> </w:t>
      </w:r>
      <w:r>
        <w:rPr/>
        <w:t>procedente</w:t>
      </w:r>
      <w:r>
        <w:rPr>
          <w:spacing w:val="-3"/>
        </w:rPr>
        <w:t> </w:t>
      </w:r>
      <w:r>
        <w:rPr/>
        <w:t>de</w:t>
      </w:r>
      <w:r>
        <w:rPr>
          <w:spacing w:val="-3"/>
        </w:rPr>
        <w:t> </w:t>
      </w:r>
      <w:r>
        <w:rPr/>
        <w:t>las</w:t>
      </w:r>
      <w:r>
        <w:rPr>
          <w:spacing w:val="-5"/>
        </w:rPr>
        <w:t> </w:t>
      </w:r>
      <w:r>
        <w:rPr/>
        <w:t>precipitaciones</w:t>
      </w:r>
      <w:r>
        <w:rPr>
          <w:spacing w:val="-3"/>
        </w:rPr>
        <w:t> </w:t>
      </w:r>
      <w:r>
        <w:rPr/>
        <w:t>y</w:t>
      </w:r>
      <w:r>
        <w:rPr>
          <w:spacing w:val="-4"/>
        </w:rPr>
        <w:t> </w:t>
      </w:r>
      <w:r>
        <w:rPr/>
        <w:t>de</w:t>
      </w:r>
      <w:r>
        <w:rPr>
          <w:spacing w:val="-4"/>
        </w:rPr>
        <w:t> </w:t>
      </w:r>
      <w:r>
        <w:rPr/>
        <w:t>las</w:t>
      </w:r>
      <w:r>
        <w:rPr>
          <w:spacing w:val="-4"/>
        </w:rPr>
        <w:t> </w:t>
      </w:r>
      <w:r>
        <w:rPr/>
        <w:t>escorrentías.</w:t>
      </w:r>
    </w:p>
    <w:p>
      <w:pPr>
        <w:pStyle w:val="BodyText"/>
        <w:ind w:left="1580" w:right="390" w:hanging="510"/>
        <w:jc w:val="both"/>
      </w:pPr>
      <w:r>
        <w:rPr/>
        <w:t>D2  Debe disponerse en la proximidad del muro un </w:t>
      </w:r>
      <w:r>
        <w:rPr>
          <w:i/>
        </w:rPr>
        <w:t>pozo drenante </w:t>
      </w:r>
      <w:r>
        <w:rPr/>
        <w:t>cada 50 m como máximo.   El pozo debe tener un diámetro interior igual o mayor que 0,7 m y debe disponer de una capa filtrante que impida el arrastre de finos y de dos bombas de achique para evacuar el agua a la red de saneamiento o a cualquier sistema de recogida para su reutilización posterior.</w:t>
      </w:r>
    </w:p>
    <w:p>
      <w:pPr>
        <w:pStyle w:val="BodyText"/>
      </w:pPr>
    </w:p>
    <w:p>
      <w:pPr>
        <w:pStyle w:val="BodyText"/>
        <w:spacing w:before="1"/>
        <w:ind w:left="1580" w:right="391" w:hanging="511"/>
        <w:jc w:val="both"/>
      </w:pPr>
      <w:r>
        <w:rPr/>
        <w:t>D3 Debe colocarse en el arranque del muro un </w:t>
      </w:r>
      <w:r>
        <w:rPr>
          <w:i/>
        </w:rPr>
        <w:t>tubo drenante </w:t>
      </w:r>
      <w:r>
        <w:rPr/>
        <w:t>conectado a la red de saneamiento o a cualquier sistema de recogida para su reutilización posterior y, cuando dicha conexión esté situada por encima de la red de </w:t>
      </w:r>
      <w:r>
        <w:rPr>
          <w:i/>
        </w:rPr>
        <w:t>drenaje</w:t>
      </w:r>
      <w:r>
        <w:rPr/>
        <w:t>, al menos una </w:t>
      </w:r>
      <w:r>
        <w:rPr>
          <w:i/>
        </w:rPr>
        <w:t>cámara de </w:t>
      </w:r>
      <w:r>
        <w:rPr>
          <w:i/>
        </w:rPr>
        <w:t>bombeo </w:t>
      </w:r>
      <w:r>
        <w:rPr/>
        <w:t>con dos bombas de achique.</w:t>
      </w:r>
    </w:p>
    <w:p>
      <w:pPr>
        <w:pStyle w:val="BodyText"/>
        <w:spacing w:before="11"/>
        <w:rPr>
          <w:sz w:val="19"/>
        </w:rPr>
      </w:pPr>
    </w:p>
    <w:p>
      <w:pPr>
        <w:pStyle w:val="BodyText"/>
        <w:ind w:left="1580" w:right="390" w:hanging="510"/>
        <w:jc w:val="both"/>
      </w:pPr>
      <w:r>
        <w:rPr/>
        <w:t>D4 Deben construirse canaletas de recogida de agua en la cámara del muro conectadas a la red de saneamiento o a cualquier sistema de recogida para su reutilización posterior y, cuando dicha conexión esté situada por encima de las canaletas, al menos una </w:t>
      </w:r>
      <w:r>
        <w:rPr>
          <w:i/>
        </w:rPr>
        <w:t>cámara </w:t>
      </w:r>
      <w:r>
        <w:rPr>
          <w:i/>
        </w:rPr>
        <w:t>de bombeo </w:t>
      </w:r>
      <w:r>
        <w:rPr/>
        <w:t>con dos bombas de</w:t>
      </w:r>
      <w:r>
        <w:rPr>
          <w:spacing w:val="-3"/>
        </w:rPr>
        <w:t> </w:t>
      </w:r>
      <w:r>
        <w:rPr/>
        <w:t>achique.</w:t>
      </w:r>
    </w:p>
    <w:p>
      <w:pPr>
        <w:spacing w:after="0"/>
        <w:jc w:val="both"/>
        <w:sectPr>
          <w:pgSz w:w="11910" w:h="16840"/>
          <w:pgMar w:header="724" w:footer="636" w:top="1320" w:bottom="840" w:left="1200" w:right="738"/>
        </w:sectPr>
      </w:pPr>
    </w:p>
    <w:p>
      <w:pPr>
        <w:spacing w:before="150"/>
        <w:ind w:left="1958" w:right="0" w:firstLine="0"/>
        <w:jc w:val="left"/>
        <w:rPr>
          <w:sz w:val="16"/>
        </w:rPr>
      </w:pPr>
      <w:r>
        <w:rPr/>
        <w:pict>
          <v:line style="position:absolute;mso-position-horizontal-relative:page;mso-position-vertical-relative:paragraph;z-index:251679744" from="152.520004pt,4.624224pt" to="152.520004pt,19.804224pt" stroked="true" strokeweight=".48pt" strokecolor="#000000">
            <v:stroke dashstyle="solid"/>
            <w10:wrap type="none"/>
          </v:line>
        </w:pict>
      </w:r>
      <w:r>
        <w:rPr>
          <w:sz w:val="16"/>
        </w:rPr>
        <w:t>Por motivos de sostenibilidad es preferible la reutilización del agua drenada en D2, D3 y</w:t>
      </w:r>
      <w:r>
        <w:rPr>
          <w:spacing w:val="-19"/>
          <w:sz w:val="16"/>
        </w:rPr>
        <w:t> </w:t>
      </w:r>
      <w:r>
        <w:rPr>
          <w:sz w:val="16"/>
        </w:rPr>
        <w:t>D4.</w:t>
      </w:r>
    </w:p>
    <w:p>
      <w:pPr>
        <w:pStyle w:val="BodyText"/>
        <w:rPr>
          <w:sz w:val="17"/>
        </w:rPr>
      </w:pPr>
    </w:p>
    <w:p>
      <w:pPr>
        <w:pStyle w:val="BodyText"/>
        <w:spacing w:before="94"/>
        <w:ind w:left="1580" w:right="391" w:hanging="510"/>
        <w:jc w:val="both"/>
      </w:pPr>
      <w:r>
        <w:rPr/>
        <w:t>D5  Debe disponerse una red de evacuación del agua de lluvia en las partes de la cubierta y  del terreno que puedan afectar al muro y debe conectarse aquélla a la red de saneamiento o a cualquier sistema de recogida para su reutilización</w:t>
      </w:r>
      <w:r>
        <w:rPr>
          <w:spacing w:val="-22"/>
        </w:rPr>
        <w:t> </w:t>
      </w:r>
      <w:r>
        <w:rPr/>
        <w:t>posterior.</w:t>
      </w:r>
    </w:p>
    <w:p>
      <w:pPr>
        <w:pStyle w:val="BodyText"/>
        <w:spacing w:before="100"/>
        <w:ind w:left="578"/>
        <w:jc w:val="both"/>
      </w:pPr>
      <w:r>
        <w:rPr/>
        <w:t>V) Ventilación de la cámara:</w:t>
      </w:r>
    </w:p>
    <w:p>
      <w:pPr>
        <w:pStyle w:val="BodyText"/>
        <w:spacing w:line="237" w:lineRule="auto" w:before="2"/>
        <w:ind w:left="1580" w:right="390" w:hanging="510"/>
        <w:jc w:val="both"/>
      </w:pPr>
      <w:r>
        <w:rPr/>
        <w:t>V1  Deben disponerse aberturas de ventilación en el arranque y la coronación de la hoja  interior y ventilarse el local al que se abren dichas aberturas con un caudal de, al menos, 0,7 l/s por cada m</w:t>
      </w:r>
      <w:r>
        <w:rPr>
          <w:position w:val="7"/>
          <w:sz w:val="13"/>
        </w:rPr>
        <w:t>2 </w:t>
      </w:r>
      <w:r>
        <w:rPr/>
        <w:t>de superficie útil del</w:t>
      </w:r>
      <w:r>
        <w:rPr>
          <w:spacing w:val="-27"/>
        </w:rPr>
        <w:t> </w:t>
      </w:r>
      <w:r>
        <w:rPr/>
        <w:t>mismo.</w:t>
      </w:r>
    </w:p>
    <w:p>
      <w:pPr>
        <w:pStyle w:val="BodyText"/>
        <w:spacing w:line="235" w:lineRule="auto" w:before="4"/>
        <w:ind w:left="1580" w:right="391"/>
        <w:jc w:val="both"/>
      </w:pPr>
      <w:r>
        <w:rPr/>
        <w:t>Las aberturas de ventilación deben estar repartidas al 50% entre la parte inferior y la coronación de la hoja interior junto al techo, distribuidas regularmente y dispuestas al </w:t>
      </w:r>
      <w:r>
        <w:rPr>
          <w:position w:val="1"/>
        </w:rPr>
        <w:t>tresbolillo. La relación entre el </w:t>
      </w:r>
      <w:r>
        <w:rPr>
          <w:i/>
          <w:position w:val="1"/>
        </w:rPr>
        <w:t>área efectiva </w:t>
      </w:r>
      <w:r>
        <w:rPr>
          <w:position w:val="1"/>
        </w:rPr>
        <w:t>total de las aberturas, S</w:t>
      </w:r>
      <w:r>
        <w:rPr>
          <w:sz w:val="13"/>
        </w:rPr>
        <w:t>s</w:t>
      </w:r>
      <w:r>
        <w:rPr>
          <w:position w:val="1"/>
        </w:rPr>
        <w:t>, en cm</w:t>
      </w:r>
      <w:r>
        <w:rPr>
          <w:position w:val="1"/>
          <w:vertAlign w:val="superscript"/>
        </w:rPr>
        <w:t>2</w:t>
      </w:r>
      <w:r>
        <w:rPr>
          <w:position w:val="1"/>
          <w:vertAlign w:val="baseline"/>
        </w:rPr>
        <w:t>, y la superficie de la hoja interior, A</w:t>
      </w:r>
      <w:r>
        <w:rPr>
          <w:sz w:val="13"/>
          <w:vertAlign w:val="baseline"/>
        </w:rPr>
        <w:t>h</w:t>
      </w:r>
      <w:r>
        <w:rPr>
          <w:position w:val="1"/>
          <w:vertAlign w:val="baseline"/>
        </w:rPr>
        <w:t>, en m</w:t>
      </w:r>
      <w:r>
        <w:rPr>
          <w:position w:val="1"/>
          <w:vertAlign w:val="superscript"/>
        </w:rPr>
        <w:t>2</w:t>
      </w:r>
      <w:r>
        <w:rPr>
          <w:position w:val="1"/>
          <w:vertAlign w:val="baseline"/>
        </w:rPr>
        <w:t>, debe cumplir la siguiente condición:</w:t>
      </w:r>
    </w:p>
    <w:p>
      <w:pPr>
        <w:spacing w:after="0" w:line="235" w:lineRule="auto"/>
        <w:jc w:val="both"/>
        <w:sectPr>
          <w:pgSz w:w="11910" w:h="16840"/>
          <w:pgMar w:header="724" w:footer="636" w:top="1320" w:bottom="840" w:left="1200" w:right="738"/>
        </w:sectPr>
      </w:pPr>
    </w:p>
    <w:p>
      <w:pPr>
        <w:pStyle w:val="BodyText"/>
        <w:spacing w:line="324" w:lineRule="exact" w:before="19"/>
        <w:ind w:right="9"/>
        <w:jc w:val="right"/>
        <w:rPr>
          <w:sz w:val="14"/>
        </w:rPr>
      </w:pPr>
      <w:r>
        <w:rPr/>
        <w:pict>
          <v:line style="position:absolute;mso-position-horizontal-relative:page;mso-position-vertical-relative:paragraph;z-index:-267291648" from="163.5pt,14.369763pt" to="177.84pt,14.369763pt" stroked="true" strokeweight=".499pt" strokecolor="#000000">
            <v:stroke dashstyle="solid"/>
            <w10:wrap type="none"/>
          </v:line>
        </w:pict>
      </w:r>
      <w:r>
        <w:rPr/>
        <w:t>30 &gt; </w:t>
      </w:r>
      <w:r>
        <w:rPr>
          <w:spacing w:val="3"/>
        </w:rPr>
        <w:t> </w:t>
      </w:r>
      <w:r>
        <w:rPr>
          <w:spacing w:val="6"/>
          <w:position w:val="13"/>
        </w:rPr>
        <w:t>S</w:t>
      </w:r>
      <w:r>
        <w:rPr>
          <w:spacing w:val="6"/>
          <w:position w:val="8"/>
          <w:sz w:val="14"/>
        </w:rPr>
        <w:t>s</w:t>
      </w:r>
    </w:p>
    <w:p>
      <w:pPr>
        <w:spacing w:line="231" w:lineRule="exact" w:before="0"/>
        <w:ind w:left="0" w:right="0" w:firstLine="0"/>
        <w:jc w:val="right"/>
        <w:rPr>
          <w:sz w:val="14"/>
        </w:rPr>
      </w:pPr>
      <w:r>
        <w:rPr>
          <w:spacing w:val="8"/>
          <w:sz w:val="20"/>
        </w:rPr>
        <w:t>A</w:t>
      </w:r>
      <w:r>
        <w:rPr>
          <w:spacing w:val="8"/>
          <w:position w:val="-4"/>
          <w:sz w:val="14"/>
        </w:rPr>
        <w:t>h</w:t>
      </w:r>
    </w:p>
    <w:p>
      <w:pPr>
        <w:pStyle w:val="BodyText"/>
        <w:tabs>
          <w:tab w:pos="6648" w:val="left" w:leader="none"/>
        </w:tabs>
        <w:spacing w:before="149"/>
        <w:ind w:left="108"/>
      </w:pPr>
      <w:r>
        <w:rPr/>
        <w:br w:type="column"/>
      </w:r>
      <w:r>
        <w:rPr/>
        <w:t>&gt;</w:t>
      </w:r>
      <w:r>
        <w:rPr>
          <w:spacing w:val="-1"/>
        </w:rPr>
        <w:t> </w:t>
      </w:r>
      <w:r>
        <w:rPr/>
        <w:t>10</w:t>
        <w:tab/>
        <w:t>(2.1)</w:t>
      </w:r>
    </w:p>
    <w:p>
      <w:pPr>
        <w:spacing w:after="0"/>
        <w:sectPr>
          <w:type w:val="continuous"/>
          <w:pgSz w:w="11910" w:h="16840"/>
          <w:pgMar w:top="1580" w:bottom="280" w:left="1200" w:right="738"/>
          <w:cols w:num="2" w:equalWidth="0">
            <w:col w:w="2319" w:space="40"/>
            <w:col w:w="7613"/>
          </w:cols>
        </w:sectPr>
      </w:pPr>
    </w:p>
    <w:p>
      <w:pPr>
        <w:pStyle w:val="BodyText"/>
        <w:spacing w:before="21"/>
        <w:ind w:left="655" w:right="236"/>
        <w:jc w:val="center"/>
      </w:pPr>
      <w:r>
        <w:rPr/>
        <w:t>La distancia entre aberturas de ventilación contiguas no debe ser mayor que 5 m.</w:t>
      </w:r>
    </w:p>
    <w:p>
      <w:pPr>
        <w:pStyle w:val="BodyText"/>
        <w:spacing w:before="6"/>
        <w:rPr>
          <w:sz w:val="17"/>
        </w:rPr>
      </w:pPr>
    </w:p>
    <w:p>
      <w:pPr>
        <w:pStyle w:val="Heading5"/>
        <w:numPr>
          <w:ilvl w:val="2"/>
          <w:numId w:val="14"/>
        </w:numPr>
        <w:tabs>
          <w:tab w:pos="786" w:val="left" w:leader="none"/>
        </w:tabs>
        <w:spacing w:line="240" w:lineRule="auto" w:before="0" w:after="0"/>
        <w:ind w:left="785" w:right="0" w:hanging="568"/>
        <w:jc w:val="left"/>
      </w:pPr>
      <w:r>
        <w:rPr/>
        <w:t>Condiciones de los puntos</w:t>
      </w:r>
      <w:r>
        <w:rPr>
          <w:spacing w:val="-3"/>
        </w:rPr>
        <w:t> </w:t>
      </w:r>
      <w:r>
        <w:rPr/>
        <w:t>singulares</w:t>
      </w:r>
    </w:p>
    <w:p>
      <w:pPr>
        <w:pStyle w:val="BodyText"/>
        <w:spacing w:before="158"/>
        <w:ind w:left="672" w:right="390" w:hanging="454"/>
        <w:jc w:val="both"/>
      </w:pPr>
      <w:r>
        <w:rPr/>
        <w:t>1 Deben respetarse las condiciones de disposición de bandas de refuerzo y de terminación, las de continuidad o discontinuidad, así como cualquier otra que afecte al diseño, relativas al sistema de </w:t>
      </w:r>
      <w:r>
        <w:rPr>
          <w:i/>
        </w:rPr>
        <w:t>impermeabilización </w:t>
      </w:r>
      <w:r>
        <w:rPr/>
        <w:t>que se emplee.</w:t>
      </w:r>
    </w:p>
    <w:p>
      <w:pPr>
        <w:pStyle w:val="BodyText"/>
        <w:spacing w:before="9"/>
        <w:rPr>
          <w:sz w:val="22"/>
        </w:rPr>
      </w:pPr>
    </w:p>
    <w:p>
      <w:pPr>
        <w:pStyle w:val="Heading5"/>
        <w:numPr>
          <w:ilvl w:val="3"/>
          <w:numId w:val="14"/>
        </w:numPr>
        <w:tabs>
          <w:tab w:pos="928" w:val="left" w:leader="none"/>
        </w:tabs>
        <w:spacing w:line="240" w:lineRule="auto" w:before="0" w:after="0"/>
        <w:ind w:left="927" w:right="0" w:hanging="710"/>
        <w:jc w:val="left"/>
      </w:pPr>
      <w:r>
        <w:rPr/>
        <w:t>Encuentros del muro con las</w:t>
      </w:r>
      <w:r>
        <w:rPr>
          <w:spacing w:val="-3"/>
        </w:rPr>
        <w:t> </w:t>
      </w:r>
      <w:r>
        <w:rPr/>
        <w:t>fachadas</w:t>
      </w:r>
    </w:p>
    <w:p>
      <w:pPr>
        <w:pStyle w:val="ListParagraph"/>
        <w:numPr>
          <w:ilvl w:val="0"/>
          <w:numId w:val="18"/>
        </w:numPr>
        <w:tabs>
          <w:tab w:pos="672" w:val="left" w:leader="none"/>
        </w:tabs>
        <w:spacing w:line="240" w:lineRule="auto" w:before="159" w:after="0"/>
        <w:ind w:left="671" w:right="391" w:hanging="454"/>
        <w:jc w:val="both"/>
        <w:rPr>
          <w:sz w:val="20"/>
        </w:rPr>
      </w:pPr>
      <w:r>
        <w:rPr>
          <w:sz w:val="20"/>
        </w:rPr>
        <w:t>Cuando el muro se impermeabilice por el interior, en los arranques de la fachada sobre el mismo, el </w:t>
      </w:r>
      <w:r>
        <w:rPr>
          <w:i/>
          <w:sz w:val="20"/>
        </w:rPr>
        <w:t>impermeabilizante </w:t>
      </w:r>
      <w:r>
        <w:rPr>
          <w:sz w:val="20"/>
        </w:rPr>
        <w:t>debe prolongarse sobre el muro en todo su espesor a más de 15 cm por encima del nivel del suelo exterior sobre una banda de refuerzo del mismo material que la barrera impermeable utilizada que debe prolongarse hacia abajo 20 cm, como mínimo, a lo largo del paramento del muro. Sobre la barrera impermeable debe disponerse una </w:t>
      </w:r>
      <w:r>
        <w:rPr>
          <w:i/>
          <w:sz w:val="20"/>
        </w:rPr>
        <w:t>capa </w:t>
      </w:r>
      <w:r>
        <w:rPr>
          <w:sz w:val="20"/>
        </w:rPr>
        <w:t>de mortero de regulación de 2 cm de espesor como</w:t>
      </w:r>
      <w:r>
        <w:rPr>
          <w:spacing w:val="-2"/>
          <w:sz w:val="20"/>
        </w:rPr>
        <w:t> </w:t>
      </w:r>
      <w:r>
        <w:rPr>
          <w:sz w:val="20"/>
        </w:rPr>
        <w:t>mínimo.</w:t>
      </w:r>
    </w:p>
    <w:p>
      <w:pPr>
        <w:pStyle w:val="ListParagraph"/>
        <w:numPr>
          <w:ilvl w:val="0"/>
          <w:numId w:val="18"/>
        </w:numPr>
        <w:tabs>
          <w:tab w:pos="672" w:val="left" w:leader="none"/>
        </w:tabs>
        <w:spacing w:line="240" w:lineRule="auto" w:before="120" w:after="0"/>
        <w:ind w:left="671" w:right="391" w:hanging="454"/>
        <w:jc w:val="both"/>
        <w:rPr>
          <w:sz w:val="20"/>
        </w:rPr>
      </w:pPr>
      <w:r>
        <w:rPr>
          <w:sz w:val="20"/>
        </w:rPr>
        <w:t>En el mismo caso cuando el muro se impermeabilice con lámina, entre el </w:t>
      </w:r>
      <w:r>
        <w:rPr>
          <w:i/>
          <w:sz w:val="20"/>
        </w:rPr>
        <w:t>impermeabilizante </w:t>
      </w:r>
      <w:r>
        <w:rPr>
          <w:sz w:val="20"/>
        </w:rPr>
        <w:t>y la capa de mortero, debe disponerse una banda de terminación adherida del mismo material que la banda de refuerzo, y debe prolongarse verticalmente a lo largo del paramento del muro hasta 10 cm, como mínimo, por debajo del borde inferior de la banda de refuerzo (Véase la figura</w:t>
      </w:r>
      <w:r>
        <w:rPr>
          <w:spacing w:val="-32"/>
          <w:sz w:val="20"/>
        </w:rPr>
        <w:t> </w:t>
      </w:r>
      <w:r>
        <w:rPr>
          <w:sz w:val="20"/>
        </w:rPr>
        <w:t>2.1).</w:t>
      </w:r>
    </w:p>
    <w:p>
      <w:pPr>
        <w:pStyle w:val="BodyText"/>
        <w:spacing w:before="8"/>
        <w:rPr>
          <w:sz w:val="10"/>
        </w:rPr>
      </w:pPr>
      <w:r>
        <w:rPr/>
        <w:pict>
          <v:group style="position:absolute;margin-left:181.835007pt;margin-top:8.155957pt;width:268.9pt;height:143.050pt;mso-position-horizontal-relative:page;mso-position-vertical-relative:paragraph;z-index:-251637760;mso-wrap-distance-left:0;mso-wrap-distance-right:0" coordorigin="3637,163" coordsize="5378,2861">
            <v:line style="position:absolute" from="6934,3018" to="6857,3018" stroked="true" strokeweight=".449pt" strokecolor="#000000">
              <v:stroke dashstyle="solid"/>
            </v:line>
            <v:line style="position:absolute" from="6934,168" to="6870,168" stroked="true" strokeweight=".449pt" strokecolor="#000000">
              <v:stroke dashstyle="solid"/>
            </v:line>
            <v:line style="position:absolute" from="6807,168" to="6807,168" stroked="true" strokeweight=".449pt" strokecolor="#000000">
              <v:stroke dashstyle="solid"/>
            </v:line>
            <v:shape style="position:absolute;left:5409;top:167;width:65;height:2" coordorigin="5410,168" coordsize="65,0" path="m5474,168l5410,168,5410,168e" filled="false" stroked="true" strokeweight=".449pt" strokecolor="#000000">
              <v:path arrowok="t"/>
              <v:stroke dashstyle="solid"/>
            </v:shape>
            <v:rect style="position:absolute;left:6832;top:2371;width:17;height:53" filled="true" fillcolor="#000000" stroked="false">
              <v:fill type="solid"/>
            </v:rect>
            <v:rect style="position:absolute;left:6832;top:2371;width:17;height:53" filled="false" stroked="true" strokeweight=".18pt" strokecolor="#000000">
              <v:stroke dashstyle="solid"/>
            </v:rect>
            <v:rect style="position:absolute;left:6789;top:2344;width:17;height:53" filled="true" fillcolor="#000000" stroked="false">
              <v:fill type="solid"/>
            </v:rect>
            <v:rect style="position:absolute;left:6789;top:2344;width:17;height:53" filled="false" stroked="true" strokeweight=".18pt" strokecolor="#000000">
              <v:stroke dashstyle="solid"/>
            </v:rect>
            <v:shape style="position:absolute;left:3636;top:163;width:5378;height:2861" type="#_x0000_t75" stroked="false">
              <v:imagedata r:id="rId9" o:title=""/>
            </v:shape>
            <w10:wrap type="topAndBottom"/>
          </v:group>
        </w:pict>
      </w:r>
    </w:p>
    <w:p>
      <w:pPr>
        <w:spacing w:before="66"/>
        <w:ind w:left="369" w:right="0" w:firstLine="0"/>
        <w:jc w:val="both"/>
        <w:rPr>
          <w:b/>
          <w:sz w:val="18"/>
        </w:rPr>
      </w:pPr>
      <w:r>
        <w:rPr>
          <w:b/>
          <w:sz w:val="18"/>
        </w:rPr>
        <w:t>Figura 2.1 Ejemplo de encuentro de un muro impermeabilizado por el interior con lámina con una fachada</w:t>
      </w:r>
    </w:p>
    <w:p>
      <w:pPr>
        <w:pStyle w:val="ListParagraph"/>
        <w:numPr>
          <w:ilvl w:val="0"/>
          <w:numId w:val="18"/>
        </w:numPr>
        <w:tabs>
          <w:tab w:pos="672" w:val="left" w:leader="none"/>
        </w:tabs>
        <w:spacing w:line="240" w:lineRule="auto" w:before="61" w:after="0"/>
        <w:ind w:left="672" w:right="392" w:hanging="454"/>
        <w:jc w:val="both"/>
        <w:rPr>
          <w:sz w:val="20"/>
        </w:rPr>
      </w:pPr>
      <w:r>
        <w:rPr>
          <w:sz w:val="20"/>
        </w:rPr>
        <w:t>Cuando el muro se impermeabilice por el exterior, en los arranques de las fachadas sobre el mismo, el </w:t>
      </w:r>
      <w:r>
        <w:rPr>
          <w:i/>
          <w:sz w:val="20"/>
        </w:rPr>
        <w:t>impermeabilizante </w:t>
      </w:r>
      <w:r>
        <w:rPr>
          <w:sz w:val="20"/>
        </w:rPr>
        <w:t>debe prolongarse más de 15 cm por encima del nivel del suelo exterior y el remate superior del </w:t>
      </w:r>
      <w:r>
        <w:rPr>
          <w:i/>
          <w:sz w:val="20"/>
        </w:rPr>
        <w:t>impermeabilizante </w:t>
      </w:r>
      <w:r>
        <w:rPr>
          <w:sz w:val="20"/>
        </w:rPr>
        <w:t>debe realizarse según lo descrito en el apartado 2.4.4.1.2 o disponiendo un zócalo según lo descrito en el apartado</w:t>
      </w:r>
      <w:r>
        <w:rPr>
          <w:spacing w:val="-6"/>
          <w:sz w:val="20"/>
        </w:rPr>
        <w:t> </w:t>
      </w:r>
      <w:r>
        <w:rPr>
          <w:sz w:val="20"/>
        </w:rPr>
        <w:t>2.3.3.2.</w:t>
      </w:r>
    </w:p>
    <w:p>
      <w:pPr>
        <w:pStyle w:val="ListParagraph"/>
        <w:numPr>
          <w:ilvl w:val="0"/>
          <w:numId w:val="18"/>
        </w:numPr>
        <w:tabs>
          <w:tab w:pos="673" w:val="left" w:leader="none"/>
        </w:tabs>
        <w:spacing w:line="240" w:lineRule="auto" w:before="119" w:after="0"/>
        <w:ind w:left="672" w:right="390" w:hanging="454"/>
        <w:jc w:val="both"/>
        <w:rPr>
          <w:sz w:val="20"/>
        </w:rPr>
      </w:pPr>
      <w:r>
        <w:rPr>
          <w:sz w:val="20"/>
        </w:rPr>
        <w:t>Deben respetarse las condiciones de disposición de bandas de refuerzo y de terminación así como las de continuidad o discontinuidad, correspondientes al sistema de </w:t>
      </w:r>
      <w:r>
        <w:rPr>
          <w:i/>
          <w:sz w:val="20"/>
        </w:rPr>
        <w:t>impermeabilización </w:t>
      </w:r>
      <w:r>
        <w:rPr>
          <w:sz w:val="20"/>
        </w:rPr>
        <w:t>que se emplee.</w:t>
      </w:r>
    </w:p>
    <w:p>
      <w:pPr>
        <w:spacing w:after="0" w:line="240" w:lineRule="auto"/>
        <w:jc w:val="both"/>
        <w:rPr>
          <w:sz w:val="20"/>
        </w:rPr>
        <w:sectPr>
          <w:type w:val="continuous"/>
          <w:pgSz w:w="11910" w:h="16840"/>
          <w:pgMar w:top="1580" w:bottom="280" w:left="1200" w:right="738"/>
        </w:sectPr>
      </w:pPr>
    </w:p>
    <w:p>
      <w:pPr>
        <w:spacing w:before="150"/>
        <w:ind w:left="1958" w:right="0" w:firstLine="0"/>
        <w:jc w:val="left"/>
        <w:rPr>
          <w:sz w:val="16"/>
        </w:rPr>
      </w:pPr>
      <w:r>
        <w:rPr/>
        <w:pict>
          <v:line style="position:absolute;mso-position-horizontal-relative:page;mso-position-vertical-relative:paragraph;z-index:251681792" from="152.520004pt,4.624224pt" to="152.520004pt,28.984224pt" stroked="true" strokeweight=".48pt" strokecolor="#000000">
            <v:stroke dashstyle="solid"/>
            <w10:wrap type="none"/>
          </v:line>
        </w:pict>
      </w:r>
      <w:r>
        <w:rPr>
          <w:sz w:val="16"/>
        </w:rPr>
        <w:t>Se pretende limitar el riesgo de que el agua del terreno o que pueda estar presente en el muro suba por capilaridad a la fachada.</w:t>
      </w:r>
    </w:p>
    <w:p>
      <w:pPr>
        <w:pStyle w:val="BodyText"/>
      </w:pPr>
    </w:p>
    <w:p>
      <w:pPr>
        <w:pStyle w:val="BodyText"/>
        <w:spacing w:before="11"/>
        <w:rPr>
          <w:sz w:val="24"/>
        </w:rPr>
      </w:pPr>
    </w:p>
    <w:p>
      <w:pPr>
        <w:pStyle w:val="Heading5"/>
        <w:numPr>
          <w:ilvl w:val="3"/>
          <w:numId w:val="14"/>
        </w:numPr>
        <w:tabs>
          <w:tab w:pos="928" w:val="left" w:leader="none"/>
        </w:tabs>
        <w:spacing w:line="240" w:lineRule="auto" w:before="94" w:after="0"/>
        <w:ind w:left="927" w:right="0" w:hanging="710"/>
        <w:jc w:val="left"/>
      </w:pPr>
      <w:r>
        <w:rPr/>
        <w:t>Encuentros del muro con las cubiertas</w:t>
      </w:r>
      <w:r>
        <w:rPr>
          <w:spacing w:val="-8"/>
        </w:rPr>
        <w:t> </w:t>
      </w:r>
      <w:r>
        <w:rPr/>
        <w:t>enterradas</w:t>
      </w:r>
    </w:p>
    <w:p>
      <w:pPr>
        <w:pStyle w:val="BodyText"/>
        <w:tabs>
          <w:tab w:pos="671" w:val="left" w:leader="none"/>
        </w:tabs>
        <w:spacing w:before="159"/>
        <w:ind w:left="671" w:right="418" w:hanging="454"/>
      </w:pPr>
      <w:r>
        <w:rPr/>
        <w:t>1</w:t>
        <w:tab/>
        <w:t>Cuando el muro se impermeabilice por el exterior, el </w:t>
      </w:r>
      <w:r>
        <w:rPr>
          <w:i/>
        </w:rPr>
        <w:t>impermeabilizante </w:t>
      </w:r>
      <w:r>
        <w:rPr/>
        <w:t>del muro debe soldarse o unirse al de la</w:t>
      </w:r>
      <w:r>
        <w:rPr>
          <w:spacing w:val="-1"/>
        </w:rPr>
        <w:t> </w:t>
      </w:r>
      <w:r>
        <w:rPr/>
        <w:t>cubierta.</w:t>
      </w:r>
    </w:p>
    <w:p>
      <w:pPr>
        <w:pStyle w:val="BodyText"/>
        <w:rPr>
          <w:sz w:val="22"/>
        </w:rPr>
      </w:pPr>
    </w:p>
    <w:p>
      <w:pPr>
        <w:pStyle w:val="BodyText"/>
        <w:spacing w:before="10"/>
        <w:rPr>
          <w:sz w:val="18"/>
        </w:rPr>
      </w:pPr>
    </w:p>
    <w:p>
      <w:pPr>
        <w:spacing w:before="0"/>
        <w:ind w:left="1958" w:right="0" w:firstLine="0"/>
        <w:jc w:val="left"/>
        <w:rPr>
          <w:sz w:val="16"/>
        </w:rPr>
      </w:pPr>
      <w:r>
        <w:rPr/>
        <w:pict>
          <v:line style="position:absolute;mso-position-horizontal-relative:page;mso-position-vertical-relative:paragraph;z-index:251682816" from="152.520004pt,-2.875801pt" to="152.520004pt,21.484199pt" stroked="true" strokeweight=".48pt" strokecolor="#000000">
            <v:stroke dashstyle="solid"/>
            <w10:wrap type="none"/>
          </v:line>
        </w:pict>
      </w:r>
      <w:r>
        <w:rPr>
          <w:sz w:val="16"/>
        </w:rPr>
        <w:t>Se pretende limitar el riesgo de que el agua del terreno pueda penetrar por una discontinuidad entre el impermeabilizante del muro y el de la cubierta.</w:t>
      </w:r>
    </w:p>
    <w:p>
      <w:pPr>
        <w:pStyle w:val="BodyText"/>
      </w:pPr>
    </w:p>
    <w:p>
      <w:pPr>
        <w:pStyle w:val="BodyText"/>
        <w:spacing w:before="11"/>
        <w:rPr>
          <w:sz w:val="24"/>
        </w:rPr>
      </w:pPr>
    </w:p>
    <w:p>
      <w:pPr>
        <w:pStyle w:val="Heading5"/>
        <w:numPr>
          <w:ilvl w:val="3"/>
          <w:numId w:val="14"/>
        </w:numPr>
        <w:tabs>
          <w:tab w:pos="928" w:val="left" w:leader="none"/>
        </w:tabs>
        <w:spacing w:line="240" w:lineRule="auto" w:before="94" w:after="0"/>
        <w:ind w:left="927" w:right="0" w:hanging="710"/>
        <w:jc w:val="left"/>
      </w:pPr>
      <w:r>
        <w:rPr/>
        <w:t>Encuentros del muro con las particiones</w:t>
      </w:r>
      <w:r>
        <w:rPr>
          <w:spacing w:val="-7"/>
        </w:rPr>
        <w:t> </w:t>
      </w:r>
      <w:r>
        <w:rPr/>
        <w:t>interiores</w:t>
      </w:r>
    </w:p>
    <w:p>
      <w:pPr>
        <w:pStyle w:val="BodyText"/>
        <w:spacing w:before="158"/>
        <w:ind w:left="671" w:right="392" w:hanging="454"/>
        <w:jc w:val="both"/>
      </w:pPr>
      <w:r>
        <w:rPr/>
        <w:t>1 Cuando el muro se impermeabilice por el interior las  particiones  deben  construirse  una  vez  realizada la </w:t>
      </w:r>
      <w:r>
        <w:rPr>
          <w:i/>
        </w:rPr>
        <w:t>impermeabilización </w:t>
      </w:r>
      <w:r>
        <w:rPr/>
        <w:t>y entre el muro y cada partición debe disponerse una junta sellada con material elástico que, cuando vaya a estar en contacto con el material </w:t>
      </w:r>
      <w:r>
        <w:rPr>
          <w:i/>
        </w:rPr>
        <w:t>impermeabilizante</w:t>
      </w:r>
      <w:r>
        <w:rPr/>
        <w:t>, debe ser compatible con</w:t>
      </w:r>
      <w:r>
        <w:rPr>
          <w:spacing w:val="-3"/>
        </w:rPr>
        <w:t> </w:t>
      </w:r>
      <w:r>
        <w:rPr/>
        <w:t>él.</w:t>
      </w:r>
    </w:p>
    <w:p>
      <w:pPr>
        <w:pStyle w:val="BodyText"/>
        <w:rPr>
          <w:sz w:val="22"/>
        </w:rPr>
      </w:pPr>
    </w:p>
    <w:p>
      <w:pPr>
        <w:pStyle w:val="BodyText"/>
        <w:spacing w:before="11"/>
        <w:rPr>
          <w:sz w:val="18"/>
        </w:rPr>
      </w:pPr>
    </w:p>
    <w:p>
      <w:pPr>
        <w:spacing w:before="0"/>
        <w:ind w:left="1958" w:right="0" w:firstLine="0"/>
        <w:jc w:val="left"/>
        <w:rPr>
          <w:sz w:val="16"/>
        </w:rPr>
      </w:pPr>
      <w:r>
        <w:rPr/>
        <w:pict>
          <v:line style="position:absolute;mso-position-horizontal-relative:page;mso-position-vertical-relative:paragraph;z-index:251683840" from="152.520004pt,-2.875806pt" to="152.520004pt,21.484194pt" stroked="true" strokeweight=".48pt" strokecolor="#000000">
            <v:stroke dashstyle="solid"/>
            <w10:wrap type="none"/>
          </v:line>
        </w:pict>
      </w:r>
      <w:r>
        <w:rPr>
          <w:sz w:val="16"/>
        </w:rPr>
        <w:t>Se pretende limitar el riesgo de que el agua del terreno pueda penetrar por una discontinuidad del imper- meabilizante del muro en los puntos donde éste se une a una partición.</w:t>
      </w:r>
    </w:p>
    <w:p>
      <w:pPr>
        <w:pStyle w:val="BodyText"/>
      </w:pPr>
    </w:p>
    <w:p>
      <w:pPr>
        <w:pStyle w:val="BodyText"/>
        <w:spacing w:before="11"/>
        <w:rPr>
          <w:sz w:val="24"/>
        </w:rPr>
      </w:pPr>
    </w:p>
    <w:p>
      <w:pPr>
        <w:pStyle w:val="Heading5"/>
        <w:numPr>
          <w:ilvl w:val="3"/>
          <w:numId w:val="14"/>
        </w:numPr>
        <w:tabs>
          <w:tab w:pos="928" w:val="left" w:leader="none"/>
        </w:tabs>
        <w:spacing w:line="240" w:lineRule="auto" w:before="94" w:after="0"/>
        <w:ind w:left="927" w:right="0" w:hanging="710"/>
        <w:jc w:val="left"/>
      </w:pPr>
      <w:r>
        <w:rPr/>
        <w:t>Paso de</w:t>
      </w:r>
      <w:r>
        <w:rPr>
          <w:spacing w:val="-1"/>
        </w:rPr>
        <w:t> </w:t>
      </w:r>
      <w:r>
        <w:rPr/>
        <w:t>conductos</w:t>
      </w:r>
    </w:p>
    <w:p>
      <w:pPr>
        <w:pStyle w:val="ListParagraph"/>
        <w:numPr>
          <w:ilvl w:val="0"/>
          <w:numId w:val="19"/>
        </w:numPr>
        <w:tabs>
          <w:tab w:pos="672" w:val="left" w:leader="none"/>
        </w:tabs>
        <w:spacing w:line="240" w:lineRule="auto" w:before="159" w:after="0"/>
        <w:ind w:left="671" w:right="391" w:hanging="454"/>
        <w:jc w:val="both"/>
        <w:rPr>
          <w:sz w:val="20"/>
        </w:rPr>
      </w:pPr>
      <w:r>
        <w:rPr>
          <w:sz w:val="20"/>
        </w:rPr>
        <w:t>Los pasatubos deben disponerse de tal forma que entre ellos y los conductos exista una holgura que permita las tolerancias de ejecución y los posibles movimientos diferenciales entre el muro y el conducto.</w:t>
      </w:r>
    </w:p>
    <w:p>
      <w:pPr>
        <w:pStyle w:val="ListParagraph"/>
        <w:numPr>
          <w:ilvl w:val="0"/>
          <w:numId w:val="19"/>
        </w:numPr>
        <w:tabs>
          <w:tab w:pos="671" w:val="left" w:leader="none"/>
          <w:tab w:pos="672" w:val="left" w:leader="none"/>
        </w:tabs>
        <w:spacing w:line="240" w:lineRule="auto" w:before="120" w:after="0"/>
        <w:ind w:left="671" w:right="0" w:hanging="454"/>
        <w:jc w:val="left"/>
        <w:rPr>
          <w:sz w:val="20"/>
        </w:rPr>
      </w:pPr>
      <w:r>
        <w:rPr>
          <w:sz w:val="20"/>
        </w:rPr>
        <w:t>Debe fijarse el conducto al muro con elementos</w:t>
      </w:r>
      <w:r>
        <w:rPr>
          <w:spacing w:val="-4"/>
          <w:sz w:val="20"/>
        </w:rPr>
        <w:t> </w:t>
      </w:r>
      <w:r>
        <w:rPr>
          <w:sz w:val="20"/>
        </w:rPr>
        <w:t>flexibles.</w:t>
      </w:r>
    </w:p>
    <w:p>
      <w:pPr>
        <w:pStyle w:val="BodyText"/>
        <w:spacing w:before="4"/>
        <w:rPr>
          <w:sz w:val="30"/>
        </w:rPr>
      </w:pPr>
    </w:p>
    <w:p>
      <w:pPr>
        <w:spacing w:before="1"/>
        <w:ind w:left="1958" w:right="0" w:firstLine="0"/>
        <w:jc w:val="left"/>
        <w:rPr>
          <w:sz w:val="16"/>
        </w:rPr>
      </w:pPr>
      <w:r>
        <w:rPr/>
        <w:pict>
          <v:line style="position:absolute;mso-position-horizontal-relative:page;mso-position-vertical-relative:paragraph;z-index:251684864" from="152.520004pt,-2.82578pt" to="152.520004pt,12.35422pt" stroked="true" strokeweight=".48pt" strokecolor="#000000">
            <v:stroke dashstyle="solid"/>
            <w10:wrap type="none"/>
          </v:line>
        </w:pict>
      </w:r>
      <w:r>
        <w:rPr>
          <w:sz w:val="16"/>
        </w:rPr>
        <w:t>Una fijación adecuada supone que ésta se realice a ambos lados del muro.</w:t>
      </w:r>
    </w:p>
    <w:p>
      <w:pPr>
        <w:pStyle w:val="BodyText"/>
      </w:pPr>
    </w:p>
    <w:p>
      <w:pPr>
        <w:pStyle w:val="BodyText"/>
        <w:spacing w:before="9"/>
      </w:pPr>
    </w:p>
    <w:p>
      <w:pPr>
        <w:pStyle w:val="ListParagraph"/>
        <w:numPr>
          <w:ilvl w:val="0"/>
          <w:numId w:val="19"/>
        </w:numPr>
        <w:tabs>
          <w:tab w:pos="671" w:val="left" w:leader="none"/>
          <w:tab w:pos="672" w:val="left" w:leader="none"/>
        </w:tabs>
        <w:spacing w:line="240" w:lineRule="auto" w:before="0" w:after="0"/>
        <w:ind w:left="672" w:right="393" w:hanging="454"/>
        <w:jc w:val="left"/>
        <w:rPr>
          <w:sz w:val="20"/>
        </w:rPr>
      </w:pPr>
      <w:r>
        <w:rPr>
          <w:sz w:val="20"/>
        </w:rPr>
        <w:t>Debe disponerse un </w:t>
      </w:r>
      <w:r>
        <w:rPr>
          <w:i/>
          <w:sz w:val="20"/>
        </w:rPr>
        <w:t>impermeabilizante </w:t>
      </w:r>
      <w:r>
        <w:rPr>
          <w:sz w:val="20"/>
        </w:rPr>
        <w:t>entre el muro y el pasatubos y debe sellarse la holgura entre el pasatubos y el conducto con un perfil expansivo o un mástico elástico resistente a la</w:t>
      </w:r>
      <w:r>
        <w:rPr>
          <w:spacing w:val="-37"/>
          <w:sz w:val="20"/>
        </w:rPr>
        <w:t> </w:t>
      </w:r>
      <w:r>
        <w:rPr>
          <w:sz w:val="20"/>
        </w:rPr>
        <w:t>compresión.</w:t>
      </w:r>
    </w:p>
    <w:p>
      <w:pPr>
        <w:pStyle w:val="BodyText"/>
        <w:rPr>
          <w:sz w:val="22"/>
        </w:rPr>
      </w:pPr>
    </w:p>
    <w:p>
      <w:pPr>
        <w:pStyle w:val="BodyText"/>
        <w:spacing w:before="11"/>
        <w:rPr>
          <w:sz w:val="18"/>
        </w:rPr>
      </w:pPr>
    </w:p>
    <w:p>
      <w:pPr>
        <w:spacing w:before="0"/>
        <w:ind w:left="1958" w:right="418" w:firstLine="0"/>
        <w:jc w:val="left"/>
        <w:rPr>
          <w:sz w:val="16"/>
        </w:rPr>
      </w:pPr>
      <w:r>
        <w:rPr/>
        <w:pict>
          <v:line style="position:absolute;mso-position-horizontal-relative:page;mso-position-vertical-relative:paragraph;z-index:251685888" from="152.520004pt,-2.875792pt" to="152.520004pt,21.544208pt" stroked="true" strokeweight=".48pt" strokecolor="#000000">
            <v:stroke dashstyle="solid"/>
            <w10:wrap type="none"/>
          </v:line>
        </w:pict>
      </w:r>
      <w:r>
        <w:rPr>
          <w:sz w:val="16"/>
        </w:rPr>
        <w:t>Se pretende limitar el riesgo de que el agua del terreno pueda penetrar por la unión del muro y el pasatu- bos y por la holgura entre el pasatubos y el conducto.</w:t>
      </w:r>
    </w:p>
    <w:p>
      <w:pPr>
        <w:pStyle w:val="BodyText"/>
      </w:pPr>
    </w:p>
    <w:p>
      <w:pPr>
        <w:pStyle w:val="BodyText"/>
        <w:spacing w:before="11"/>
        <w:rPr>
          <w:sz w:val="24"/>
        </w:rPr>
      </w:pPr>
    </w:p>
    <w:p>
      <w:pPr>
        <w:pStyle w:val="Heading5"/>
        <w:numPr>
          <w:ilvl w:val="3"/>
          <w:numId w:val="14"/>
        </w:numPr>
        <w:tabs>
          <w:tab w:pos="928" w:val="left" w:leader="none"/>
        </w:tabs>
        <w:spacing w:line="240" w:lineRule="auto" w:before="94" w:after="0"/>
        <w:ind w:left="927" w:right="0" w:hanging="710"/>
        <w:jc w:val="left"/>
      </w:pPr>
      <w:r>
        <w:rPr/>
        <w:t>Esquinas y</w:t>
      </w:r>
      <w:r>
        <w:rPr>
          <w:spacing w:val="-5"/>
        </w:rPr>
        <w:t> </w:t>
      </w:r>
      <w:r>
        <w:rPr/>
        <w:t>rincones</w:t>
      </w:r>
    </w:p>
    <w:p>
      <w:pPr>
        <w:pStyle w:val="ListParagraph"/>
        <w:numPr>
          <w:ilvl w:val="0"/>
          <w:numId w:val="20"/>
        </w:numPr>
        <w:tabs>
          <w:tab w:pos="673" w:val="left" w:leader="none"/>
        </w:tabs>
        <w:spacing w:line="240" w:lineRule="auto" w:before="158" w:after="0"/>
        <w:ind w:left="671" w:right="390" w:hanging="454"/>
        <w:jc w:val="both"/>
        <w:rPr>
          <w:sz w:val="20"/>
        </w:rPr>
      </w:pPr>
      <w:r>
        <w:rPr>
          <w:sz w:val="20"/>
        </w:rPr>
        <w:t>Debe colocarse en los encuentros entre dos planos impermeabilizados una banda o capa de refuerzo del mismo material que el </w:t>
      </w:r>
      <w:r>
        <w:rPr>
          <w:i/>
          <w:sz w:val="20"/>
        </w:rPr>
        <w:t>impermeabilizante </w:t>
      </w:r>
      <w:r>
        <w:rPr>
          <w:sz w:val="20"/>
        </w:rPr>
        <w:t>utilizado de una anchura de 15 cm como mínimo y centrada en la</w:t>
      </w:r>
      <w:r>
        <w:rPr>
          <w:spacing w:val="-3"/>
          <w:sz w:val="20"/>
        </w:rPr>
        <w:t> </w:t>
      </w:r>
      <w:r>
        <w:rPr>
          <w:sz w:val="20"/>
        </w:rPr>
        <w:t>arista.</w:t>
      </w:r>
    </w:p>
    <w:p>
      <w:pPr>
        <w:pStyle w:val="ListParagraph"/>
        <w:numPr>
          <w:ilvl w:val="0"/>
          <w:numId w:val="20"/>
        </w:numPr>
        <w:tabs>
          <w:tab w:pos="672" w:val="left" w:leader="none"/>
        </w:tabs>
        <w:spacing w:line="240" w:lineRule="auto" w:before="121" w:after="0"/>
        <w:ind w:left="671" w:right="393" w:hanging="454"/>
        <w:jc w:val="both"/>
        <w:rPr>
          <w:sz w:val="20"/>
        </w:rPr>
      </w:pPr>
      <w:r>
        <w:rPr>
          <w:sz w:val="20"/>
        </w:rPr>
        <w:t>Cuando las bandas de refuerzo se apliquen antes que el </w:t>
      </w:r>
      <w:r>
        <w:rPr>
          <w:i/>
          <w:sz w:val="20"/>
        </w:rPr>
        <w:t>impermeabilizante </w:t>
      </w:r>
      <w:r>
        <w:rPr>
          <w:sz w:val="20"/>
        </w:rPr>
        <w:t>del muro deben ir adheridas al soporte previa aplicación de una</w:t>
      </w:r>
      <w:r>
        <w:rPr>
          <w:spacing w:val="-6"/>
          <w:sz w:val="20"/>
        </w:rPr>
        <w:t> </w:t>
      </w:r>
      <w:r>
        <w:rPr>
          <w:sz w:val="20"/>
        </w:rPr>
        <w:t>imprimación.</w:t>
      </w:r>
    </w:p>
    <w:p>
      <w:pPr>
        <w:pStyle w:val="BodyText"/>
        <w:rPr>
          <w:sz w:val="22"/>
        </w:rPr>
      </w:pPr>
    </w:p>
    <w:p>
      <w:pPr>
        <w:pStyle w:val="BodyText"/>
        <w:spacing w:before="10"/>
        <w:rPr>
          <w:sz w:val="18"/>
        </w:rPr>
      </w:pPr>
    </w:p>
    <w:p>
      <w:pPr>
        <w:spacing w:before="0"/>
        <w:ind w:left="1958" w:right="0" w:firstLine="0"/>
        <w:jc w:val="left"/>
        <w:rPr>
          <w:sz w:val="16"/>
        </w:rPr>
      </w:pPr>
      <w:r>
        <w:rPr/>
        <w:pict>
          <v:line style="position:absolute;mso-position-horizontal-relative:page;mso-position-vertical-relative:paragraph;z-index:251686912" from="152.520004pt,-2.875786pt" to="152.520004pt,21.484214pt" stroked="true" strokeweight=".48pt" strokecolor="#000000">
            <v:stroke dashstyle="solid"/>
            <w10:wrap type="none"/>
          </v:line>
        </w:pict>
      </w:r>
      <w:r>
        <w:rPr>
          <w:sz w:val="16"/>
        </w:rPr>
        <w:t>Se pretende limitar el riesgo de que el agua del terreno pueda penetrar por una discontinuidad del imper- meabilizante en las esquinas y los rincones.</w:t>
      </w:r>
    </w:p>
    <w:p>
      <w:pPr>
        <w:spacing w:after="0"/>
        <w:jc w:val="left"/>
        <w:rPr>
          <w:sz w:val="16"/>
        </w:rPr>
        <w:sectPr>
          <w:pgSz w:w="11910" w:h="16840"/>
          <w:pgMar w:header="724" w:footer="636" w:top="1320" w:bottom="840" w:left="1200" w:right="738"/>
        </w:sectPr>
      </w:pPr>
    </w:p>
    <w:p>
      <w:pPr>
        <w:pStyle w:val="BodyText"/>
        <w:spacing w:before="2"/>
        <w:rPr>
          <w:sz w:val="17"/>
        </w:rPr>
      </w:pPr>
    </w:p>
    <w:p>
      <w:pPr>
        <w:pStyle w:val="Heading5"/>
        <w:numPr>
          <w:ilvl w:val="3"/>
          <w:numId w:val="14"/>
        </w:numPr>
        <w:tabs>
          <w:tab w:pos="928" w:val="left" w:leader="none"/>
        </w:tabs>
        <w:spacing w:line="240" w:lineRule="auto" w:before="94" w:after="0"/>
        <w:ind w:left="927" w:right="0" w:hanging="710"/>
        <w:jc w:val="left"/>
      </w:pPr>
      <w:r>
        <w:rPr/>
        <w:t>Juntas</w:t>
      </w:r>
    </w:p>
    <w:p>
      <w:pPr>
        <w:pStyle w:val="ListParagraph"/>
        <w:numPr>
          <w:ilvl w:val="0"/>
          <w:numId w:val="21"/>
        </w:numPr>
        <w:tabs>
          <w:tab w:pos="671" w:val="left" w:leader="none"/>
          <w:tab w:pos="672" w:val="left" w:leader="none"/>
        </w:tabs>
        <w:spacing w:line="240" w:lineRule="auto" w:before="157" w:after="0"/>
        <w:ind w:left="671" w:right="391" w:hanging="454"/>
        <w:jc w:val="left"/>
        <w:rPr>
          <w:sz w:val="20"/>
        </w:rPr>
      </w:pPr>
      <w:r>
        <w:rPr>
          <w:sz w:val="20"/>
        </w:rPr>
        <w:t>En las juntas verticales de los muros de hormigón prefabricado o de fábrica impermeabilizados con lámina deben disponerse los siguientes elementos (Véase la figura</w:t>
      </w:r>
      <w:r>
        <w:rPr>
          <w:spacing w:val="-11"/>
          <w:sz w:val="20"/>
        </w:rPr>
        <w:t> </w:t>
      </w:r>
      <w:r>
        <w:rPr>
          <w:sz w:val="20"/>
        </w:rPr>
        <w:t>2.2):</w:t>
      </w:r>
    </w:p>
    <w:p>
      <w:pPr>
        <w:pStyle w:val="ListParagraph"/>
        <w:numPr>
          <w:ilvl w:val="1"/>
          <w:numId w:val="21"/>
        </w:numPr>
        <w:tabs>
          <w:tab w:pos="1126" w:val="left" w:leader="none"/>
          <w:tab w:pos="1127" w:val="left" w:leader="none"/>
        </w:tabs>
        <w:spacing w:line="240" w:lineRule="auto" w:before="121" w:after="0"/>
        <w:ind w:left="1125" w:right="391" w:hanging="454"/>
        <w:jc w:val="left"/>
        <w:rPr>
          <w:sz w:val="20"/>
        </w:rPr>
      </w:pPr>
      <w:r>
        <w:rPr>
          <w:sz w:val="20"/>
        </w:rPr>
        <w:t>cuando la junta sea estructural, un cordón de relleno compresible y compatible químicamente con la</w:t>
      </w:r>
      <w:r>
        <w:rPr>
          <w:spacing w:val="-2"/>
          <w:sz w:val="20"/>
        </w:rPr>
        <w:t> </w:t>
      </w:r>
      <w:r>
        <w:rPr>
          <w:i/>
          <w:sz w:val="20"/>
        </w:rPr>
        <w:t>impermeabilización</w:t>
      </w:r>
      <w:r>
        <w:rPr>
          <w:sz w:val="20"/>
        </w:rPr>
        <w:t>;</w:t>
      </w:r>
    </w:p>
    <w:p>
      <w:pPr>
        <w:pStyle w:val="ListParagraph"/>
        <w:numPr>
          <w:ilvl w:val="1"/>
          <w:numId w:val="21"/>
        </w:numPr>
        <w:tabs>
          <w:tab w:pos="1125" w:val="left" w:leader="none"/>
          <w:tab w:pos="1127" w:val="left" w:leader="none"/>
        </w:tabs>
        <w:spacing w:line="240" w:lineRule="auto" w:before="120" w:after="0"/>
        <w:ind w:left="1126" w:right="0" w:hanging="456"/>
        <w:jc w:val="left"/>
        <w:rPr>
          <w:sz w:val="20"/>
        </w:rPr>
      </w:pPr>
      <w:r>
        <w:rPr>
          <w:sz w:val="20"/>
        </w:rPr>
        <w:t>sellado de la junta con una masilla</w:t>
      </w:r>
      <w:r>
        <w:rPr>
          <w:spacing w:val="-4"/>
          <w:sz w:val="20"/>
        </w:rPr>
        <w:t> </w:t>
      </w:r>
      <w:r>
        <w:rPr>
          <w:sz w:val="20"/>
        </w:rPr>
        <w:t>elástica;</w:t>
      </w:r>
    </w:p>
    <w:p>
      <w:pPr>
        <w:pStyle w:val="ListParagraph"/>
        <w:numPr>
          <w:ilvl w:val="1"/>
          <w:numId w:val="21"/>
        </w:numPr>
        <w:tabs>
          <w:tab w:pos="1125" w:val="left" w:leader="none"/>
          <w:tab w:pos="1126" w:val="left" w:leader="none"/>
        </w:tabs>
        <w:spacing w:line="240" w:lineRule="auto" w:before="120" w:after="0"/>
        <w:ind w:left="1125" w:right="392" w:hanging="454"/>
        <w:jc w:val="left"/>
        <w:rPr>
          <w:sz w:val="20"/>
        </w:rPr>
      </w:pPr>
      <w:r>
        <w:rPr>
          <w:sz w:val="20"/>
        </w:rPr>
        <w:t>pintura de imprimación en la superficie del muro extendida en una anchura de 25 cm como mínimo centrada en la</w:t>
      </w:r>
      <w:r>
        <w:rPr>
          <w:spacing w:val="-5"/>
          <w:sz w:val="20"/>
        </w:rPr>
        <w:t> </w:t>
      </w:r>
      <w:r>
        <w:rPr>
          <w:sz w:val="20"/>
        </w:rPr>
        <w:t>junta;</w:t>
      </w:r>
    </w:p>
    <w:p>
      <w:pPr>
        <w:pStyle w:val="ListParagraph"/>
        <w:numPr>
          <w:ilvl w:val="1"/>
          <w:numId w:val="21"/>
        </w:numPr>
        <w:tabs>
          <w:tab w:pos="1126" w:val="left" w:leader="none"/>
          <w:tab w:pos="1127" w:val="left" w:leader="none"/>
        </w:tabs>
        <w:spacing w:line="240" w:lineRule="auto" w:before="120" w:after="0"/>
        <w:ind w:left="1125" w:right="392" w:hanging="454"/>
        <w:jc w:val="left"/>
        <w:rPr>
          <w:sz w:val="20"/>
        </w:rPr>
      </w:pPr>
      <w:r>
        <w:rPr>
          <w:sz w:val="20"/>
        </w:rPr>
        <w:t>una banda de refuerzo del mismo material que el </w:t>
      </w:r>
      <w:r>
        <w:rPr>
          <w:i/>
          <w:sz w:val="20"/>
        </w:rPr>
        <w:t>impermeabilizante </w:t>
      </w:r>
      <w:r>
        <w:rPr>
          <w:sz w:val="20"/>
        </w:rPr>
        <w:t>con una armadura de fibra de poliéster y de una anchura de 30 cm como mínimo centrada en la</w:t>
      </w:r>
      <w:r>
        <w:rPr>
          <w:spacing w:val="-14"/>
          <w:sz w:val="20"/>
        </w:rPr>
        <w:t> </w:t>
      </w:r>
      <w:r>
        <w:rPr>
          <w:sz w:val="20"/>
        </w:rPr>
        <w:t>junta;</w:t>
      </w:r>
    </w:p>
    <w:p>
      <w:pPr>
        <w:pStyle w:val="ListParagraph"/>
        <w:numPr>
          <w:ilvl w:val="1"/>
          <w:numId w:val="21"/>
        </w:numPr>
        <w:tabs>
          <w:tab w:pos="1125" w:val="left" w:leader="none"/>
          <w:tab w:pos="1126" w:val="left" w:leader="none"/>
        </w:tabs>
        <w:spacing w:line="240" w:lineRule="auto" w:before="119" w:after="0"/>
        <w:ind w:left="1125" w:right="0" w:hanging="455"/>
        <w:jc w:val="left"/>
        <w:rPr>
          <w:sz w:val="20"/>
        </w:rPr>
      </w:pPr>
      <w:r>
        <w:rPr>
          <w:sz w:val="20"/>
        </w:rPr>
        <w:t>el </w:t>
      </w:r>
      <w:r>
        <w:rPr>
          <w:i/>
          <w:sz w:val="20"/>
        </w:rPr>
        <w:t>impermeabilizante </w:t>
      </w:r>
      <w:r>
        <w:rPr>
          <w:sz w:val="20"/>
        </w:rPr>
        <w:t>del muro hasta el borde de la</w:t>
      </w:r>
      <w:r>
        <w:rPr>
          <w:spacing w:val="-11"/>
          <w:sz w:val="20"/>
        </w:rPr>
        <w:t> </w:t>
      </w:r>
      <w:r>
        <w:rPr>
          <w:sz w:val="20"/>
        </w:rPr>
        <w:t>junta;</w:t>
      </w:r>
    </w:p>
    <w:p>
      <w:pPr>
        <w:pStyle w:val="ListParagraph"/>
        <w:numPr>
          <w:ilvl w:val="1"/>
          <w:numId w:val="21"/>
        </w:numPr>
        <w:tabs>
          <w:tab w:pos="1125" w:val="left" w:leader="none"/>
          <w:tab w:pos="1126" w:val="left" w:leader="none"/>
        </w:tabs>
        <w:spacing w:line="240" w:lineRule="auto" w:before="121" w:after="0"/>
        <w:ind w:left="1125" w:right="392" w:hanging="454"/>
        <w:jc w:val="left"/>
        <w:rPr>
          <w:sz w:val="20"/>
        </w:rPr>
      </w:pPr>
      <w:r>
        <w:rPr/>
        <w:pict>
          <v:group style="position:absolute;margin-left:170.975006pt;margin-top:35.941090pt;width:293.05pt;height:153.9pt;mso-position-horizontal-relative:page;mso-position-vertical-relative:paragraph;z-index:-251628544;mso-wrap-distance-left:0;mso-wrap-distance-right:0" coordorigin="3420,719" coordsize="5861,3078">
            <v:shape style="position:absolute;left:3422;top:2042;width:1809;height:668" coordorigin="3423,2042" coordsize="1809,668" path="m3423,2042l5231,2042,5231,2710e" filled="false" stroked="true" strokeweight=".254pt" strokecolor="#000000">
              <v:path arrowok="t"/>
              <v:stroke dashstyle="solid"/>
            </v:shape>
            <v:line style="position:absolute" from="5231,2678" to="5231,3794" stroked="true" strokeweight=".254pt" strokecolor="#000000">
              <v:stroke dashstyle="solid"/>
            </v:line>
            <v:line style="position:absolute" from="6614,2019" to="5673,2019" stroked="true" strokeweight=".254pt" strokecolor="#000000">
              <v:stroke dashstyle="solid"/>
            </v:line>
            <v:line style="position:absolute" from="7107,1744" to="7107,826" stroked="true" strokeweight=".435pt" strokecolor="#000000">
              <v:stroke dashstyle="solid"/>
            </v:line>
            <v:line style="position:absolute" from="3797,1747" to="3797,826" stroked="true" strokeweight=".435pt" strokecolor="#000000">
              <v:stroke dashstyle="solid"/>
            </v:line>
            <v:line style="position:absolute" from="7107,899" to="3797,899" stroked="true" strokeweight=".435pt" strokecolor="#000000">
              <v:stroke dashstyle="solid"/>
            </v:line>
            <v:shape style="position:absolute;left:3764;top:858;width:73;height:80" coordorigin="3765,859" coordsize="73,80" path="m3829,859l3765,938,3837,867,3829,859xe" filled="true" fillcolor="#000000" stroked="false">
              <v:path arrowok="t"/>
              <v:fill type="solid"/>
            </v:shape>
            <v:shape style="position:absolute;left:3757;top:858;width:72;height:80" coordorigin="3758,859" coordsize="72,80" path="m3829,859l3758,931,3765,938,3829,859xe" filled="true" fillcolor="#000000" stroked="false">
              <v:path arrowok="t"/>
              <v:fill type="solid"/>
            </v:shape>
            <v:shape style="position:absolute;left:3419;top:718;width:5861;height:3078" type="#_x0000_t75" stroked="false">
              <v:imagedata r:id="rId10" o:title=""/>
            </v:shape>
            <w10:wrap type="topAndBottom"/>
          </v:group>
        </w:pict>
      </w:r>
      <w:r>
        <w:rPr>
          <w:sz w:val="20"/>
        </w:rPr>
        <w:t>una banda de terminación de 45 cm de anchura como mínimo centrada en la junta, del mismo material que la de refuerzo y adherida a la</w:t>
      </w:r>
      <w:r>
        <w:rPr>
          <w:spacing w:val="-7"/>
          <w:sz w:val="20"/>
        </w:rPr>
        <w:t> </w:t>
      </w:r>
      <w:r>
        <w:rPr>
          <w:sz w:val="20"/>
        </w:rPr>
        <w:t>lámina.</w:t>
      </w:r>
    </w:p>
    <w:p>
      <w:pPr>
        <w:spacing w:before="38"/>
        <w:ind w:left="3235" w:right="0" w:firstLine="0"/>
        <w:jc w:val="left"/>
        <w:rPr>
          <w:b/>
          <w:sz w:val="18"/>
        </w:rPr>
      </w:pPr>
      <w:r>
        <w:rPr>
          <w:b/>
          <w:sz w:val="18"/>
        </w:rPr>
        <w:t>Figura 2.2 Ejemplo de junta estructural</w:t>
      </w:r>
    </w:p>
    <w:p>
      <w:pPr>
        <w:pStyle w:val="ListParagraph"/>
        <w:numPr>
          <w:ilvl w:val="0"/>
          <w:numId w:val="21"/>
        </w:numPr>
        <w:tabs>
          <w:tab w:pos="672" w:val="left" w:leader="none"/>
        </w:tabs>
        <w:spacing w:line="240" w:lineRule="auto" w:before="61" w:after="0"/>
        <w:ind w:left="671" w:right="391" w:hanging="454"/>
        <w:jc w:val="both"/>
        <w:rPr>
          <w:sz w:val="20"/>
        </w:rPr>
      </w:pPr>
      <w:r>
        <w:rPr>
          <w:sz w:val="20"/>
        </w:rPr>
        <w:t>En las juntas verticales de los muros de hormigón prefabricado o de fábrica impermeabilizados con productos líquidos deben disponerse los siguientes</w:t>
      </w:r>
      <w:r>
        <w:rPr>
          <w:spacing w:val="-7"/>
          <w:sz w:val="20"/>
        </w:rPr>
        <w:t> </w:t>
      </w:r>
      <w:r>
        <w:rPr>
          <w:sz w:val="20"/>
        </w:rPr>
        <w:t>elementos:</w:t>
      </w:r>
    </w:p>
    <w:p>
      <w:pPr>
        <w:pStyle w:val="ListParagraph"/>
        <w:numPr>
          <w:ilvl w:val="1"/>
          <w:numId w:val="21"/>
        </w:numPr>
        <w:tabs>
          <w:tab w:pos="1127" w:val="left" w:leader="none"/>
        </w:tabs>
        <w:spacing w:line="240" w:lineRule="auto" w:before="120" w:after="0"/>
        <w:ind w:left="1125" w:right="391" w:hanging="454"/>
        <w:jc w:val="both"/>
        <w:rPr>
          <w:sz w:val="20"/>
        </w:rPr>
      </w:pPr>
      <w:r>
        <w:rPr>
          <w:sz w:val="20"/>
        </w:rPr>
        <w:t>cuando la junta sea estructural, un cordón de relleno compresible y compatible químicamente con la</w:t>
      </w:r>
      <w:r>
        <w:rPr>
          <w:spacing w:val="-2"/>
          <w:sz w:val="20"/>
        </w:rPr>
        <w:t> </w:t>
      </w:r>
      <w:r>
        <w:rPr>
          <w:i/>
          <w:sz w:val="20"/>
        </w:rPr>
        <w:t>impermeabilización</w:t>
      </w:r>
      <w:r>
        <w:rPr>
          <w:sz w:val="20"/>
        </w:rPr>
        <w:t>;</w:t>
      </w:r>
    </w:p>
    <w:p>
      <w:pPr>
        <w:pStyle w:val="ListParagraph"/>
        <w:numPr>
          <w:ilvl w:val="1"/>
          <w:numId w:val="21"/>
        </w:numPr>
        <w:tabs>
          <w:tab w:pos="1125" w:val="left" w:leader="none"/>
          <w:tab w:pos="1127" w:val="left" w:leader="none"/>
        </w:tabs>
        <w:spacing w:line="240" w:lineRule="auto" w:before="119" w:after="0"/>
        <w:ind w:left="1126" w:right="0" w:hanging="456"/>
        <w:jc w:val="left"/>
        <w:rPr>
          <w:sz w:val="20"/>
        </w:rPr>
      </w:pPr>
      <w:r>
        <w:rPr>
          <w:sz w:val="20"/>
        </w:rPr>
        <w:t>sellado de la junta con una masilla</w:t>
      </w:r>
      <w:r>
        <w:rPr>
          <w:spacing w:val="-4"/>
          <w:sz w:val="20"/>
        </w:rPr>
        <w:t> </w:t>
      </w:r>
      <w:r>
        <w:rPr>
          <w:sz w:val="20"/>
        </w:rPr>
        <w:t>elástica;</w:t>
      </w:r>
    </w:p>
    <w:p>
      <w:pPr>
        <w:pStyle w:val="ListParagraph"/>
        <w:numPr>
          <w:ilvl w:val="1"/>
          <w:numId w:val="21"/>
        </w:numPr>
        <w:tabs>
          <w:tab w:pos="1125" w:val="left" w:leader="none"/>
          <w:tab w:pos="1126" w:val="left" w:leader="none"/>
        </w:tabs>
        <w:spacing w:line="240" w:lineRule="auto" w:before="121" w:after="0"/>
        <w:ind w:left="1125" w:right="0" w:hanging="455"/>
        <w:jc w:val="left"/>
        <w:rPr>
          <w:sz w:val="20"/>
        </w:rPr>
      </w:pPr>
      <w:r>
        <w:rPr>
          <w:sz w:val="20"/>
        </w:rPr>
        <w:t>la </w:t>
      </w:r>
      <w:r>
        <w:rPr>
          <w:i/>
          <w:sz w:val="20"/>
        </w:rPr>
        <w:t>impermeabilización </w:t>
      </w:r>
      <w:r>
        <w:rPr>
          <w:sz w:val="20"/>
        </w:rPr>
        <w:t>del muro hasta el borde de la</w:t>
      </w:r>
      <w:r>
        <w:rPr>
          <w:spacing w:val="-8"/>
          <w:sz w:val="20"/>
        </w:rPr>
        <w:t> </w:t>
      </w:r>
      <w:r>
        <w:rPr>
          <w:sz w:val="20"/>
        </w:rPr>
        <w:t>junta;</w:t>
      </w:r>
    </w:p>
    <w:p>
      <w:pPr>
        <w:pStyle w:val="ListParagraph"/>
        <w:numPr>
          <w:ilvl w:val="1"/>
          <w:numId w:val="21"/>
        </w:numPr>
        <w:tabs>
          <w:tab w:pos="1127" w:val="left" w:leader="none"/>
        </w:tabs>
        <w:spacing w:line="240" w:lineRule="auto" w:before="120" w:after="0"/>
        <w:ind w:left="1125" w:right="391" w:hanging="454"/>
        <w:jc w:val="both"/>
        <w:rPr>
          <w:sz w:val="20"/>
        </w:rPr>
      </w:pPr>
      <w:r>
        <w:rPr>
          <w:sz w:val="20"/>
        </w:rPr>
        <w:t>una banda de refuerzo de una anchura de 30 cm como mínimo centrada en la junta y del mismo material que el </w:t>
      </w:r>
      <w:r>
        <w:rPr>
          <w:i/>
          <w:sz w:val="20"/>
        </w:rPr>
        <w:t>impermeabilizante </w:t>
      </w:r>
      <w:r>
        <w:rPr>
          <w:sz w:val="20"/>
        </w:rPr>
        <w:t>con una armadura de fibra de poliéster o una banda de lámina</w:t>
      </w:r>
      <w:r>
        <w:rPr>
          <w:spacing w:val="-1"/>
          <w:sz w:val="20"/>
        </w:rPr>
        <w:t> </w:t>
      </w:r>
      <w:r>
        <w:rPr>
          <w:sz w:val="20"/>
        </w:rPr>
        <w:t>impermeable.</w:t>
      </w:r>
    </w:p>
    <w:p>
      <w:pPr>
        <w:pStyle w:val="ListParagraph"/>
        <w:numPr>
          <w:ilvl w:val="0"/>
          <w:numId w:val="21"/>
        </w:numPr>
        <w:tabs>
          <w:tab w:pos="672" w:val="left" w:leader="none"/>
        </w:tabs>
        <w:spacing w:line="240" w:lineRule="auto" w:before="120" w:after="0"/>
        <w:ind w:left="671" w:right="392" w:hanging="454"/>
        <w:jc w:val="both"/>
        <w:rPr>
          <w:sz w:val="20"/>
        </w:rPr>
      </w:pPr>
      <w:r>
        <w:rPr>
          <w:sz w:val="20"/>
        </w:rPr>
        <w:t>En el caso de muros hormigonados in situ, tanto si están impermeabilizados con lámina o con productos líquidos, para la </w:t>
      </w:r>
      <w:r>
        <w:rPr>
          <w:i/>
          <w:sz w:val="20"/>
        </w:rPr>
        <w:t>impermeabilización </w:t>
      </w:r>
      <w:r>
        <w:rPr>
          <w:sz w:val="20"/>
        </w:rPr>
        <w:t>de las juntas verticales y horizontales, debe disponerse una banda elástica embebida en los dos testeros de ambos lados de la</w:t>
      </w:r>
      <w:r>
        <w:rPr>
          <w:spacing w:val="-21"/>
          <w:sz w:val="20"/>
        </w:rPr>
        <w:t> </w:t>
      </w:r>
      <w:r>
        <w:rPr>
          <w:sz w:val="20"/>
        </w:rPr>
        <w:t>junta.</w:t>
      </w:r>
    </w:p>
    <w:p>
      <w:pPr>
        <w:pStyle w:val="BodyText"/>
        <w:spacing w:before="5"/>
        <w:rPr>
          <w:sz w:val="30"/>
        </w:rPr>
      </w:pPr>
    </w:p>
    <w:p>
      <w:pPr>
        <w:spacing w:before="0"/>
        <w:ind w:left="1958" w:right="0" w:firstLine="0"/>
        <w:jc w:val="left"/>
        <w:rPr>
          <w:sz w:val="16"/>
        </w:rPr>
      </w:pPr>
      <w:r>
        <w:rPr/>
        <w:pict>
          <v:line style="position:absolute;mso-position-horizontal-relative:page;mso-position-vertical-relative:paragraph;z-index:251688960" from="152.520004pt,-2.875796pt" to="152.520004pt,12.364204pt" stroked="true" strokeweight=".48pt" strokecolor="#000000">
            <v:stroke dashstyle="solid"/>
            <w10:wrap type="none"/>
          </v:line>
        </w:pict>
      </w:r>
      <w:r>
        <w:rPr>
          <w:sz w:val="16"/>
        </w:rPr>
        <w:t>Entre las soluciones que puedan utilizarse con este fin se encuentran los perfiles expansivos en el canto.</w:t>
      </w:r>
    </w:p>
    <w:p>
      <w:pPr>
        <w:pStyle w:val="BodyText"/>
      </w:pPr>
    </w:p>
    <w:p>
      <w:pPr>
        <w:pStyle w:val="BodyText"/>
        <w:spacing w:before="9"/>
      </w:pPr>
    </w:p>
    <w:p>
      <w:pPr>
        <w:pStyle w:val="ListParagraph"/>
        <w:numPr>
          <w:ilvl w:val="0"/>
          <w:numId w:val="21"/>
        </w:numPr>
        <w:tabs>
          <w:tab w:pos="671" w:val="left" w:leader="none"/>
          <w:tab w:pos="672" w:val="left" w:leader="none"/>
        </w:tabs>
        <w:spacing w:line="240" w:lineRule="auto" w:before="1" w:after="0"/>
        <w:ind w:left="671" w:right="393" w:hanging="454"/>
        <w:jc w:val="left"/>
        <w:rPr>
          <w:sz w:val="20"/>
        </w:rPr>
      </w:pPr>
      <w:r>
        <w:rPr>
          <w:sz w:val="20"/>
        </w:rPr>
        <w:t>Las juntas horizontales de los muros de hormigón prefabricado deben sellarse con </w:t>
      </w:r>
      <w:r>
        <w:rPr>
          <w:i/>
          <w:sz w:val="20"/>
        </w:rPr>
        <w:t>mortero </w:t>
      </w:r>
      <w:r>
        <w:rPr>
          <w:i/>
          <w:sz w:val="20"/>
        </w:rPr>
        <w:t>hidrófugo de baja retracción </w:t>
      </w:r>
      <w:r>
        <w:rPr>
          <w:sz w:val="20"/>
        </w:rPr>
        <w:t>o con un sellante a base de</w:t>
      </w:r>
      <w:r>
        <w:rPr>
          <w:spacing w:val="-11"/>
          <w:sz w:val="20"/>
        </w:rPr>
        <w:t> </w:t>
      </w:r>
      <w:r>
        <w:rPr>
          <w:sz w:val="20"/>
        </w:rPr>
        <w:t>poliuretano.</w:t>
      </w:r>
    </w:p>
    <w:p>
      <w:pPr>
        <w:pStyle w:val="BodyText"/>
        <w:rPr>
          <w:sz w:val="22"/>
        </w:rPr>
      </w:pPr>
    </w:p>
    <w:p>
      <w:pPr>
        <w:pStyle w:val="BodyText"/>
        <w:spacing w:before="10"/>
        <w:rPr>
          <w:sz w:val="18"/>
        </w:rPr>
      </w:pPr>
    </w:p>
    <w:p>
      <w:pPr>
        <w:spacing w:before="0"/>
        <w:ind w:left="1958" w:right="0" w:firstLine="0"/>
        <w:jc w:val="left"/>
        <w:rPr>
          <w:sz w:val="16"/>
        </w:rPr>
      </w:pPr>
      <w:r>
        <w:rPr/>
        <w:pict>
          <v:line style="position:absolute;mso-position-horizontal-relative:page;mso-position-vertical-relative:paragraph;z-index:251689984" from="152.520004pt,-2.875793pt" to="152.520004pt,21.544207pt" stroked="true" strokeweight=".48pt" strokecolor="#000000">
            <v:stroke dashstyle="solid"/>
            <w10:wrap type="none"/>
          </v:line>
        </w:pict>
      </w:r>
      <w:r>
        <w:rPr>
          <w:sz w:val="16"/>
        </w:rPr>
        <w:t>Se pretende limitar el riesgo de que el agua del terreno pueda penetrar por una discontinuidad de la im- permeabilización en las juntas.</w:t>
      </w:r>
    </w:p>
    <w:p>
      <w:pPr>
        <w:spacing w:after="0"/>
        <w:jc w:val="left"/>
        <w:rPr>
          <w:sz w:val="16"/>
        </w:rPr>
        <w:sectPr>
          <w:pgSz w:w="11910" w:h="16840"/>
          <w:pgMar w:header="724" w:footer="636" w:top="1320" w:bottom="840" w:left="1200" w:right="738"/>
        </w:sectPr>
      </w:pPr>
    </w:p>
    <w:p>
      <w:pPr>
        <w:pStyle w:val="Heading3"/>
        <w:numPr>
          <w:ilvl w:val="1"/>
          <w:numId w:val="14"/>
        </w:numPr>
        <w:tabs>
          <w:tab w:pos="785" w:val="left" w:leader="none"/>
          <w:tab w:pos="786" w:val="left" w:leader="none"/>
        </w:tabs>
        <w:spacing w:line="240" w:lineRule="auto" w:before="90" w:after="0"/>
        <w:ind w:left="785" w:right="0" w:hanging="568"/>
        <w:jc w:val="left"/>
      </w:pPr>
      <w:r>
        <w:rPr/>
        <w:t>Suelos</w:t>
      </w:r>
    </w:p>
    <w:p>
      <w:pPr>
        <w:pStyle w:val="BodyText"/>
        <w:spacing w:before="2"/>
        <w:rPr>
          <w:b/>
          <w:sz w:val="26"/>
        </w:rPr>
      </w:pPr>
    </w:p>
    <w:p>
      <w:pPr>
        <w:pStyle w:val="Heading5"/>
        <w:numPr>
          <w:ilvl w:val="2"/>
          <w:numId w:val="14"/>
        </w:numPr>
        <w:tabs>
          <w:tab w:pos="786" w:val="left" w:leader="none"/>
        </w:tabs>
        <w:spacing w:line="240" w:lineRule="auto" w:before="0" w:after="0"/>
        <w:ind w:left="785" w:right="0" w:hanging="568"/>
        <w:jc w:val="left"/>
      </w:pPr>
      <w:r>
        <w:rPr/>
        <w:t>Grado de</w:t>
      </w:r>
      <w:r>
        <w:rPr>
          <w:spacing w:val="-3"/>
        </w:rPr>
        <w:t> </w:t>
      </w:r>
      <w:r>
        <w:rPr/>
        <w:t>impermeabilidad</w:t>
      </w:r>
    </w:p>
    <w:p>
      <w:pPr>
        <w:pStyle w:val="BodyText"/>
        <w:spacing w:before="159"/>
        <w:ind w:left="671" w:right="390" w:hanging="454"/>
        <w:jc w:val="both"/>
      </w:pPr>
      <w:r>
        <w:rPr/>
        <w:t>1   El </w:t>
      </w:r>
      <w:r>
        <w:rPr>
          <w:i/>
        </w:rPr>
        <w:t>grado de impermeabilidad </w:t>
      </w:r>
      <w:r>
        <w:rPr/>
        <w:t>mínimo exigido a los suelos que están en contacto con el terreno    frente a la penetración del agua de éste y de las escorrentías se obtiene en la tabla 2.3 en función de la presencia de agua determinada de acuerdo con 2.1.1 y del </w:t>
      </w:r>
      <w:r>
        <w:rPr>
          <w:i/>
        </w:rPr>
        <w:t>coeficiente de permeabilidad </w:t>
      </w:r>
      <w:r>
        <w:rPr/>
        <w:t>del terreno.</w:t>
      </w:r>
    </w:p>
    <w:p>
      <w:pPr>
        <w:pStyle w:val="BodyText"/>
        <w:rPr>
          <w:sz w:val="22"/>
        </w:rPr>
      </w:pPr>
    </w:p>
    <w:p>
      <w:pPr>
        <w:pStyle w:val="BodyText"/>
        <w:spacing w:before="9"/>
        <w:rPr>
          <w:sz w:val="18"/>
        </w:rPr>
      </w:pPr>
    </w:p>
    <w:p>
      <w:pPr>
        <w:spacing w:before="1"/>
        <w:ind w:left="1958" w:right="0" w:firstLine="0"/>
        <w:jc w:val="left"/>
        <w:rPr>
          <w:sz w:val="16"/>
        </w:rPr>
      </w:pPr>
      <w:r>
        <w:rPr/>
        <w:pict>
          <v:line style="position:absolute;mso-position-horizontal-relative:page;mso-position-vertical-relative:paragraph;z-index:251691008" from="152.520004pt,-2.825806pt" to="152.520004pt,21.594194pt" stroked="true" strokeweight=".48pt" strokecolor="#000000">
            <v:stroke dashstyle="solid"/>
            <w10:wrap type="none"/>
          </v:line>
        </w:pict>
      </w:r>
      <w:r>
        <w:rPr>
          <w:sz w:val="16"/>
        </w:rPr>
        <w:t>Cuando el edificio no tenga muros en contacto con el terreno, se utilizará la tabla correspondiente a muros flexorresistentes o de gravedad.</w:t>
      </w:r>
    </w:p>
    <w:p>
      <w:pPr>
        <w:pStyle w:val="BodyText"/>
        <w:spacing w:before="4"/>
        <w:rPr>
          <w:sz w:val="27"/>
        </w:rPr>
      </w:pPr>
    </w:p>
    <w:p>
      <w:pPr>
        <w:spacing w:before="94" w:after="4"/>
        <w:ind w:left="655" w:right="826" w:firstLine="0"/>
        <w:jc w:val="center"/>
        <w:rPr>
          <w:b/>
          <w:sz w:val="18"/>
        </w:rPr>
      </w:pPr>
      <w:r>
        <w:rPr>
          <w:b/>
          <w:sz w:val="18"/>
        </w:rPr>
        <w:t>Tabla 2.3 </w:t>
      </w:r>
      <w:r>
        <w:rPr>
          <w:b/>
          <w:i/>
          <w:sz w:val="18"/>
        </w:rPr>
        <w:t>Grado de impermeabilidad </w:t>
      </w:r>
      <w:r>
        <w:rPr>
          <w:b/>
          <w:sz w:val="18"/>
        </w:rPr>
        <w:t>mínimo exigido a los suelos</w:t>
      </w:r>
    </w:p>
    <w:tbl>
      <w:tblPr>
        <w:tblW w:w="0" w:type="auto"/>
        <w:jc w:val="left"/>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8"/>
        <w:gridCol w:w="5612"/>
      </w:tblGrid>
      <w:tr>
        <w:trPr>
          <w:trHeight w:val="229" w:hRule="atLeast"/>
        </w:trPr>
        <w:tc>
          <w:tcPr>
            <w:tcW w:w="3408" w:type="dxa"/>
            <w:tcBorders>
              <w:top w:val="nil"/>
              <w:left w:val="nil"/>
            </w:tcBorders>
          </w:tcPr>
          <w:p>
            <w:pPr>
              <w:pStyle w:val="TableParagraph"/>
              <w:jc w:val="left"/>
              <w:rPr>
                <w:rFonts w:ascii="Times New Roman"/>
                <w:sz w:val="16"/>
              </w:rPr>
            </w:pPr>
          </w:p>
        </w:tc>
        <w:tc>
          <w:tcPr>
            <w:tcW w:w="5612" w:type="dxa"/>
            <w:tcBorders>
              <w:right w:val="nil"/>
            </w:tcBorders>
          </w:tcPr>
          <w:p>
            <w:pPr>
              <w:pStyle w:val="TableParagraph"/>
              <w:spacing w:line="201" w:lineRule="exact" w:before="8"/>
              <w:ind w:left="1064"/>
              <w:jc w:val="left"/>
              <w:rPr>
                <w:b/>
                <w:sz w:val="18"/>
              </w:rPr>
            </w:pPr>
            <w:r>
              <w:rPr>
                <w:b/>
                <w:i/>
                <w:sz w:val="18"/>
              </w:rPr>
              <w:t>Coeficiente de permeabilidad </w:t>
            </w:r>
            <w:r>
              <w:rPr>
                <w:b/>
                <w:sz w:val="18"/>
              </w:rPr>
              <w:t>del terreno</w:t>
            </w:r>
          </w:p>
        </w:tc>
      </w:tr>
      <w:tr>
        <w:trPr>
          <w:trHeight w:val="220" w:hRule="atLeast"/>
        </w:trPr>
        <w:tc>
          <w:tcPr>
            <w:tcW w:w="3408" w:type="dxa"/>
            <w:tcBorders>
              <w:left w:val="nil"/>
            </w:tcBorders>
          </w:tcPr>
          <w:p>
            <w:pPr>
              <w:pStyle w:val="TableParagraph"/>
              <w:spacing w:line="197" w:lineRule="exact" w:before="3"/>
              <w:ind w:left="904" w:right="878"/>
              <w:rPr>
                <w:b/>
                <w:sz w:val="18"/>
              </w:rPr>
            </w:pPr>
            <w:r>
              <w:rPr>
                <w:b/>
                <w:sz w:val="18"/>
              </w:rPr>
              <w:t>Presencia de agua</w:t>
            </w:r>
          </w:p>
        </w:tc>
        <w:tc>
          <w:tcPr>
            <w:tcW w:w="5612" w:type="dxa"/>
            <w:tcBorders>
              <w:right w:val="nil"/>
            </w:tcBorders>
          </w:tcPr>
          <w:p>
            <w:pPr>
              <w:pStyle w:val="TableParagraph"/>
              <w:tabs>
                <w:tab w:pos="3762" w:val="left" w:leader="none"/>
              </w:tabs>
              <w:spacing w:line="200" w:lineRule="exact"/>
              <w:ind w:left="952"/>
              <w:jc w:val="left"/>
              <w:rPr>
                <w:b/>
                <w:sz w:val="18"/>
              </w:rPr>
            </w:pPr>
            <w:r>
              <w:rPr>
                <w:b/>
                <w:position w:val="1"/>
                <w:sz w:val="18"/>
              </w:rPr>
              <w:t>Ks&gt;10</w:t>
            </w:r>
            <w:r>
              <w:rPr>
                <w:b/>
                <w:position w:val="7"/>
                <w:sz w:val="12"/>
              </w:rPr>
              <w:t>-5</w:t>
            </w:r>
            <w:r>
              <w:rPr>
                <w:b/>
                <w:spacing w:val="16"/>
                <w:position w:val="7"/>
                <w:sz w:val="12"/>
              </w:rPr>
              <w:t> </w:t>
            </w:r>
            <w:r>
              <w:rPr>
                <w:b/>
                <w:position w:val="1"/>
                <w:sz w:val="18"/>
              </w:rPr>
              <w:t>cm/s</w:t>
              <w:tab/>
            </w:r>
            <w:r>
              <w:rPr>
                <w:b/>
                <w:sz w:val="18"/>
              </w:rPr>
              <w:t>Ks</w:t>
            </w:r>
            <w:r>
              <w:rPr>
                <w:rFonts w:ascii="Symbol" w:hAnsi="Symbol"/>
                <w:b/>
                <w:sz w:val="18"/>
              </w:rPr>
              <w:t></w:t>
            </w:r>
            <w:r>
              <w:rPr>
                <w:b/>
                <w:sz w:val="18"/>
              </w:rPr>
              <w:t>10</w:t>
            </w:r>
            <w:r>
              <w:rPr>
                <w:b/>
                <w:position w:val="6"/>
                <w:sz w:val="12"/>
              </w:rPr>
              <w:t>-5</w:t>
            </w:r>
            <w:r>
              <w:rPr>
                <w:b/>
                <w:spacing w:val="16"/>
                <w:position w:val="6"/>
                <w:sz w:val="12"/>
              </w:rPr>
              <w:t> </w:t>
            </w:r>
            <w:r>
              <w:rPr>
                <w:b/>
                <w:sz w:val="18"/>
              </w:rPr>
              <w:t>cm/s</w:t>
            </w:r>
          </w:p>
        </w:tc>
      </w:tr>
      <w:tr>
        <w:trPr>
          <w:trHeight w:val="207" w:hRule="atLeast"/>
        </w:trPr>
        <w:tc>
          <w:tcPr>
            <w:tcW w:w="3408" w:type="dxa"/>
            <w:tcBorders>
              <w:left w:val="nil"/>
              <w:bottom w:val="nil"/>
            </w:tcBorders>
          </w:tcPr>
          <w:p>
            <w:pPr>
              <w:pStyle w:val="TableParagraph"/>
              <w:spacing w:line="187" w:lineRule="exact"/>
              <w:ind w:left="904" w:right="877"/>
              <w:rPr>
                <w:b/>
                <w:sz w:val="18"/>
              </w:rPr>
            </w:pPr>
            <w:r>
              <w:rPr>
                <w:b/>
                <w:sz w:val="18"/>
              </w:rPr>
              <w:t>Alta</w:t>
            </w:r>
          </w:p>
        </w:tc>
        <w:tc>
          <w:tcPr>
            <w:tcW w:w="5612" w:type="dxa"/>
            <w:tcBorders>
              <w:bottom w:val="nil"/>
              <w:right w:val="nil"/>
            </w:tcBorders>
          </w:tcPr>
          <w:p>
            <w:pPr>
              <w:pStyle w:val="TableParagraph"/>
              <w:tabs>
                <w:tab w:pos="4262" w:val="left" w:leader="none"/>
              </w:tabs>
              <w:spacing w:line="187" w:lineRule="exact"/>
              <w:ind w:left="1455"/>
              <w:jc w:val="left"/>
              <w:rPr>
                <w:sz w:val="18"/>
              </w:rPr>
            </w:pPr>
            <w:r>
              <w:rPr>
                <w:sz w:val="18"/>
              </w:rPr>
              <w:t>5</w:t>
              <w:tab/>
              <w:t>4</w:t>
            </w:r>
          </w:p>
        </w:tc>
      </w:tr>
      <w:tr>
        <w:trPr>
          <w:trHeight w:val="207" w:hRule="atLeast"/>
        </w:trPr>
        <w:tc>
          <w:tcPr>
            <w:tcW w:w="3408" w:type="dxa"/>
            <w:tcBorders>
              <w:top w:val="nil"/>
              <w:left w:val="nil"/>
              <w:bottom w:val="nil"/>
            </w:tcBorders>
          </w:tcPr>
          <w:p>
            <w:pPr>
              <w:pStyle w:val="TableParagraph"/>
              <w:spacing w:line="187" w:lineRule="exact"/>
              <w:ind w:left="904" w:right="877"/>
              <w:rPr>
                <w:b/>
                <w:sz w:val="18"/>
              </w:rPr>
            </w:pPr>
            <w:r>
              <w:rPr>
                <w:b/>
                <w:sz w:val="18"/>
              </w:rPr>
              <w:t>Media</w:t>
            </w:r>
          </w:p>
        </w:tc>
        <w:tc>
          <w:tcPr>
            <w:tcW w:w="5612" w:type="dxa"/>
            <w:tcBorders>
              <w:top w:val="nil"/>
              <w:bottom w:val="nil"/>
              <w:right w:val="nil"/>
            </w:tcBorders>
          </w:tcPr>
          <w:p>
            <w:pPr>
              <w:pStyle w:val="TableParagraph"/>
              <w:tabs>
                <w:tab w:pos="4262" w:val="left" w:leader="none"/>
              </w:tabs>
              <w:spacing w:line="187" w:lineRule="exact"/>
              <w:ind w:left="1455"/>
              <w:jc w:val="left"/>
              <w:rPr>
                <w:sz w:val="18"/>
              </w:rPr>
            </w:pPr>
            <w:r>
              <w:rPr>
                <w:sz w:val="18"/>
              </w:rPr>
              <w:t>4</w:t>
              <w:tab/>
              <w:t>3</w:t>
            </w:r>
          </w:p>
        </w:tc>
      </w:tr>
      <w:tr>
        <w:trPr>
          <w:trHeight w:val="206" w:hRule="atLeast"/>
        </w:trPr>
        <w:tc>
          <w:tcPr>
            <w:tcW w:w="3408" w:type="dxa"/>
            <w:tcBorders>
              <w:top w:val="nil"/>
              <w:left w:val="nil"/>
            </w:tcBorders>
          </w:tcPr>
          <w:p>
            <w:pPr>
              <w:pStyle w:val="TableParagraph"/>
              <w:spacing w:line="187" w:lineRule="exact"/>
              <w:ind w:left="904" w:right="877"/>
              <w:rPr>
                <w:b/>
                <w:sz w:val="18"/>
              </w:rPr>
            </w:pPr>
            <w:r>
              <w:rPr>
                <w:b/>
                <w:sz w:val="18"/>
              </w:rPr>
              <w:t>Baja</w:t>
            </w:r>
          </w:p>
        </w:tc>
        <w:tc>
          <w:tcPr>
            <w:tcW w:w="5612" w:type="dxa"/>
            <w:tcBorders>
              <w:top w:val="nil"/>
              <w:right w:val="nil"/>
            </w:tcBorders>
          </w:tcPr>
          <w:p>
            <w:pPr>
              <w:pStyle w:val="TableParagraph"/>
              <w:tabs>
                <w:tab w:pos="4262" w:val="left" w:leader="none"/>
              </w:tabs>
              <w:spacing w:line="187" w:lineRule="exact"/>
              <w:ind w:left="1455"/>
              <w:jc w:val="left"/>
              <w:rPr>
                <w:sz w:val="18"/>
              </w:rPr>
            </w:pPr>
            <w:r>
              <w:rPr>
                <w:sz w:val="18"/>
              </w:rPr>
              <w:t>2</w:t>
              <w:tab/>
              <w:t>1</w:t>
            </w:r>
          </w:p>
        </w:tc>
      </w:tr>
    </w:tbl>
    <w:p>
      <w:pPr>
        <w:pStyle w:val="BodyText"/>
        <w:spacing w:before="3"/>
        <w:rPr>
          <w:b/>
          <w:sz w:val="17"/>
        </w:rPr>
      </w:pPr>
    </w:p>
    <w:p>
      <w:pPr>
        <w:pStyle w:val="ListParagraph"/>
        <w:numPr>
          <w:ilvl w:val="2"/>
          <w:numId w:val="14"/>
        </w:numPr>
        <w:tabs>
          <w:tab w:pos="786" w:val="left" w:leader="none"/>
        </w:tabs>
        <w:spacing w:line="240" w:lineRule="auto" w:before="0" w:after="0"/>
        <w:ind w:left="785" w:right="0" w:hanging="568"/>
        <w:jc w:val="both"/>
        <w:rPr>
          <w:b/>
          <w:i/>
          <w:sz w:val="20"/>
        </w:rPr>
      </w:pPr>
      <w:r>
        <w:rPr>
          <w:b/>
          <w:sz w:val="20"/>
        </w:rPr>
        <w:t>Condiciones de las </w:t>
      </w:r>
      <w:r>
        <w:rPr>
          <w:b/>
          <w:i/>
          <w:sz w:val="20"/>
        </w:rPr>
        <w:t>soluciones</w:t>
      </w:r>
      <w:r>
        <w:rPr>
          <w:b/>
          <w:i/>
          <w:spacing w:val="-4"/>
          <w:sz w:val="20"/>
        </w:rPr>
        <w:t> </w:t>
      </w:r>
      <w:r>
        <w:rPr>
          <w:b/>
          <w:i/>
          <w:sz w:val="20"/>
        </w:rPr>
        <w:t>constructivas</w:t>
      </w:r>
    </w:p>
    <w:p>
      <w:pPr>
        <w:pStyle w:val="ListParagraph"/>
        <w:numPr>
          <w:ilvl w:val="0"/>
          <w:numId w:val="22"/>
        </w:numPr>
        <w:tabs>
          <w:tab w:pos="645" w:val="left" w:leader="none"/>
        </w:tabs>
        <w:spacing w:line="240" w:lineRule="auto" w:before="98" w:after="0"/>
        <w:ind w:left="644" w:right="390" w:hanging="426"/>
        <w:jc w:val="both"/>
        <w:rPr>
          <w:sz w:val="20"/>
        </w:rPr>
      </w:pPr>
      <w:r>
        <w:rPr>
          <w:sz w:val="20"/>
        </w:rPr>
        <w:t>Las condiciones exigidas a cada </w:t>
      </w:r>
      <w:r>
        <w:rPr>
          <w:i/>
          <w:sz w:val="20"/>
        </w:rPr>
        <w:t>solución constructiva</w:t>
      </w:r>
      <w:r>
        <w:rPr>
          <w:sz w:val="20"/>
        </w:rPr>
        <w:t>, en función del tipo de muro, del tipo de sue- lo, del tipo de intervención en el terreno y del </w:t>
      </w:r>
      <w:r>
        <w:rPr>
          <w:i/>
          <w:sz w:val="20"/>
        </w:rPr>
        <w:t>grado de impermeabilidad</w:t>
      </w:r>
      <w:r>
        <w:rPr>
          <w:sz w:val="20"/>
        </w:rPr>
        <w:t>, se obtienen en la tabla 2.4. Las casillas sombreadas se refieren a soluciones que no se consideran aceptables y las casillas en blanco a soluciones a las que no se les exige ninguna condición para los </w:t>
      </w:r>
      <w:r>
        <w:rPr>
          <w:i/>
          <w:sz w:val="20"/>
        </w:rPr>
        <w:t>grados de impermeabilidad </w:t>
      </w:r>
      <w:r>
        <w:rPr>
          <w:sz w:val="20"/>
        </w:rPr>
        <w:t>correspondientes.</w:t>
      </w:r>
    </w:p>
    <w:p>
      <w:pPr>
        <w:spacing w:before="0" w:after="3"/>
        <w:ind w:left="655" w:right="828" w:firstLine="0"/>
        <w:jc w:val="center"/>
        <w:rPr>
          <w:b/>
          <w:sz w:val="18"/>
        </w:rPr>
      </w:pPr>
      <w:r>
        <w:rPr>
          <w:b/>
          <w:sz w:val="18"/>
        </w:rPr>
        <w:t>Tabla 2.4 Condiciones de las soluciones de suelo</w:t>
      </w:r>
    </w:p>
    <w:tbl>
      <w:tblPr>
        <w:tblW w:w="0" w:type="auto"/>
        <w:jc w:val="lef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
        <w:gridCol w:w="251"/>
        <w:gridCol w:w="983"/>
        <w:gridCol w:w="1013"/>
        <w:gridCol w:w="992"/>
        <w:gridCol w:w="992"/>
        <w:gridCol w:w="993"/>
        <w:gridCol w:w="993"/>
        <w:gridCol w:w="991"/>
        <w:gridCol w:w="993"/>
        <w:gridCol w:w="993"/>
      </w:tblGrid>
      <w:tr>
        <w:trPr>
          <w:trHeight w:val="283" w:hRule="atLeast"/>
        </w:trPr>
        <w:tc>
          <w:tcPr>
            <w:tcW w:w="513" w:type="dxa"/>
            <w:gridSpan w:val="2"/>
            <w:vMerge w:val="restart"/>
            <w:tcBorders>
              <w:top w:val="nil"/>
              <w:left w:val="nil"/>
            </w:tcBorders>
          </w:tcPr>
          <w:p>
            <w:pPr>
              <w:pStyle w:val="TableParagraph"/>
              <w:jc w:val="left"/>
              <w:rPr>
                <w:rFonts w:ascii="Times New Roman"/>
                <w:sz w:val="16"/>
              </w:rPr>
            </w:pPr>
          </w:p>
        </w:tc>
        <w:tc>
          <w:tcPr>
            <w:tcW w:w="8943" w:type="dxa"/>
            <w:gridSpan w:val="9"/>
            <w:tcBorders>
              <w:right w:val="nil"/>
            </w:tcBorders>
          </w:tcPr>
          <w:p>
            <w:pPr>
              <w:pStyle w:val="TableParagraph"/>
              <w:spacing w:before="36"/>
              <w:ind w:left="2894" w:right="2902"/>
              <w:rPr>
                <w:b/>
                <w:sz w:val="18"/>
              </w:rPr>
            </w:pPr>
            <w:r>
              <w:rPr>
                <w:b/>
                <w:i/>
                <w:sz w:val="18"/>
              </w:rPr>
              <w:t>Muro flexorresistente </w:t>
            </w:r>
            <w:r>
              <w:rPr>
                <w:b/>
                <w:sz w:val="18"/>
              </w:rPr>
              <w:t>o de gravedad</w:t>
            </w:r>
          </w:p>
        </w:tc>
      </w:tr>
      <w:tr>
        <w:trPr>
          <w:trHeight w:val="284" w:hRule="atLeast"/>
        </w:trPr>
        <w:tc>
          <w:tcPr>
            <w:tcW w:w="513" w:type="dxa"/>
            <w:gridSpan w:val="2"/>
            <w:vMerge/>
            <w:tcBorders>
              <w:top w:val="nil"/>
              <w:left w:val="nil"/>
            </w:tcBorders>
          </w:tcPr>
          <w:p>
            <w:pPr>
              <w:rPr>
                <w:sz w:val="2"/>
                <w:szCs w:val="2"/>
              </w:rPr>
            </w:pPr>
          </w:p>
        </w:tc>
        <w:tc>
          <w:tcPr>
            <w:tcW w:w="2988" w:type="dxa"/>
            <w:gridSpan w:val="3"/>
          </w:tcPr>
          <w:p>
            <w:pPr>
              <w:pStyle w:val="TableParagraph"/>
              <w:spacing w:before="37"/>
              <w:ind w:left="886"/>
              <w:jc w:val="left"/>
              <w:rPr>
                <w:b/>
                <w:i/>
                <w:sz w:val="18"/>
              </w:rPr>
            </w:pPr>
            <w:r>
              <w:rPr>
                <w:b/>
                <w:i/>
                <w:sz w:val="18"/>
              </w:rPr>
              <w:t>Suelo elevado</w:t>
            </w:r>
          </w:p>
        </w:tc>
        <w:tc>
          <w:tcPr>
            <w:tcW w:w="2978" w:type="dxa"/>
            <w:gridSpan w:val="3"/>
          </w:tcPr>
          <w:p>
            <w:pPr>
              <w:pStyle w:val="TableParagraph"/>
              <w:spacing w:before="37"/>
              <w:ind w:left="1188" w:right="1189"/>
              <w:rPr>
                <w:b/>
                <w:i/>
                <w:sz w:val="18"/>
              </w:rPr>
            </w:pPr>
            <w:r>
              <w:rPr>
                <w:b/>
                <w:i/>
                <w:sz w:val="18"/>
              </w:rPr>
              <w:t>Solera</w:t>
            </w:r>
          </w:p>
        </w:tc>
        <w:tc>
          <w:tcPr>
            <w:tcW w:w="2977" w:type="dxa"/>
            <w:gridSpan w:val="3"/>
            <w:tcBorders>
              <w:right w:val="nil"/>
            </w:tcBorders>
          </w:tcPr>
          <w:p>
            <w:pPr>
              <w:pStyle w:val="TableParagraph"/>
              <w:spacing w:before="37"/>
              <w:ind w:left="1223" w:right="1238"/>
              <w:rPr>
                <w:b/>
                <w:i/>
                <w:sz w:val="18"/>
              </w:rPr>
            </w:pPr>
            <w:r>
              <w:rPr>
                <w:b/>
                <w:i/>
                <w:sz w:val="18"/>
              </w:rPr>
              <w:t>Placa</w:t>
            </w:r>
          </w:p>
        </w:tc>
      </w:tr>
      <w:tr>
        <w:trPr>
          <w:trHeight w:val="367" w:hRule="atLeast"/>
        </w:trPr>
        <w:tc>
          <w:tcPr>
            <w:tcW w:w="513" w:type="dxa"/>
            <w:gridSpan w:val="2"/>
            <w:vMerge/>
            <w:tcBorders>
              <w:top w:val="nil"/>
              <w:left w:val="nil"/>
            </w:tcBorders>
          </w:tcPr>
          <w:p>
            <w:pPr>
              <w:rPr>
                <w:sz w:val="2"/>
                <w:szCs w:val="2"/>
              </w:rPr>
            </w:pPr>
          </w:p>
        </w:tc>
        <w:tc>
          <w:tcPr>
            <w:tcW w:w="983" w:type="dxa"/>
            <w:tcBorders>
              <w:right w:val="nil"/>
            </w:tcBorders>
          </w:tcPr>
          <w:p>
            <w:pPr>
              <w:pStyle w:val="TableParagraph"/>
              <w:spacing w:line="183" w:lineRule="exact"/>
              <w:ind w:left="87" w:right="129"/>
              <w:rPr>
                <w:b/>
                <w:i/>
                <w:sz w:val="16"/>
              </w:rPr>
            </w:pPr>
            <w:r>
              <w:rPr>
                <w:b/>
                <w:i/>
                <w:sz w:val="16"/>
              </w:rPr>
              <w:t>Sub-base</w:t>
            </w:r>
          </w:p>
        </w:tc>
        <w:tc>
          <w:tcPr>
            <w:tcW w:w="1013" w:type="dxa"/>
            <w:tcBorders>
              <w:left w:val="nil"/>
              <w:right w:val="nil"/>
            </w:tcBorders>
          </w:tcPr>
          <w:p>
            <w:pPr>
              <w:pStyle w:val="TableParagraph"/>
              <w:spacing w:line="184" w:lineRule="exact" w:before="1"/>
              <w:ind w:left="131" w:right="168"/>
              <w:jc w:val="left"/>
              <w:rPr>
                <w:b/>
                <w:i/>
                <w:sz w:val="16"/>
              </w:rPr>
            </w:pPr>
            <w:r>
              <w:rPr>
                <w:b/>
                <w:i/>
                <w:sz w:val="16"/>
              </w:rPr>
              <w:t>Inyeccio- </w:t>
            </w:r>
            <w:r>
              <w:rPr>
                <w:b/>
                <w:i/>
                <w:sz w:val="16"/>
              </w:rPr>
              <w:t>nes</w:t>
            </w:r>
          </w:p>
        </w:tc>
        <w:tc>
          <w:tcPr>
            <w:tcW w:w="992" w:type="dxa"/>
            <w:tcBorders>
              <w:left w:val="nil"/>
            </w:tcBorders>
          </w:tcPr>
          <w:p>
            <w:pPr>
              <w:pStyle w:val="TableParagraph"/>
              <w:spacing w:line="184" w:lineRule="exact" w:before="1"/>
              <w:ind w:left="110" w:right="163"/>
              <w:jc w:val="left"/>
              <w:rPr>
                <w:b/>
                <w:sz w:val="16"/>
              </w:rPr>
            </w:pPr>
            <w:r>
              <w:rPr>
                <w:b/>
                <w:sz w:val="16"/>
              </w:rPr>
              <w:t>Sin inter- vención</w:t>
            </w:r>
          </w:p>
        </w:tc>
        <w:tc>
          <w:tcPr>
            <w:tcW w:w="992" w:type="dxa"/>
            <w:tcBorders>
              <w:right w:val="nil"/>
            </w:tcBorders>
          </w:tcPr>
          <w:p>
            <w:pPr>
              <w:pStyle w:val="TableParagraph"/>
              <w:spacing w:line="183" w:lineRule="exact"/>
              <w:ind w:left="23" w:right="79"/>
              <w:rPr>
                <w:b/>
                <w:i/>
                <w:sz w:val="16"/>
              </w:rPr>
            </w:pPr>
            <w:r>
              <w:rPr>
                <w:b/>
                <w:i/>
                <w:sz w:val="16"/>
              </w:rPr>
              <w:t>Sub-base</w:t>
            </w:r>
          </w:p>
        </w:tc>
        <w:tc>
          <w:tcPr>
            <w:tcW w:w="993" w:type="dxa"/>
            <w:tcBorders>
              <w:left w:val="nil"/>
              <w:right w:val="nil"/>
            </w:tcBorders>
          </w:tcPr>
          <w:p>
            <w:pPr>
              <w:pStyle w:val="TableParagraph"/>
              <w:spacing w:line="184" w:lineRule="exact" w:before="1"/>
              <w:ind w:left="108" w:right="175"/>
              <w:jc w:val="left"/>
              <w:rPr>
                <w:b/>
                <w:i/>
                <w:sz w:val="16"/>
              </w:rPr>
            </w:pPr>
            <w:r>
              <w:rPr>
                <w:b/>
                <w:i/>
                <w:w w:val="95"/>
                <w:sz w:val="16"/>
              </w:rPr>
              <w:t>Inyeccio- </w:t>
            </w:r>
            <w:r>
              <w:rPr>
                <w:b/>
                <w:i/>
                <w:sz w:val="16"/>
              </w:rPr>
              <w:t>nes</w:t>
            </w:r>
          </w:p>
        </w:tc>
        <w:tc>
          <w:tcPr>
            <w:tcW w:w="993" w:type="dxa"/>
            <w:tcBorders>
              <w:left w:val="nil"/>
            </w:tcBorders>
          </w:tcPr>
          <w:p>
            <w:pPr>
              <w:pStyle w:val="TableParagraph"/>
              <w:spacing w:line="184" w:lineRule="exact" w:before="1"/>
              <w:ind w:left="107" w:right="167"/>
              <w:jc w:val="left"/>
              <w:rPr>
                <w:b/>
                <w:sz w:val="16"/>
              </w:rPr>
            </w:pPr>
            <w:r>
              <w:rPr>
                <w:b/>
                <w:sz w:val="16"/>
              </w:rPr>
              <w:t>Sin inter- vención</w:t>
            </w:r>
          </w:p>
        </w:tc>
        <w:tc>
          <w:tcPr>
            <w:tcW w:w="991" w:type="dxa"/>
            <w:tcBorders>
              <w:right w:val="nil"/>
            </w:tcBorders>
          </w:tcPr>
          <w:p>
            <w:pPr>
              <w:pStyle w:val="TableParagraph"/>
              <w:spacing w:line="183" w:lineRule="exact"/>
              <w:ind w:left="78" w:right="146"/>
              <w:rPr>
                <w:b/>
                <w:i/>
                <w:sz w:val="16"/>
              </w:rPr>
            </w:pPr>
            <w:r>
              <w:rPr>
                <w:b/>
                <w:i/>
                <w:sz w:val="16"/>
              </w:rPr>
              <w:t>Sub-base</w:t>
            </w:r>
          </w:p>
        </w:tc>
        <w:tc>
          <w:tcPr>
            <w:tcW w:w="993" w:type="dxa"/>
            <w:tcBorders>
              <w:left w:val="nil"/>
              <w:right w:val="nil"/>
            </w:tcBorders>
          </w:tcPr>
          <w:p>
            <w:pPr>
              <w:pStyle w:val="TableParagraph"/>
              <w:spacing w:line="184" w:lineRule="exact" w:before="1"/>
              <w:ind w:left="104" w:right="175"/>
              <w:jc w:val="left"/>
              <w:rPr>
                <w:b/>
                <w:i/>
                <w:sz w:val="16"/>
              </w:rPr>
            </w:pPr>
            <w:r>
              <w:rPr>
                <w:b/>
                <w:i/>
                <w:sz w:val="16"/>
              </w:rPr>
              <w:t>Inyeccio- </w:t>
            </w:r>
            <w:r>
              <w:rPr>
                <w:b/>
                <w:i/>
                <w:sz w:val="16"/>
              </w:rPr>
              <w:t>nes</w:t>
            </w:r>
          </w:p>
        </w:tc>
        <w:tc>
          <w:tcPr>
            <w:tcW w:w="993" w:type="dxa"/>
            <w:tcBorders>
              <w:left w:val="nil"/>
              <w:right w:val="nil"/>
            </w:tcBorders>
          </w:tcPr>
          <w:p>
            <w:pPr>
              <w:pStyle w:val="TableParagraph"/>
              <w:spacing w:line="184" w:lineRule="exact" w:before="1"/>
              <w:ind w:left="102" w:right="177"/>
              <w:jc w:val="left"/>
              <w:rPr>
                <w:b/>
                <w:sz w:val="16"/>
              </w:rPr>
            </w:pPr>
            <w:r>
              <w:rPr>
                <w:b/>
                <w:sz w:val="16"/>
              </w:rPr>
              <w:t>Sin inter- vención</w:t>
            </w:r>
          </w:p>
        </w:tc>
      </w:tr>
      <w:tr>
        <w:trPr>
          <w:trHeight w:val="593" w:hRule="atLeast"/>
        </w:trPr>
        <w:tc>
          <w:tcPr>
            <w:tcW w:w="262" w:type="dxa"/>
            <w:vMerge w:val="restart"/>
            <w:tcBorders>
              <w:left w:val="nil"/>
            </w:tcBorders>
            <w:textDirection w:val="btLr"/>
          </w:tcPr>
          <w:p>
            <w:pPr>
              <w:pStyle w:val="TableParagraph"/>
              <w:spacing w:line="155" w:lineRule="exact" w:before="82"/>
              <w:ind w:left="581"/>
              <w:jc w:val="left"/>
              <w:rPr>
                <w:b/>
                <w:sz w:val="18"/>
              </w:rPr>
            </w:pPr>
            <w:r>
              <w:rPr>
                <w:b/>
                <w:sz w:val="18"/>
              </w:rPr>
              <w:t>Grado de impermeabilidad</w:t>
            </w:r>
          </w:p>
        </w:tc>
        <w:tc>
          <w:tcPr>
            <w:tcW w:w="251" w:type="dxa"/>
          </w:tcPr>
          <w:p>
            <w:pPr>
              <w:pStyle w:val="TableParagraph"/>
              <w:spacing w:before="5"/>
              <w:jc w:val="left"/>
              <w:rPr>
                <w:b/>
                <w:sz w:val="16"/>
              </w:rPr>
            </w:pPr>
          </w:p>
          <w:p>
            <w:pPr>
              <w:pStyle w:val="TableParagraph"/>
              <w:spacing w:before="1"/>
              <w:ind w:left="6"/>
              <w:rPr>
                <w:b/>
                <w:sz w:val="18"/>
              </w:rPr>
            </w:pPr>
            <w:r>
              <w:rPr>
                <w:b/>
                <w:sz w:val="18"/>
              </w:rPr>
              <w:t>≤1</w:t>
            </w:r>
          </w:p>
        </w:tc>
        <w:tc>
          <w:tcPr>
            <w:tcW w:w="2988" w:type="dxa"/>
            <w:gridSpan w:val="3"/>
          </w:tcPr>
          <w:p>
            <w:pPr>
              <w:pStyle w:val="TableParagraph"/>
              <w:spacing w:before="7"/>
              <w:jc w:val="left"/>
              <w:rPr>
                <w:b/>
                <w:sz w:val="18"/>
              </w:rPr>
            </w:pPr>
          </w:p>
          <w:p>
            <w:pPr>
              <w:pStyle w:val="TableParagraph"/>
              <w:ind w:right="402"/>
              <w:jc w:val="right"/>
              <w:rPr>
                <w:sz w:val="14"/>
              </w:rPr>
            </w:pPr>
            <w:r>
              <w:rPr>
                <w:sz w:val="14"/>
              </w:rPr>
              <w:t>V1</w:t>
            </w:r>
          </w:p>
        </w:tc>
        <w:tc>
          <w:tcPr>
            <w:tcW w:w="992" w:type="dxa"/>
            <w:tcBorders>
              <w:right w:val="nil"/>
            </w:tcBorders>
          </w:tcPr>
          <w:p>
            <w:pPr>
              <w:pStyle w:val="TableParagraph"/>
              <w:jc w:val="left"/>
              <w:rPr>
                <w:rFonts w:ascii="Times New Roman"/>
                <w:sz w:val="16"/>
              </w:rPr>
            </w:pPr>
          </w:p>
        </w:tc>
        <w:tc>
          <w:tcPr>
            <w:tcW w:w="993" w:type="dxa"/>
            <w:tcBorders>
              <w:left w:val="nil"/>
              <w:right w:val="nil"/>
            </w:tcBorders>
          </w:tcPr>
          <w:p>
            <w:pPr>
              <w:pStyle w:val="TableParagraph"/>
              <w:spacing w:before="7"/>
              <w:jc w:val="left"/>
              <w:rPr>
                <w:b/>
                <w:sz w:val="18"/>
              </w:rPr>
            </w:pPr>
          </w:p>
          <w:p>
            <w:pPr>
              <w:pStyle w:val="TableParagraph"/>
              <w:ind w:left="76" w:right="77"/>
              <w:rPr>
                <w:sz w:val="14"/>
              </w:rPr>
            </w:pPr>
            <w:r>
              <w:rPr>
                <w:sz w:val="14"/>
              </w:rPr>
              <w:t>D1</w:t>
            </w:r>
          </w:p>
        </w:tc>
        <w:tc>
          <w:tcPr>
            <w:tcW w:w="993" w:type="dxa"/>
            <w:tcBorders>
              <w:left w:val="nil"/>
            </w:tcBorders>
          </w:tcPr>
          <w:p>
            <w:pPr>
              <w:pStyle w:val="TableParagraph"/>
              <w:spacing w:before="7"/>
              <w:jc w:val="left"/>
              <w:rPr>
                <w:b/>
                <w:sz w:val="18"/>
              </w:rPr>
            </w:pPr>
          </w:p>
          <w:p>
            <w:pPr>
              <w:pStyle w:val="TableParagraph"/>
              <w:ind w:left="123" w:right="123"/>
              <w:rPr>
                <w:sz w:val="14"/>
              </w:rPr>
            </w:pPr>
            <w:r>
              <w:rPr>
                <w:sz w:val="14"/>
              </w:rPr>
              <w:t>C2+C3+D1</w:t>
            </w:r>
          </w:p>
        </w:tc>
        <w:tc>
          <w:tcPr>
            <w:tcW w:w="991" w:type="dxa"/>
            <w:tcBorders>
              <w:right w:val="nil"/>
            </w:tcBorders>
          </w:tcPr>
          <w:p>
            <w:pPr>
              <w:pStyle w:val="TableParagraph"/>
              <w:jc w:val="left"/>
              <w:rPr>
                <w:rFonts w:ascii="Times New Roman"/>
                <w:sz w:val="16"/>
              </w:rPr>
            </w:pPr>
          </w:p>
        </w:tc>
        <w:tc>
          <w:tcPr>
            <w:tcW w:w="993" w:type="dxa"/>
            <w:tcBorders>
              <w:left w:val="nil"/>
              <w:right w:val="nil"/>
            </w:tcBorders>
          </w:tcPr>
          <w:p>
            <w:pPr>
              <w:pStyle w:val="TableParagraph"/>
              <w:spacing w:before="7"/>
              <w:jc w:val="left"/>
              <w:rPr>
                <w:b/>
                <w:sz w:val="18"/>
              </w:rPr>
            </w:pPr>
          </w:p>
          <w:p>
            <w:pPr>
              <w:pStyle w:val="TableParagraph"/>
              <w:ind w:left="69" w:right="77"/>
              <w:rPr>
                <w:sz w:val="14"/>
              </w:rPr>
            </w:pPr>
            <w:r>
              <w:rPr>
                <w:sz w:val="14"/>
              </w:rPr>
              <w:t>D1</w:t>
            </w:r>
          </w:p>
        </w:tc>
        <w:tc>
          <w:tcPr>
            <w:tcW w:w="993" w:type="dxa"/>
            <w:tcBorders>
              <w:left w:val="nil"/>
              <w:right w:val="nil"/>
            </w:tcBorders>
          </w:tcPr>
          <w:p>
            <w:pPr>
              <w:pStyle w:val="TableParagraph"/>
              <w:spacing w:before="7"/>
              <w:jc w:val="left"/>
              <w:rPr>
                <w:b/>
                <w:sz w:val="18"/>
              </w:rPr>
            </w:pPr>
          </w:p>
          <w:p>
            <w:pPr>
              <w:pStyle w:val="TableParagraph"/>
              <w:ind w:left="64" w:right="77"/>
              <w:rPr>
                <w:sz w:val="14"/>
              </w:rPr>
            </w:pPr>
            <w:r>
              <w:rPr>
                <w:sz w:val="14"/>
              </w:rPr>
              <w:t>C2+C3+D1</w:t>
            </w:r>
          </w:p>
        </w:tc>
      </w:tr>
      <w:tr>
        <w:trPr>
          <w:trHeight w:val="594" w:hRule="atLeast"/>
        </w:trPr>
        <w:tc>
          <w:tcPr>
            <w:tcW w:w="262" w:type="dxa"/>
            <w:vMerge/>
            <w:tcBorders>
              <w:top w:val="nil"/>
              <w:left w:val="nil"/>
            </w:tcBorders>
            <w:textDirection w:val="btLr"/>
          </w:tcPr>
          <w:p>
            <w:pPr>
              <w:rPr>
                <w:sz w:val="2"/>
                <w:szCs w:val="2"/>
              </w:rPr>
            </w:pPr>
          </w:p>
        </w:tc>
        <w:tc>
          <w:tcPr>
            <w:tcW w:w="251" w:type="dxa"/>
          </w:tcPr>
          <w:p>
            <w:pPr>
              <w:pStyle w:val="TableParagraph"/>
              <w:spacing w:before="6"/>
              <w:jc w:val="left"/>
              <w:rPr>
                <w:b/>
                <w:sz w:val="16"/>
              </w:rPr>
            </w:pPr>
          </w:p>
          <w:p>
            <w:pPr>
              <w:pStyle w:val="TableParagraph"/>
              <w:spacing w:before="1"/>
              <w:ind w:left="6"/>
              <w:rPr>
                <w:b/>
                <w:sz w:val="18"/>
              </w:rPr>
            </w:pPr>
            <w:r>
              <w:rPr>
                <w:b/>
                <w:sz w:val="18"/>
              </w:rPr>
              <w:t>≤2</w:t>
            </w:r>
          </w:p>
        </w:tc>
        <w:tc>
          <w:tcPr>
            <w:tcW w:w="983" w:type="dxa"/>
            <w:tcBorders>
              <w:right w:val="nil"/>
            </w:tcBorders>
          </w:tcPr>
          <w:p>
            <w:pPr>
              <w:pStyle w:val="TableParagraph"/>
              <w:spacing w:before="8"/>
              <w:jc w:val="left"/>
              <w:rPr>
                <w:b/>
                <w:sz w:val="18"/>
              </w:rPr>
            </w:pPr>
          </w:p>
          <w:p>
            <w:pPr>
              <w:pStyle w:val="TableParagraph"/>
              <w:ind w:left="87" w:right="65"/>
              <w:rPr>
                <w:sz w:val="14"/>
              </w:rPr>
            </w:pPr>
            <w:r>
              <w:rPr>
                <w:sz w:val="14"/>
              </w:rPr>
              <w:t>C2</w:t>
            </w:r>
          </w:p>
        </w:tc>
        <w:tc>
          <w:tcPr>
            <w:tcW w:w="1013" w:type="dxa"/>
            <w:tcBorders>
              <w:left w:val="nil"/>
              <w:right w:val="nil"/>
            </w:tcBorders>
          </w:tcPr>
          <w:p>
            <w:pPr>
              <w:pStyle w:val="TableParagraph"/>
              <w:jc w:val="left"/>
              <w:rPr>
                <w:rFonts w:ascii="Times New Roman"/>
                <w:sz w:val="16"/>
              </w:rPr>
            </w:pPr>
          </w:p>
        </w:tc>
        <w:tc>
          <w:tcPr>
            <w:tcW w:w="992" w:type="dxa"/>
            <w:tcBorders>
              <w:left w:val="nil"/>
            </w:tcBorders>
          </w:tcPr>
          <w:p>
            <w:pPr>
              <w:pStyle w:val="TableParagraph"/>
              <w:spacing w:before="8"/>
              <w:jc w:val="left"/>
              <w:rPr>
                <w:b/>
                <w:sz w:val="18"/>
              </w:rPr>
            </w:pPr>
          </w:p>
          <w:p>
            <w:pPr>
              <w:pStyle w:val="TableParagraph"/>
              <w:ind w:left="85" w:right="78"/>
              <w:rPr>
                <w:sz w:val="14"/>
              </w:rPr>
            </w:pPr>
            <w:r>
              <w:rPr>
                <w:sz w:val="14"/>
              </w:rPr>
              <w:t>V1</w:t>
            </w:r>
          </w:p>
        </w:tc>
        <w:tc>
          <w:tcPr>
            <w:tcW w:w="992" w:type="dxa"/>
            <w:tcBorders>
              <w:right w:val="nil"/>
            </w:tcBorders>
          </w:tcPr>
          <w:p>
            <w:pPr>
              <w:pStyle w:val="TableParagraph"/>
              <w:spacing w:before="8"/>
              <w:jc w:val="left"/>
              <w:rPr>
                <w:b/>
                <w:sz w:val="18"/>
              </w:rPr>
            </w:pPr>
          </w:p>
          <w:p>
            <w:pPr>
              <w:pStyle w:val="TableParagraph"/>
              <w:ind w:left="78" w:right="79"/>
              <w:rPr>
                <w:sz w:val="14"/>
              </w:rPr>
            </w:pPr>
            <w:r>
              <w:rPr>
                <w:sz w:val="14"/>
              </w:rPr>
              <w:t>C2+C3</w:t>
            </w:r>
          </w:p>
        </w:tc>
        <w:tc>
          <w:tcPr>
            <w:tcW w:w="993" w:type="dxa"/>
            <w:tcBorders>
              <w:left w:val="nil"/>
              <w:right w:val="nil"/>
            </w:tcBorders>
          </w:tcPr>
          <w:p>
            <w:pPr>
              <w:pStyle w:val="TableParagraph"/>
              <w:spacing w:before="8"/>
              <w:jc w:val="left"/>
              <w:rPr>
                <w:b/>
                <w:sz w:val="18"/>
              </w:rPr>
            </w:pPr>
          </w:p>
          <w:p>
            <w:pPr>
              <w:pStyle w:val="TableParagraph"/>
              <w:ind w:left="76" w:right="77"/>
              <w:rPr>
                <w:sz w:val="14"/>
              </w:rPr>
            </w:pPr>
            <w:r>
              <w:rPr>
                <w:sz w:val="14"/>
              </w:rPr>
              <w:t>C2+C3+D1</w:t>
            </w:r>
          </w:p>
        </w:tc>
        <w:tc>
          <w:tcPr>
            <w:tcW w:w="993" w:type="dxa"/>
            <w:tcBorders>
              <w:left w:val="nil"/>
            </w:tcBorders>
          </w:tcPr>
          <w:p>
            <w:pPr>
              <w:pStyle w:val="TableParagraph"/>
              <w:spacing w:before="8"/>
              <w:jc w:val="left"/>
              <w:rPr>
                <w:b/>
                <w:sz w:val="18"/>
              </w:rPr>
            </w:pPr>
          </w:p>
          <w:p>
            <w:pPr>
              <w:pStyle w:val="TableParagraph"/>
              <w:ind w:left="123" w:right="123"/>
              <w:rPr>
                <w:sz w:val="14"/>
              </w:rPr>
            </w:pPr>
            <w:r>
              <w:rPr>
                <w:sz w:val="14"/>
              </w:rPr>
              <w:t>C2+C3+D1</w:t>
            </w:r>
          </w:p>
        </w:tc>
        <w:tc>
          <w:tcPr>
            <w:tcW w:w="991" w:type="dxa"/>
            <w:tcBorders>
              <w:right w:val="nil"/>
            </w:tcBorders>
          </w:tcPr>
          <w:p>
            <w:pPr>
              <w:pStyle w:val="TableParagraph"/>
              <w:spacing w:before="8"/>
              <w:jc w:val="left"/>
              <w:rPr>
                <w:b/>
                <w:sz w:val="18"/>
              </w:rPr>
            </w:pPr>
          </w:p>
          <w:p>
            <w:pPr>
              <w:pStyle w:val="TableParagraph"/>
              <w:ind w:left="78" w:right="90"/>
              <w:rPr>
                <w:sz w:val="14"/>
              </w:rPr>
            </w:pPr>
            <w:r>
              <w:rPr>
                <w:sz w:val="14"/>
              </w:rPr>
              <w:t>C2+C3</w:t>
            </w:r>
          </w:p>
        </w:tc>
        <w:tc>
          <w:tcPr>
            <w:tcW w:w="993" w:type="dxa"/>
            <w:tcBorders>
              <w:left w:val="nil"/>
              <w:right w:val="nil"/>
            </w:tcBorders>
          </w:tcPr>
          <w:p>
            <w:pPr>
              <w:pStyle w:val="TableParagraph"/>
              <w:spacing w:before="8"/>
              <w:jc w:val="left"/>
              <w:rPr>
                <w:b/>
                <w:sz w:val="18"/>
              </w:rPr>
            </w:pPr>
          </w:p>
          <w:p>
            <w:pPr>
              <w:pStyle w:val="TableParagraph"/>
              <w:ind w:left="66" w:right="77"/>
              <w:rPr>
                <w:sz w:val="14"/>
              </w:rPr>
            </w:pPr>
            <w:r>
              <w:rPr>
                <w:sz w:val="14"/>
              </w:rPr>
              <w:t>C2+C3+D1</w:t>
            </w:r>
          </w:p>
        </w:tc>
        <w:tc>
          <w:tcPr>
            <w:tcW w:w="993" w:type="dxa"/>
            <w:tcBorders>
              <w:left w:val="nil"/>
              <w:right w:val="nil"/>
            </w:tcBorders>
          </w:tcPr>
          <w:p>
            <w:pPr>
              <w:pStyle w:val="TableParagraph"/>
              <w:spacing w:before="8"/>
              <w:jc w:val="left"/>
              <w:rPr>
                <w:b/>
                <w:sz w:val="18"/>
              </w:rPr>
            </w:pPr>
          </w:p>
          <w:p>
            <w:pPr>
              <w:pStyle w:val="TableParagraph"/>
              <w:ind w:left="62" w:right="77"/>
              <w:rPr>
                <w:sz w:val="14"/>
              </w:rPr>
            </w:pPr>
            <w:r>
              <w:rPr>
                <w:sz w:val="14"/>
              </w:rPr>
              <w:t>C2+C3+D1</w:t>
            </w:r>
          </w:p>
        </w:tc>
      </w:tr>
      <w:tr>
        <w:trPr>
          <w:trHeight w:val="594" w:hRule="atLeast"/>
        </w:trPr>
        <w:tc>
          <w:tcPr>
            <w:tcW w:w="262" w:type="dxa"/>
            <w:vMerge/>
            <w:tcBorders>
              <w:top w:val="nil"/>
              <w:left w:val="nil"/>
            </w:tcBorders>
            <w:textDirection w:val="btLr"/>
          </w:tcPr>
          <w:p>
            <w:pPr>
              <w:rPr>
                <w:sz w:val="2"/>
                <w:szCs w:val="2"/>
              </w:rPr>
            </w:pPr>
          </w:p>
        </w:tc>
        <w:tc>
          <w:tcPr>
            <w:tcW w:w="251" w:type="dxa"/>
          </w:tcPr>
          <w:p>
            <w:pPr>
              <w:pStyle w:val="TableParagraph"/>
              <w:spacing w:before="6"/>
              <w:jc w:val="left"/>
              <w:rPr>
                <w:b/>
                <w:sz w:val="16"/>
              </w:rPr>
            </w:pPr>
          </w:p>
          <w:p>
            <w:pPr>
              <w:pStyle w:val="TableParagraph"/>
              <w:spacing w:before="1"/>
              <w:ind w:left="6"/>
              <w:rPr>
                <w:b/>
                <w:sz w:val="18"/>
              </w:rPr>
            </w:pPr>
            <w:r>
              <w:rPr>
                <w:b/>
                <w:sz w:val="18"/>
              </w:rPr>
              <w:t>≤3</w:t>
            </w:r>
          </w:p>
        </w:tc>
        <w:tc>
          <w:tcPr>
            <w:tcW w:w="983" w:type="dxa"/>
            <w:tcBorders>
              <w:right w:val="nil"/>
            </w:tcBorders>
          </w:tcPr>
          <w:p>
            <w:pPr>
              <w:pStyle w:val="TableParagraph"/>
              <w:spacing w:before="135"/>
              <w:ind w:left="414" w:right="106" w:hanging="267"/>
              <w:jc w:val="left"/>
              <w:rPr>
                <w:sz w:val="14"/>
              </w:rPr>
            </w:pPr>
            <w:r>
              <w:rPr>
                <w:sz w:val="14"/>
              </w:rPr>
              <w:t>I2+S1+S3+ V1</w:t>
            </w:r>
          </w:p>
        </w:tc>
        <w:tc>
          <w:tcPr>
            <w:tcW w:w="1013" w:type="dxa"/>
            <w:tcBorders>
              <w:left w:val="nil"/>
              <w:right w:val="nil"/>
            </w:tcBorders>
          </w:tcPr>
          <w:p>
            <w:pPr>
              <w:pStyle w:val="TableParagraph"/>
              <w:spacing w:before="135"/>
              <w:ind w:left="433" w:right="122" w:hanging="267"/>
              <w:jc w:val="left"/>
              <w:rPr>
                <w:sz w:val="14"/>
              </w:rPr>
            </w:pPr>
            <w:r>
              <w:rPr>
                <w:sz w:val="14"/>
              </w:rPr>
              <w:t>I2+S1+S3+ V1</w:t>
            </w:r>
          </w:p>
        </w:tc>
        <w:tc>
          <w:tcPr>
            <w:tcW w:w="992" w:type="dxa"/>
            <w:tcBorders>
              <w:left w:val="nil"/>
            </w:tcBorders>
          </w:tcPr>
          <w:p>
            <w:pPr>
              <w:pStyle w:val="TableParagraph"/>
              <w:spacing w:before="135"/>
              <w:ind w:left="151" w:right="117" w:hanging="6"/>
              <w:jc w:val="left"/>
              <w:rPr>
                <w:sz w:val="14"/>
              </w:rPr>
            </w:pPr>
            <w:r>
              <w:rPr>
                <w:sz w:val="14"/>
              </w:rPr>
              <w:t>I2+S1+S3+ V1+D3+D4</w:t>
            </w:r>
          </w:p>
        </w:tc>
        <w:tc>
          <w:tcPr>
            <w:tcW w:w="992" w:type="dxa"/>
            <w:tcBorders>
              <w:right w:val="nil"/>
            </w:tcBorders>
          </w:tcPr>
          <w:p>
            <w:pPr>
              <w:pStyle w:val="TableParagraph"/>
              <w:spacing w:before="54"/>
              <w:ind w:left="141"/>
              <w:jc w:val="left"/>
              <w:rPr>
                <w:sz w:val="14"/>
              </w:rPr>
            </w:pPr>
            <w:r>
              <w:rPr>
                <w:sz w:val="14"/>
              </w:rPr>
              <w:t>C1+C2+C3</w:t>
            </w:r>
          </w:p>
          <w:p>
            <w:pPr>
              <w:pStyle w:val="TableParagraph"/>
              <w:ind w:left="132"/>
              <w:jc w:val="left"/>
              <w:rPr>
                <w:sz w:val="14"/>
              </w:rPr>
            </w:pPr>
            <w:r>
              <w:rPr>
                <w:sz w:val="14"/>
              </w:rPr>
              <w:t>+I2+D1+D2</w:t>
            </w:r>
          </w:p>
          <w:p>
            <w:pPr>
              <w:pStyle w:val="TableParagraph"/>
              <w:ind w:left="113"/>
              <w:jc w:val="left"/>
              <w:rPr>
                <w:sz w:val="14"/>
              </w:rPr>
            </w:pPr>
            <w:r>
              <w:rPr>
                <w:sz w:val="14"/>
              </w:rPr>
              <w:t>+S1+S2+S3</w:t>
            </w:r>
          </w:p>
        </w:tc>
        <w:tc>
          <w:tcPr>
            <w:tcW w:w="993" w:type="dxa"/>
            <w:tcBorders>
              <w:left w:val="nil"/>
              <w:right w:val="nil"/>
            </w:tcBorders>
          </w:tcPr>
          <w:p>
            <w:pPr>
              <w:pStyle w:val="TableParagraph"/>
              <w:spacing w:before="54"/>
              <w:ind w:left="146"/>
              <w:jc w:val="left"/>
              <w:rPr>
                <w:sz w:val="14"/>
              </w:rPr>
            </w:pPr>
            <w:r>
              <w:rPr>
                <w:sz w:val="14"/>
              </w:rPr>
              <w:t>C1+C2+C3</w:t>
            </w:r>
          </w:p>
          <w:p>
            <w:pPr>
              <w:pStyle w:val="TableParagraph"/>
              <w:ind w:left="136"/>
              <w:jc w:val="left"/>
              <w:rPr>
                <w:sz w:val="14"/>
              </w:rPr>
            </w:pPr>
            <w:r>
              <w:rPr>
                <w:sz w:val="14"/>
              </w:rPr>
              <w:t>+I2+D1+D2</w:t>
            </w:r>
          </w:p>
          <w:p>
            <w:pPr>
              <w:pStyle w:val="TableParagraph"/>
              <w:ind w:left="117"/>
              <w:jc w:val="left"/>
              <w:rPr>
                <w:sz w:val="14"/>
              </w:rPr>
            </w:pPr>
            <w:r>
              <w:rPr>
                <w:sz w:val="14"/>
              </w:rPr>
              <w:t>+S1+S2+S3</w:t>
            </w:r>
          </w:p>
        </w:tc>
        <w:tc>
          <w:tcPr>
            <w:tcW w:w="993" w:type="dxa"/>
            <w:tcBorders>
              <w:left w:val="nil"/>
            </w:tcBorders>
          </w:tcPr>
          <w:p>
            <w:pPr>
              <w:pStyle w:val="TableParagraph"/>
              <w:spacing w:before="54"/>
              <w:ind w:left="144" w:right="123" w:hanging="10"/>
              <w:jc w:val="left"/>
              <w:rPr>
                <w:sz w:val="14"/>
              </w:rPr>
            </w:pPr>
            <w:r>
              <w:rPr>
                <w:spacing w:val="-1"/>
                <w:sz w:val="14"/>
              </w:rPr>
              <w:t>C2+C3+I2+ </w:t>
            </w:r>
            <w:r>
              <w:rPr>
                <w:sz w:val="14"/>
              </w:rPr>
              <w:t>D1+D2+C1</w:t>
            </w:r>
          </w:p>
          <w:p>
            <w:pPr>
              <w:pStyle w:val="TableParagraph"/>
              <w:spacing w:line="161" w:lineRule="exact"/>
              <w:ind w:left="115"/>
              <w:jc w:val="left"/>
              <w:rPr>
                <w:sz w:val="14"/>
              </w:rPr>
            </w:pPr>
            <w:r>
              <w:rPr>
                <w:sz w:val="14"/>
              </w:rPr>
              <w:t>+S1+S2+S3</w:t>
            </w:r>
          </w:p>
        </w:tc>
        <w:tc>
          <w:tcPr>
            <w:tcW w:w="991" w:type="dxa"/>
            <w:tcBorders>
              <w:right w:val="nil"/>
            </w:tcBorders>
          </w:tcPr>
          <w:p>
            <w:pPr>
              <w:pStyle w:val="TableParagraph"/>
              <w:spacing w:before="54"/>
              <w:ind w:left="136" w:right="129" w:hanging="10"/>
              <w:jc w:val="left"/>
              <w:rPr>
                <w:sz w:val="14"/>
              </w:rPr>
            </w:pPr>
            <w:r>
              <w:rPr>
                <w:spacing w:val="-1"/>
                <w:sz w:val="14"/>
              </w:rPr>
              <w:t>C2+C3+I2+ </w:t>
            </w:r>
            <w:r>
              <w:rPr>
                <w:sz w:val="14"/>
              </w:rPr>
              <w:t>D1+D2+C1</w:t>
            </w:r>
          </w:p>
          <w:p>
            <w:pPr>
              <w:pStyle w:val="TableParagraph"/>
              <w:spacing w:line="161" w:lineRule="exact"/>
              <w:ind w:left="107"/>
              <w:jc w:val="left"/>
              <w:rPr>
                <w:sz w:val="14"/>
              </w:rPr>
            </w:pPr>
            <w:r>
              <w:rPr>
                <w:sz w:val="14"/>
              </w:rPr>
              <w:t>+S1+S2+S3</w:t>
            </w:r>
          </w:p>
        </w:tc>
        <w:tc>
          <w:tcPr>
            <w:tcW w:w="993" w:type="dxa"/>
            <w:tcBorders>
              <w:left w:val="nil"/>
              <w:right w:val="nil"/>
            </w:tcBorders>
          </w:tcPr>
          <w:p>
            <w:pPr>
              <w:pStyle w:val="TableParagraph"/>
              <w:spacing w:before="54"/>
              <w:ind w:left="141"/>
              <w:jc w:val="left"/>
              <w:rPr>
                <w:sz w:val="14"/>
              </w:rPr>
            </w:pPr>
            <w:r>
              <w:rPr>
                <w:sz w:val="14"/>
              </w:rPr>
              <w:t>C1+C2+C3</w:t>
            </w:r>
          </w:p>
          <w:p>
            <w:pPr>
              <w:pStyle w:val="TableParagraph"/>
              <w:ind w:left="131"/>
              <w:jc w:val="left"/>
              <w:rPr>
                <w:sz w:val="14"/>
              </w:rPr>
            </w:pPr>
            <w:r>
              <w:rPr>
                <w:sz w:val="14"/>
              </w:rPr>
              <w:t>+I2+D1+D2</w:t>
            </w:r>
          </w:p>
          <w:p>
            <w:pPr>
              <w:pStyle w:val="TableParagraph"/>
              <w:ind w:left="112"/>
              <w:jc w:val="left"/>
              <w:rPr>
                <w:sz w:val="14"/>
              </w:rPr>
            </w:pPr>
            <w:r>
              <w:rPr>
                <w:sz w:val="14"/>
              </w:rPr>
              <w:t>+S1+S2+S3</w:t>
            </w:r>
          </w:p>
        </w:tc>
        <w:tc>
          <w:tcPr>
            <w:tcW w:w="993" w:type="dxa"/>
            <w:tcBorders>
              <w:left w:val="nil"/>
              <w:right w:val="nil"/>
            </w:tcBorders>
          </w:tcPr>
          <w:p>
            <w:pPr>
              <w:pStyle w:val="TableParagraph"/>
              <w:spacing w:before="54"/>
              <w:ind w:left="67" w:right="77"/>
              <w:rPr>
                <w:sz w:val="14"/>
              </w:rPr>
            </w:pPr>
            <w:r>
              <w:rPr>
                <w:sz w:val="14"/>
              </w:rPr>
              <w:t>C1+C2+I2+</w:t>
            </w:r>
          </w:p>
          <w:p>
            <w:pPr>
              <w:pStyle w:val="TableParagraph"/>
              <w:ind w:left="65" w:right="77"/>
              <w:rPr>
                <w:sz w:val="14"/>
              </w:rPr>
            </w:pPr>
            <w:r>
              <w:rPr>
                <w:sz w:val="14"/>
              </w:rPr>
              <w:t>+D1+D2+S1</w:t>
            </w:r>
          </w:p>
          <w:p>
            <w:pPr>
              <w:pStyle w:val="TableParagraph"/>
              <w:ind w:left="67" w:right="77"/>
              <w:rPr>
                <w:sz w:val="14"/>
              </w:rPr>
            </w:pPr>
            <w:r>
              <w:rPr>
                <w:sz w:val="14"/>
              </w:rPr>
              <w:t>+S2+S3</w:t>
            </w:r>
          </w:p>
        </w:tc>
      </w:tr>
      <w:tr>
        <w:trPr>
          <w:trHeight w:val="156" w:hRule="atLeast"/>
        </w:trPr>
        <w:tc>
          <w:tcPr>
            <w:tcW w:w="262" w:type="dxa"/>
            <w:vMerge/>
            <w:tcBorders>
              <w:top w:val="nil"/>
              <w:left w:val="nil"/>
            </w:tcBorders>
            <w:textDirection w:val="btLr"/>
          </w:tcPr>
          <w:p>
            <w:pPr>
              <w:rPr>
                <w:sz w:val="2"/>
                <w:szCs w:val="2"/>
              </w:rPr>
            </w:pPr>
          </w:p>
        </w:tc>
        <w:tc>
          <w:tcPr>
            <w:tcW w:w="251" w:type="dxa"/>
            <w:tcBorders>
              <w:bottom w:val="nil"/>
            </w:tcBorders>
          </w:tcPr>
          <w:p>
            <w:pPr>
              <w:pStyle w:val="TableParagraph"/>
              <w:jc w:val="left"/>
              <w:rPr>
                <w:rFonts w:ascii="Times New Roman"/>
                <w:sz w:val="10"/>
              </w:rPr>
            </w:pPr>
          </w:p>
        </w:tc>
        <w:tc>
          <w:tcPr>
            <w:tcW w:w="983" w:type="dxa"/>
            <w:tcBorders>
              <w:bottom w:val="nil"/>
              <w:right w:val="nil"/>
            </w:tcBorders>
          </w:tcPr>
          <w:p>
            <w:pPr>
              <w:pStyle w:val="TableParagraph"/>
              <w:jc w:val="left"/>
              <w:rPr>
                <w:rFonts w:ascii="Times New Roman"/>
                <w:sz w:val="10"/>
              </w:rPr>
            </w:pPr>
          </w:p>
        </w:tc>
        <w:tc>
          <w:tcPr>
            <w:tcW w:w="1013" w:type="dxa"/>
            <w:tcBorders>
              <w:left w:val="nil"/>
              <w:bottom w:val="nil"/>
              <w:right w:val="nil"/>
            </w:tcBorders>
          </w:tcPr>
          <w:p>
            <w:pPr>
              <w:pStyle w:val="TableParagraph"/>
              <w:jc w:val="left"/>
              <w:rPr>
                <w:rFonts w:ascii="Times New Roman"/>
                <w:sz w:val="10"/>
              </w:rPr>
            </w:pPr>
          </w:p>
        </w:tc>
        <w:tc>
          <w:tcPr>
            <w:tcW w:w="992" w:type="dxa"/>
            <w:vMerge w:val="restart"/>
            <w:tcBorders>
              <w:left w:val="nil"/>
            </w:tcBorders>
            <w:shd w:val="clear" w:color="auto" w:fill="A6A6A6"/>
          </w:tcPr>
          <w:p>
            <w:pPr>
              <w:pStyle w:val="TableParagraph"/>
              <w:jc w:val="left"/>
              <w:rPr>
                <w:rFonts w:ascii="Times New Roman"/>
                <w:sz w:val="16"/>
              </w:rPr>
            </w:pPr>
          </w:p>
        </w:tc>
        <w:tc>
          <w:tcPr>
            <w:tcW w:w="992" w:type="dxa"/>
            <w:tcBorders>
              <w:bottom w:val="nil"/>
              <w:right w:val="nil"/>
            </w:tcBorders>
          </w:tcPr>
          <w:p>
            <w:pPr>
              <w:pStyle w:val="TableParagraph"/>
              <w:jc w:val="left"/>
              <w:rPr>
                <w:rFonts w:ascii="Times New Roman"/>
                <w:sz w:val="10"/>
              </w:rPr>
            </w:pPr>
          </w:p>
        </w:tc>
        <w:tc>
          <w:tcPr>
            <w:tcW w:w="993" w:type="dxa"/>
            <w:tcBorders>
              <w:left w:val="nil"/>
              <w:bottom w:val="nil"/>
              <w:right w:val="nil"/>
            </w:tcBorders>
          </w:tcPr>
          <w:p>
            <w:pPr>
              <w:pStyle w:val="TableParagraph"/>
              <w:jc w:val="left"/>
              <w:rPr>
                <w:rFonts w:ascii="Times New Roman"/>
                <w:sz w:val="10"/>
              </w:rPr>
            </w:pPr>
          </w:p>
        </w:tc>
        <w:tc>
          <w:tcPr>
            <w:tcW w:w="993" w:type="dxa"/>
            <w:tcBorders>
              <w:left w:val="nil"/>
              <w:bottom w:val="nil"/>
            </w:tcBorders>
          </w:tcPr>
          <w:p>
            <w:pPr>
              <w:pStyle w:val="TableParagraph"/>
              <w:spacing w:line="136" w:lineRule="exact"/>
              <w:ind w:left="123" w:right="123"/>
              <w:rPr>
                <w:sz w:val="14"/>
              </w:rPr>
            </w:pPr>
            <w:r>
              <w:rPr>
                <w:sz w:val="14"/>
              </w:rPr>
              <w:t>C1+C2+C3</w:t>
            </w:r>
          </w:p>
        </w:tc>
        <w:tc>
          <w:tcPr>
            <w:tcW w:w="991" w:type="dxa"/>
            <w:tcBorders>
              <w:bottom w:val="nil"/>
              <w:right w:val="nil"/>
            </w:tcBorders>
          </w:tcPr>
          <w:p>
            <w:pPr>
              <w:pStyle w:val="TableParagraph"/>
              <w:jc w:val="left"/>
              <w:rPr>
                <w:rFonts w:ascii="Times New Roman"/>
                <w:sz w:val="10"/>
              </w:rPr>
            </w:pPr>
          </w:p>
        </w:tc>
        <w:tc>
          <w:tcPr>
            <w:tcW w:w="993" w:type="dxa"/>
            <w:tcBorders>
              <w:left w:val="nil"/>
              <w:bottom w:val="nil"/>
              <w:right w:val="nil"/>
            </w:tcBorders>
          </w:tcPr>
          <w:p>
            <w:pPr>
              <w:pStyle w:val="TableParagraph"/>
              <w:jc w:val="left"/>
              <w:rPr>
                <w:rFonts w:ascii="Times New Roman"/>
                <w:sz w:val="10"/>
              </w:rPr>
            </w:pPr>
          </w:p>
        </w:tc>
        <w:tc>
          <w:tcPr>
            <w:tcW w:w="993" w:type="dxa"/>
            <w:tcBorders>
              <w:left w:val="nil"/>
              <w:bottom w:val="nil"/>
              <w:right w:val="nil"/>
            </w:tcBorders>
          </w:tcPr>
          <w:p>
            <w:pPr>
              <w:pStyle w:val="TableParagraph"/>
              <w:spacing w:line="136" w:lineRule="exact"/>
              <w:ind w:left="65" w:right="77"/>
              <w:rPr>
                <w:sz w:val="14"/>
              </w:rPr>
            </w:pPr>
            <w:r>
              <w:rPr>
                <w:sz w:val="14"/>
              </w:rPr>
              <w:t>C1+C2+C3</w:t>
            </w:r>
          </w:p>
        </w:tc>
      </w:tr>
      <w:tr>
        <w:trPr>
          <w:trHeight w:val="473" w:hRule="atLeast"/>
        </w:trPr>
        <w:tc>
          <w:tcPr>
            <w:tcW w:w="262" w:type="dxa"/>
            <w:vMerge/>
            <w:tcBorders>
              <w:top w:val="nil"/>
              <w:left w:val="nil"/>
            </w:tcBorders>
            <w:textDirection w:val="btLr"/>
          </w:tcPr>
          <w:p>
            <w:pPr>
              <w:rPr>
                <w:sz w:val="2"/>
                <w:szCs w:val="2"/>
              </w:rPr>
            </w:pPr>
          </w:p>
        </w:tc>
        <w:tc>
          <w:tcPr>
            <w:tcW w:w="251" w:type="dxa"/>
            <w:tcBorders>
              <w:top w:val="nil"/>
              <w:bottom w:val="nil"/>
            </w:tcBorders>
          </w:tcPr>
          <w:p>
            <w:pPr>
              <w:pStyle w:val="TableParagraph"/>
              <w:spacing w:before="129"/>
              <w:ind w:left="6"/>
              <w:rPr>
                <w:b/>
                <w:sz w:val="18"/>
              </w:rPr>
            </w:pPr>
            <w:r>
              <w:rPr>
                <w:b/>
                <w:sz w:val="18"/>
              </w:rPr>
              <w:t>≤4</w:t>
            </w:r>
          </w:p>
        </w:tc>
        <w:tc>
          <w:tcPr>
            <w:tcW w:w="983" w:type="dxa"/>
            <w:tcBorders>
              <w:top w:val="nil"/>
              <w:bottom w:val="nil"/>
              <w:right w:val="nil"/>
            </w:tcBorders>
          </w:tcPr>
          <w:p>
            <w:pPr>
              <w:pStyle w:val="TableParagraph"/>
              <w:spacing w:before="73"/>
              <w:ind w:left="414" w:right="106" w:hanging="267"/>
              <w:jc w:val="left"/>
              <w:rPr>
                <w:sz w:val="14"/>
              </w:rPr>
            </w:pPr>
            <w:r>
              <w:rPr>
                <w:sz w:val="14"/>
              </w:rPr>
              <w:t>I2+S1+S3+ V1</w:t>
            </w:r>
          </w:p>
        </w:tc>
        <w:tc>
          <w:tcPr>
            <w:tcW w:w="1013" w:type="dxa"/>
            <w:tcBorders>
              <w:top w:val="nil"/>
              <w:left w:val="nil"/>
              <w:bottom w:val="nil"/>
              <w:right w:val="nil"/>
            </w:tcBorders>
          </w:tcPr>
          <w:p>
            <w:pPr>
              <w:pStyle w:val="TableParagraph"/>
              <w:spacing w:before="73"/>
              <w:ind w:left="302" w:right="122" w:hanging="136"/>
              <w:jc w:val="left"/>
              <w:rPr>
                <w:sz w:val="14"/>
              </w:rPr>
            </w:pPr>
            <w:r>
              <w:rPr>
                <w:sz w:val="14"/>
              </w:rPr>
              <w:t>I2+S1+S3+ V1+D4</w:t>
            </w:r>
          </w:p>
        </w:tc>
        <w:tc>
          <w:tcPr>
            <w:tcW w:w="992" w:type="dxa"/>
            <w:vMerge/>
            <w:tcBorders>
              <w:top w:val="nil"/>
              <w:left w:val="nil"/>
            </w:tcBorders>
            <w:shd w:val="clear" w:color="auto" w:fill="A6A6A6"/>
          </w:tcPr>
          <w:p>
            <w:pPr>
              <w:rPr>
                <w:sz w:val="2"/>
                <w:szCs w:val="2"/>
              </w:rPr>
            </w:pPr>
          </w:p>
        </w:tc>
        <w:tc>
          <w:tcPr>
            <w:tcW w:w="992" w:type="dxa"/>
            <w:tcBorders>
              <w:top w:val="nil"/>
              <w:bottom w:val="nil"/>
              <w:right w:val="nil"/>
            </w:tcBorders>
          </w:tcPr>
          <w:p>
            <w:pPr>
              <w:pStyle w:val="TableParagraph"/>
              <w:spacing w:line="154" w:lineRule="exact"/>
              <w:ind w:left="104" w:firstLine="27"/>
              <w:jc w:val="left"/>
              <w:rPr>
                <w:sz w:val="14"/>
              </w:rPr>
            </w:pPr>
            <w:r>
              <w:rPr>
                <w:sz w:val="14"/>
              </w:rPr>
              <w:t>C2+C3+I2+</w:t>
            </w:r>
          </w:p>
          <w:p>
            <w:pPr>
              <w:pStyle w:val="TableParagraph"/>
              <w:spacing w:line="160" w:lineRule="atLeast" w:before="1"/>
              <w:ind w:left="153" w:right="98" w:hanging="50"/>
              <w:jc w:val="left"/>
              <w:rPr>
                <w:sz w:val="14"/>
              </w:rPr>
            </w:pPr>
            <w:r>
              <w:rPr>
                <w:spacing w:val="-1"/>
                <w:sz w:val="14"/>
              </w:rPr>
              <w:t>D1+D2+P2+ </w:t>
            </w:r>
            <w:r>
              <w:rPr>
                <w:sz w:val="14"/>
              </w:rPr>
              <w:t>S1+S2+S3</w:t>
            </w:r>
          </w:p>
        </w:tc>
        <w:tc>
          <w:tcPr>
            <w:tcW w:w="993" w:type="dxa"/>
            <w:tcBorders>
              <w:top w:val="nil"/>
              <w:left w:val="nil"/>
              <w:bottom w:val="nil"/>
              <w:right w:val="nil"/>
            </w:tcBorders>
          </w:tcPr>
          <w:p>
            <w:pPr>
              <w:pStyle w:val="TableParagraph"/>
              <w:spacing w:line="154" w:lineRule="exact"/>
              <w:ind w:left="108" w:firstLine="27"/>
              <w:jc w:val="left"/>
              <w:rPr>
                <w:sz w:val="14"/>
              </w:rPr>
            </w:pPr>
            <w:r>
              <w:rPr>
                <w:sz w:val="14"/>
              </w:rPr>
              <w:t>C2+C3+I2+</w:t>
            </w:r>
          </w:p>
          <w:p>
            <w:pPr>
              <w:pStyle w:val="TableParagraph"/>
              <w:spacing w:line="160" w:lineRule="atLeast" w:before="1"/>
              <w:ind w:left="158" w:right="99" w:hanging="50"/>
              <w:jc w:val="left"/>
              <w:rPr>
                <w:sz w:val="14"/>
              </w:rPr>
            </w:pPr>
            <w:r>
              <w:rPr>
                <w:spacing w:val="-1"/>
                <w:sz w:val="14"/>
              </w:rPr>
              <w:t>D1+D2+P2+ </w:t>
            </w:r>
            <w:r>
              <w:rPr>
                <w:sz w:val="14"/>
              </w:rPr>
              <w:t>S1+S2+S3</w:t>
            </w:r>
          </w:p>
        </w:tc>
        <w:tc>
          <w:tcPr>
            <w:tcW w:w="993" w:type="dxa"/>
            <w:tcBorders>
              <w:top w:val="nil"/>
              <w:left w:val="nil"/>
              <w:bottom w:val="nil"/>
            </w:tcBorders>
          </w:tcPr>
          <w:p>
            <w:pPr>
              <w:pStyle w:val="TableParagraph"/>
              <w:spacing w:line="242" w:lineRule="auto"/>
              <w:ind w:left="144" w:right="114" w:hanging="20"/>
              <w:jc w:val="left"/>
              <w:rPr>
                <w:sz w:val="14"/>
              </w:rPr>
            </w:pPr>
            <w:r>
              <w:rPr>
                <w:spacing w:val="-1"/>
                <w:sz w:val="14"/>
              </w:rPr>
              <w:t>+I1+I2+D1+ </w:t>
            </w:r>
            <w:r>
              <w:rPr>
                <w:sz w:val="14"/>
              </w:rPr>
              <w:t>D2+D3+D4</w:t>
            </w:r>
          </w:p>
          <w:p>
            <w:pPr>
              <w:pStyle w:val="TableParagraph"/>
              <w:spacing w:line="136" w:lineRule="exact"/>
              <w:ind w:left="115"/>
              <w:jc w:val="left"/>
              <w:rPr>
                <w:sz w:val="14"/>
              </w:rPr>
            </w:pPr>
            <w:r>
              <w:rPr>
                <w:sz w:val="14"/>
              </w:rPr>
              <w:t>+P1+P2+S1</w:t>
            </w:r>
          </w:p>
        </w:tc>
        <w:tc>
          <w:tcPr>
            <w:tcW w:w="991" w:type="dxa"/>
            <w:tcBorders>
              <w:top w:val="nil"/>
              <w:bottom w:val="nil"/>
              <w:right w:val="nil"/>
            </w:tcBorders>
          </w:tcPr>
          <w:p>
            <w:pPr>
              <w:pStyle w:val="TableParagraph"/>
              <w:spacing w:line="154" w:lineRule="exact"/>
              <w:ind w:left="99" w:firstLine="27"/>
              <w:jc w:val="left"/>
              <w:rPr>
                <w:sz w:val="14"/>
              </w:rPr>
            </w:pPr>
            <w:r>
              <w:rPr>
                <w:sz w:val="14"/>
              </w:rPr>
              <w:t>C2+C3+I2+</w:t>
            </w:r>
          </w:p>
          <w:p>
            <w:pPr>
              <w:pStyle w:val="TableParagraph"/>
              <w:spacing w:line="160" w:lineRule="atLeast" w:before="1"/>
              <w:ind w:left="148" w:right="102" w:hanging="50"/>
              <w:jc w:val="left"/>
              <w:rPr>
                <w:sz w:val="14"/>
              </w:rPr>
            </w:pPr>
            <w:r>
              <w:rPr>
                <w:spacing w:val="-1"/>
                <w:sz w:val="14"/>
              </w:rPr>
              <w:t>D1+D2+P2+ </w:t>
            </w:r>
            <w:r>
              <w:rPr>
                <w:sz w:val="14"/>
              </w:rPr>
              <w:t>S1+S2+S3</w:t>
            </w:r>
          </w:p>
        </w:tc>
        <w:tc>
          <w:tcPr>
            <w:tcW w:w="993" w:type="dxa"/>
            <w:tcBorders>
              <w:top w:val="nil"/>
              <w:left w:val="nil"/>
              <w:bottom w:val="nil"/>
              <w:right w:val="nil"/>
            </w:tcBorders>
          </w:tcPr>
          <w:p>
            <w:pPr>
              <w:pStyle w:val="TableParagraph"/>
              <w:spacing w:line="154" w:lineRule="exact"/>
              <w:ind w:left="104" w:firstLine="27"/>
              <w:jc w:val="left"/>
              <w:rPr>
                <w:sz w:val="14"/>
              </w:rPr>
            </w:pPr>
            <w:r>
              <w:rPr>
                <w:sz w:val="14"/>
              </w:rPr>
              <w:t>C2+C3+I2+</w:t>
            </w:r>
          </w:p>
          <w:p>
            <w:pPr>
              <w:pStyle w:val="TableParagraph"/>
              <w:spacing w:line="160" w:lineRule="atLeast" w:before="1"/>
              <w:ind w:left="153" w:right="104" w:hanging="50"/>
              <w:jc w:val="left"/>
              <w:rPr>
                <w:sz w:val="14"/>
              </w:rPr>
            </w:pPr>
            <w:r>
              <w:rPr>
                <w:spacing w:val="-1"/>
                <w:sz w:val="14"/>
              </w:rPr>
              <w:t>D1+D2+P2+ </w:t>
            </w:r>
            <w:r>
              <w:rPr>
                <w:sz w:val="14"/>
              </w:rPr>
              <w:t>S1+S2+S3</w:t>
            </w:r>
          </w:p>
        </w:tc>
        <w:tc>
          <w:tcPr>
            <w:tcW w:w="993" w:type="dxa"/>
            <w:tcBorders>
              <w:top w:val="nil"/>
              <w:left w:val="nil"/>
              <w:bottom w:val="nil"/>
              <w:right w:val="nil"/>
            </w:tcBorders>
          </w:tcPr>
          <w:p>
            <w:pPr>
              <w:pStyle w:val="TableParagraph"/>
              <w:spacing w:line="242" w:lineRule="auto"/>
              <w:ind w:left="121" w:right="126" w:firstLine="15"/>
              <w:jc w:val="left"/>
              <w:rPr>
                <w:sz w:val="14"/>
              </w:rPr>
            </w:pPr>
            <w:r>
              <w:rPr>
                <w:sz w:val="14"/>
              </w:rPr>
              <w:t>+D1+D2+D </w:t>
            </w:r>
            <w:r>
              <w:rPr>
                <w:spacing w:val="-1"/>
                <w:sz w:val="14"/>
              </w:rPr>
              <w:t>3+D4+I1+I2</w:t>
            </w:r>
          </w:p>
          <w:p>
            <w:pPr>
              <w:pStyle w:val="TableParagraph"/>
              <w:spacing w:line="136" w:lineRule="exact"/>
              <w:ind w:left="110"/>
              <w:jc w:val="left"/>
              <w:rPr>
                <w:sz w:val="14"/>
              </w:rPr>
            </w:pPr>
            <w:r>
              <w:rPr>
                <w:sz w:val="14"/>
              </w:rPr>
              <w:t>+P1+P2+S1</w:t>
            </w:r>
          </w:p>
        </w:tc>
      </w:tr>
      <w:tr>
        <w:trPr>
          <w:trHeight w:val="152" w:hRule="atLeast"/>
        </w:trPr>
        <w:tc>
          <w:tcPr>
            <w:tcW w:w="262" w:type="dxa"/>
            <w:vMerge/>
            <w:tcBorders>
              <w:top w:val="nil"/>
              <w:left w:val="nil"/>
            </w:tcBorders>
            <w:textDirection w:val="btLr"/>
          </w:tcPr>
          <w:p>
            <w:pPr>
              <w:rPr>
                <w:sz w:val="2"/>
                <w:szCs w:val="2"/>
              </w:rPr>
            </w:pPr>
          </w:p>
        </w:tc>
        <w:tc>
          <w:tcPr>
            <w:tcW w:w="251" w:type="dxa"/>
            <w:tcBorders>
              <w:top w:val="nil"/>
            </w:tcBorders>
          </w:tcPr>
          <w:p>
            <w:pPr>
              <w:pStyle w:val="TableParagraph"/>
              <w:jc w:val="left"/>
              <w:rPr>
                <w:rFonts w:ascii="Times New Roman"/>
                <w:sz w:val="8"/>
              </w:rPr>
            </w:pPr>
          </w:p>
        </w:tc>
        <w:tc>
          <w:tcPr>
            <w:tcW w:w="983" w:type="dxa"/>
            <w:tcBorders>
              <w:top w:val="nil"/>
              <w:right w:val="nil"/>
            </w:tcBorders>
          </w:tcPr>
          <w:p>
            <w:pPr>
              <w:pStyle w:val="TableParagraph"/>
              <w:jc w:val="left"/>
              <w:rPr>
                <w:rFonts w:ascii="Times New Roman"/>
                <w:sz w:val="8"/>
              </w:rPr>
            </w:pPr>
          </w:p>
        </w:tc>
        <w:tc>
          <w:tcPr>
            <w:tcW w:w="1013" w:type="dxa"/>
            <w:tcBorders>
              <w:top w:val="nil"/>
              <w:left w:val="nil"/>
              <w:right w:val="nil"/>
            </w:tcBorders>
          </w:tcPr>
          <w:p>
            <w:pPr>
              <w:pStyle w:val="TableParagraph"/>
              <w:jc w:val="left"/>
              <w:rPr>
                <w:rFonts w:ascii="Times New Roman"/>
                <w:sz w:val="8"/>
              </w:rPr>
            </w:pPr>
          </w:p>
        </w:tc>
        <w:tc>
          <w:tcPr>
            <w:tcW w:w="992" w:type="dxa"/>
            <w:vMerge/>
            <w:tcBorders>
              <w:top w:val="nil"/>
              <w:left w:val="nil"/>
            </w:tcBorders>
            <w:shd w:val="clear" w:color="auto" w:fill="A6A6A6"/>
          </w:tcPr>
          <w:p>
            <w:pPr>
              <w:rPr>
                <w:sz w:val="2"/>
                <w:szCs w:val="2"/>
              </w:rPr>
            </w:pPr>
          </w:p>
        </w:tc>
        <w:tc>
          <w:tcPr>
            <w:tcW w:w="992" w:type="dxa"/>
            <w:tcBorders>
              <w:top w:val="nil"/>
              <w:right w:val="nil"/>
            </w:tcBorders>
          </w:tcPr>
          <w:p>
            <w:pPr>
              <w:pStyle w:val="TableParagraph"/>
              <w:jc w:val="left"/>
              <w:rPr>
                <w:rFonts w:ascii="Times New Roman"/>
                <w:sz w:val="8"/>
              </w:rPr>
            </w:pPr>
          </w:p>
        </w:tc>
        <w:tc>
          <w:tcPr>
            <w:tcW w:w="993" w:type="dxa"/>
            <w:tcBorders>
              <w:top w:val="nil"/>
              <w:left w:val="nil"/>
              <w:right w:val="nil"/>
            </w:tcBorders>
          </w:tcPr>
          <w:p>
            <w:pPr>
              <w:pStyle w:val="TableParagraph"/>
              <w:jc w:val="left"/>
              <w:rPr>
                <w:rFonts w:ascii="Times New Roman"/>
                <w:sz w:val="8"/>
              </w:rPr>
            </w:pPr>
          </w:p>
        </w:tc>
        <w:tc>
          <w:tcPr>
            <w:tcW w:w="993" w:type="dxa"/>
            <w:tcBorders>
              <w:top w:val="nil"/>
              <w:left w:val="nil"/>
            </w:tcBorders>
          </w:tcPr>
          <w:p>
            <w:pPr>
              <w:pStyle w:val="TableParagraph"/>
              <w:spacing w:line="132" w:lineRule="exact"/>
              <w:ind w:left="123" w:right="122"/>
              <w:rPr>
                <w:sz w:val="14"/>
              </w:rPr>
            </w:pPr>
            <w:r>
              <w:rPr>
                <w:sz w:val="14"/>
              </w:rPr>
              <w:t>+S2+S3</w:t>
            </w:r>
          </w:p>
        </w:tc>
        <w:tc>
          <w:tcPr>
            <w:tcW w:w="991" w:type="dxa"/>
            <w:tcBorders>
              <w:top w:val="nil"/>
              <w:right w:val="nil"/>
            </w:tcBorders>
          </w:tcPr>
          <w:p>
            <w:pPr>
              <w:pStyle w:val="TableParagraph"/>
              <w:jc w:val="left"/>
              <w:rPr>
                <w:rFonts w:ascii="Times New Roman"/>
                <w:sz w:val="8"/>
              </w:rPr>
            </w:pPr>
          </w:p>
        </w:tc>
        <w:tc>
          <w:tcPr>
            <w:tcW w:w="993" w:type="dxa"/>
            <w:tcBorders>
              <w:top w:val="nil"/>
              <w:left w:val="nil"/>
              <w:right w:val="nil"/>
            </w:tcBorders>
          </w:tcPr>
          <w:p>
            <w:pPr>
              <w:pStyle w:val="TableParagraph"/>
              <w:jc w:val="left"/>
              <w:rPr>
                <w:rFonts w:ascii="Times New Roman"/>
                <w:sz w:val="8"/>
              </w:rPr>
            </w:pPr>
          </w:p>
        </w:tc>
        <w:tc>
          <w:tcPr>
            <w:tcW w:w="993" w:type="dxa"/>
            <w:tcBorders>
              <w:top w:val="nil"/>
              <w:left w:val="nil"/>
              <w:right w:val="nil"/>
            </w:tcBorders>
          </w:tcPr>
          <w:p>
            <w:pPr>
              <w:pStyle w:val="TableParagraph"/>
              <w:spacing w:line="132" w:lineRule="exact"/>
              <w:ind w:left="67" w:right="77"/>
              <w:rPr>
                <w:sz w:val="14"/>
              </w:rPr>
            </w:pPr>
            <w:r>
              <w:rPr>
                <w:sz w:val="14"/>
              </w:rPr>
              <w:t>+S2+S3</w:t>
            </w:r>
          </w:p>
        </w:tc>
      </w:tr>
      <w:tr>
        <w:trPr>
          <w:trHeight w:val="804" w:hRule="atLeast"/>
        </w:trPr>
        <w:tc>
          <w:tcPr>
            <w:tcW w:w="262" w:type="dxa"/>
            <w:vMerge/>
            <w:tcBorders>
              <w:top w:val="nil"/>
              <w:left w:val="nil"/>
            </w:tcBorders>
            <w:textDirection w:val="btLr"/>
          </w:tcPr>
          <w:p>
            <w:pPr>
              <w:rPr>
                <w:sz w:val="2"/>
                <w:szCs w:val="2"/>
              </w:rPr>
            </w:pPr>
          </w:p>
        </w:tc>
        <w:tc>
          <w:tcPr>
            <w:tcW w:w="251" w:type="dxa"/>
          </w:tcPr>
          <w:p>
            <w:pPr>
              <w:pStyle w:val="TableParagraph"/>
              <w:spacing w:before="7"/>
              <w:jc w:val="left"/>
              <w:rPr>
                <w:b/>
                <w:sz w:val="25"/>
              </w:rPr>
            </w:pPr>
          </w:p>
          <w:p>
            <w:pPr>
              <w:pStyle w:val="TableParagraph"/>
              <w:spacing w:before="1"/>
              <w:ind w:left="6"/>
              <w:rPr>
                <w:b/>
                <w:sz w:val="18"/>
              </w:rPr>
            </w:pPr>
            <w:r>
              <w:rPr>
                <w:b/>
                <w:sz w:val="18"/>
              </w:rPr>
              <w:t>≤5</w:t>
            </w:r>
          </w:p>
        </w:tc>
        <w:tc>
          <w:tcPr>
            <w:tcW w:w="983" w:type="dxa"/>
            <w:tcBorders>
              <w:right w:val="nil"/>
            </w:tcBorders>
          </w:tcPr>
          <w:p>
            <w:pPr>
              <w:pStyle w:val="TableParagraph"/>
              <w:spacing w:before="10"/>
              <w:jc w:val="left"/>
              <w:rPr>
                <w:b/>
                <w:sz w:val="20"/>
              </w:rPr>
            </w:pPr>
          </w:p>
          <w:p>
            <w:pPr>
              <w:pStyle w:val="TableParagraph"/>
              <w:ind w:left="284" w:right="106" w:hanging="137"/>
              <w:jc w:val="left"/>
              <w:rPr>
                <w:sz w:val="14"/>
              </w:rPr>
            </w:pPr>
            <w:r>
              <w:rPr>
                <w:sz w:val="14"/>
              </w:rPr>
              <w:t>I2+S1+S3+ V1+D3</w:t>
            </w:r>
          </w:p>
        </w:tc>
        <w:tc>
          <w:tcPr>
            <w:tcW w:w="1013" w:type="dxa"/>
            <w:tcBorders>
              <w:left w:val="nil"/>
              <w:right w:val="nil"/>
            </w:tcBorders>
          </w:tcPr>
          <w:p>
            <w:pPr>
              <w:pStyle w:val="TableParagraph"/>
              <w:spacing w:before="10"/>
              <w:jc w:val="left"/>
              <w:rPr>
                <w:b/>
                <w:sz w:val="20"/>
              </w:rPr>
            </w:pPr>
          </w:p>
          <w:p>
            <w:pPr>
              <w:pStyle w:val="TableParagraph"/>
              <w:ind w:left="176" w:right="122" w:hanging="10"/>
              <w:jc w:val="left"/>
              <w:rPr>
                <w:sz w:val="14"/>
              </w:rPr>
            </w:pPr>
            <w:r>
              <w:rPr>
                <w:sz w:val="14"/>
              </w:rPr>
              <w:t>I2+P1+S1+ S3+V1+D3</w:t>
            </w:r>
          </w:p>
        </w:tc>
        <w:tc>
          <w:tcPr>
            <w:tcW w:w="992" w:type="dxa"/>
            <w:tcBorders>
              <w:left w:val="nil"/>
            </w:tcBorders>
            <w:shd w:val="clear" w:color="auto" w:fill="A6A6A6"/>
          </w:tcPr>
          <w:p>
            <w:pPr>
              <w:pStyle w:val="TableParagraph"/>
              <w:jc w:val="left"/>
              <w:rPr>
                <w:rFonts w:ascii="Times New Roman"/>
                <w:sz w:val="16"/>
              </w:rPr>
            </w:pPr>
          </w:p>
        </w:tc>
        <w:tc>
          <w:tcPr>
            <w:tcW w:w="992" w:type="dxa"/>
            <w:tcBorders>
              <w:right w:val="nil"/>
            </w:tcBorders>
          </w:tcPr>
          <w:p>
            <w:pPr>
              <w:pStyle w:val="TableParagraph"/>
              <w:spacing w:before="9"/>
              <w:jc w:val="left"/>
              <w:rPr>
                <w:b/>
                <w:sz w:val="13"/>
              </w:rPr>
            </w:pPr>
          </w:p>
          <w:p>
            <w:pPr>
              <w:pStyle w:val="TableParagraph"/>
              <w:ind w:left="104" w:right="106" w:firstLine="27"/>
              <w:jc w:val="both"/>
              <w:rPr>
                <w:sz w:val="14"/>
              </w:rPr>
            </w:pPr>
            <w:r>
              <w:rPr>
                <w:sz w:val="14"/>
              </w:rPr>
              <w:t>C2+C3+I2+ D1+D2+P2+ S1+S2+S3</w:t>
            </w:r>
          </w:p>
        </w:tc>
        <w:tc>
          <w:tcPr>
            <w:tcW w:w="993" w:type="dxa"/>
            <w:tcBorders>
              <w:left w:val="nil"/>
              <w:right w:val="nil"/>
            </w:tcBorders>
          </w:tcPr>
          <w:p>
            <w:pPr>
              <w:pStyle w:val="TableParagraph"/>
              <w:spacing w:before="78"/>
              <w:ind w:left="108" w:right="108" w:firstLine="1"/>
              <w:rPr>
                <w:sz w:val="14"/>
              </w:rPr>
            </w:pPr>
            <w:r>
              <w:rPr>
                <w:spacing w:val="-1"/>
                <w:sz w:val="14"/>
              </w:rPr>
              <w:t>C2+C3+I1+I 2+D1+D2+P</w:t>
            </w:r>
          </w:p>
          <w:p>
            <w:pPr>
              <w:pStyle w:val="TableParagraph"/>
              <w:spacing w:before="1"/>
              <w:ind w:left="77" w:right="77"/>
              <w:rPr>
                <w:sz w:val="14"/>
              </w:rPr>
            </w:pPr>
            <w:r>
              <w:rPr>
                <w:sz w:val="14"/>
              </w:rPr>
              <w:t>1+P2+S1+S</w:t>
            </w:r>
          </w:p>
          <w:p>
            <w:pPr>
              <w:pStyle w:val="TableParagraph"/>
              <w:ind w:left="77" w:right="77"/>
              <w:rPr>
                <w:sz w:val="14"/>
              </w:rPr>
            </w:pPr>
            <w:r>
              <w:rPr>
                <w:sz w:val="14"/>
              </w:rPr>
              <w:t>2+S3</w:t>
            </w:r>
          </w:p>
        </w:tc>
        <w:tc>
          <w:tcPr>
            <w:tcW w:w="993" w:type="dxa"/>
            <w:tcBorders>
              <w:left w:val="nil"/>
            </w:tcBorders>
            <w:shd w:val="clear" w:color="auto" w:fill="A6A6A6"/>
          </w:tcPr>
          <w:p>
            <w:pPr>
              <w:pStyle w:val="TableParagraph"/>
              <w:jc w:val="left"/>
              <w:rPr>
                <w:rFonts w:ascii="Times New Roman"/>
                <w:sz w:val="16"/>
              </w:rPr>
            </w:pPr>
          </w:p>
        </w:tc>
        <w:tc>
          <w:tcPr>
            <w:tcW w:w="991" w:type="dxa"/>
            <w:tcBorders>
              <w:right w:val="nil"/>
            </w:tcBorders>
          </w:tcPr>
          <w:p>
            <w:pPr>
              <w:pStyle w:val="TableParagraph"/>
              <w:spacing w:before="9"/>
              <w:jc w:val="left"/>
              <w:rPr>
                <w:b/>
                <w:sz w:val="13"/>
              </w:rPr>
            </w:pPr>
          </w:p>
          <w:p>
            <w:pPr>
              <w:pStyle w:val="TableParagraph"/>
              <w:ind w:left="136"/>
              <w:jc w:val="left"/>
              <w:rPr>
                <w:sz w:val="14"/>
              </w:rPr>
            </w:pPr>
            <w:r>
              <w:rPr>
                <w:sz w:val="14"/>
              </w:rPr>
              <w:t>C2+C3+D1</w:t>
            </w:r>
          </w:p>
          <w:p>
            <w:pPr>
              <w:pStyle w:val="TableParagraph"/>
              <w:spacing w:before="1"/>
              <w:ind w:left="130"/>
              <w:jc w:val="left"/>
              <w:rPr>
                <w:sz w:val="14"/>
              </w:rPr>
            </w:pPr>
            <w:r>
              <w:rPr>
                <w:sz w:val="14"/>
              </w:rPr>
              <w:t>+D2+I2+P2</w:t>
            </w:r>
          </w:p>
          <w:p>
            <w:pPr>
              <w:pStyle w:val="TableParagraph"/>
              <w:ind w:left="107"/>
              <w:jc w:val="left"/>
              <w:rPr>
                <w:sz w:val="14"/>
              </w:rPr>
            </w:pPr>
            <w:r>
              <w:rPr>
                <w:sz w:val="14"/>
              </w:rPr>
              <w:t>+S1+S2+S3</w:t>
            </w:r>
          </w:p>
        </w:tc>
        <w:tc>
          <w:tcPr>
            <w:tcW w:w="993" w:type="dxa"/>
            <w:tcBorders>
              <w:left w:val="nil"/>
              <w:right w:val="nil"/>
            </w:tcBorders>
          </w:tcPr>
          <w:p>
            <w:pPr>
              <w:pStyle w:val="TableParagraph"/>
              <w:spacing w:before="78"/>
              <w:ind w:left="104" w:right="113" w:firstLine="1"/>
              <w:rPr>
                <w:sz w:val="14"/>
              </w:rPr>
            </w:pPr>
            <w:r>
              <w:rPr>
                <w:spacing w:val="-1"/>
                <w:sz w:val="14"/>
              </w:rPr>
              <w:t>C2+C3+I1+I 2+D1+D2+P</w:t>
            </w:r>
          </w:p>
          <w:p>
            <w:pPr>
              <w:pStyle w:val="TableParagraph"/>
              <w:spacing w:before="1"/>
              <w:ind w:left="71" w:right="77"/>
              <w:rPr>
                <w:sz w:val="14"/>
              </w:rPr>
            </w:pPr>
            <w:r>
              <w:rPr>
                <w:sz w:val="14"/>
              </w:rPr>
              <w:t>1+P2+S1+S</w:t>
            </w:r>
          </w:p>
          <w:p>
            <w:pPr>
              <w:pStyle w:val="TableParagraph"/>
              <w:ind w:left="70" w:right="77"/>
              <w:rPr>
                <w:sz w:val="14"/>
              </w:rPr>
            </w:pPr>
            <w:r>
              <w:rPr>
                <w:sz w:val="14"/>
              </w:rPr>
              <w:t>2+S3</w:t>
            </w:r>
          </w:p>
        </w:tc>
        <w:tc>
          <w:tcPr>
            <w:tcW w:w="993" w:type="dxa"/>
            <w:tcBorders>
              <w:left w:val="nil"/>
              <w:right w:val="nil"/>
            </w:tcBorders>
          </w:tcPr>
          <w:p>
            <w:pPr>
              <w:pStyle w:val="TableParagraph"/>
              <w:spacing w:line="159" w:lineRule="exact"/>
              <w:ind w:left="65" w:right="77"/>
              <w:rPr>
                <w:sz w:val="14"/>
              </w:rPr>
            </w:pPr>
            <w:r>
              <w:rPr>
                <w:sz w:val="14"/>
              </w:rPr>
              <w:t>C1+C2+C3</w:t>
            </w:r>
          </w:p>
          <w:p>
            <w:pPr>
              <w:pStyle w:val="TableParagraph"/>
              <w:ind w:left="68" w:right="77"/>
              <w:rPr>
                <w:sz w:val="14"/>
              </w:rPr>
            </w:pPr>
            <w:r>
              <w:rPr>
                <w:spacing w:val="-1"/>
                <w:sz w:val="14"/>
              </w:rPr>
              <w:t>+I1+I2+D1+ </w:t>
            </w:r>
            <w:r>
              <w:rPr>
                <w:sz w:val="14"/>
              </w:rPr>
              <w:t>D2+D3+D4</w:t>
            </w:r>
          </w:p>
          <w:p>
            <w:pPr>
              <w:pStyle w:val="TableParagraph"/>
              <w:ind w:left="68" w:right="77"/>
              <w:rPr>
                <w:sz w:val="14"/>
              </w:rPr>
            </w:pPr>
            <w:r>
              <w:rPr>
                <w:sz w:val="14"/>
              </w:rPr>
              <w:t>+P1+P2+S1</w:t>
            </w:r>
          </w:p>
          <w:p>
            <w:pPr>
              <w:pStyle w:val="TableParagraph"/>
              <w:spacing w:line="142" w:lineRule="exact"/>
              <w:ind w:left="67" w:right="77"/>
              <w:rPr>
                <w:sz w:val="14"/>
              </w:rPr>
            </w:pPr>
            <w:r>
              <w:rPr>
                <w:sz w:val="14"/>
              </w:rPr>
              <w:t>+S2+S3</w:t>
            </w:r>
          </w:p>
        </w:tc>
      </w:tr>
    </w:tbl>
    <w:p>
      <w:pPr>
        <w:pStyle w:val="BodyText"/>
        <w:rPr>
          <w:b/>
          <w:sz w:val="18"/>
        </w:rPr>
      </w:pPr>
    </w:p>
    <w:tbl>
      <w:tblPr>
        <w:tblW w:w="0" w:type="auto"/>
        <w:jc w:val="lef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
        <w:gridCol w:w="253"/>
        <w:gridCol w:w="981"/>
        <w:gridCol w:w="965"/>
        <w:gridCol w:w="1032"/>
        <w:gridCol w:w="988"/>
        <w:gridCol w:w="990"/>
        <w:gridCol w:w="992"/>
        <w:gridCol w:w="985"/>
        <w:gridCol w:w="993"/>
        <w:gridCol w:w="990"/>
      </w:tblGrid>
      <w:tr>
        <w:trPr>
          <w:trHeight w:val="283" w:hRule="atLeast"/>
        </w:trPr>
        <w:tc>
          <w:tcPr>
            <w:tcW w:w="512" w:type="dxa"/>
            <w:gridSpan w:val="2"/>
            <w:vMerge w:val="restart"/>
            <w:tcBorders>
              <w:top w:val="nil"/>
              <w:left w:val="nil"/>
            </w:tcBorders>
          </w:tcPr>
          <w:p>
            <w:pPr>
              <w:pStyle w:val="TableParagraph"/>
              <w:jc w:val="left"/>
              <w:rPr>
                <w:rFonts w:ascii="Times New Roman"/>
                <w:sz w:val="16"/>
              </w:rPr>
            </w:pPr>
          </w:p>
        </w:tc>
        <w:tc>
          <w:tcPr>
            <w:tcW w:w="8916" w:type="dxa"/>
            <w:gridSpan w:val="9"/>
            <w:tcBorders>
              <w:right w:val="nil"/>
            </w:tcBorders>
          </w:tcPr>
          <w:p>
            <w:pPr>
              <w:pStyle w:val="TableParagraph"/>
              <w:spacing w:before="36"/>
              <w:ind w:left="3858" w:right="3842"/>
              <w:rPr>
                <w:b/>
                <w:i/>
                <w:sz w:val="18"/>
              </w:rPr>
            </w:pPr>
            <w:r>
              <w:rPr>
                <w:b/>
                <w:i/>
                <w:sz w:val="18"/>
              </w:rPr>
              <w:t>Muro pantalla</w:t>
            </w:r>
          </w:p>
        </w:tc>
      </w:tr>
      <w:tr>
        <w:trPr>
          <w:trHeight w:val="284" w:hRule="atLeast"/>
        </w:trPr>
        <w:tc>
          <w:tcPr>
            <w:tcW w:w="512" w:type="dxa"/>
            <w:gridSpan w:val="2"/>
            <w:vMerge/>
            <w:tcBorders>
              <w:top w:val="nil"/>
              <w:left w:val="nil"/>
            </w:tcBorders>
          </w:tcPr>
          <w:p>
            <w:pPr>
              <w:rPr>
                <w:sz w:val="2"/>
                <w:szCs w:val="2"/>
              </w:rPr>
            </w:pPr>
          </w:p>
        </w:tc>
        <w:tc>
          <w:tcPr>
            <w:tcW w:w="2978" w:type="dxa"/>
            <w:gridSpan w:val="3"/>
          </w:tcPr>
          <w:p>
            <w:pPr>
              <w:pStyle w:val="TableParagraph"/>
              <w:spacing w:before="36"/>
              <w:ind w:left="884"/>
              <w:jc w:val="left"/>
              <w:rPr>
                <w:b/>
                <w:i/>
                <w:sz w:val="18"/>
              </w:rPr>
            </w:pPr>
            <w:r>
              <w:rPr>
                <w:b/>
                <w:i/>
                <w:sz w:val="18"/>
              </w:rPr>
              <w:t>Suelo elevado</w:t>
            </w:r>
          </w:p>
        </w:tc>
        <w:tc>
          <w:tcPr>
            <w:tcW w:w="2970" w:type="dxa"/>
            <w:gridSpan w:val="3"/>
          </w:tcPr>
          <w:p>
            <w:pPr>
              <w:pStyle w:val="TableParagraph"/>
              <w:spacing w:before="36"/>
              <w:ind w:left="1191" w:right="1177"/>
              <w:rPr>
                <w:b/>
                <w:i/>
                <w:sz w:val="18"/>
              </w:rPr>
            </w:pPr>
            <w:r>
              <w:rPr>
                <w:b/>
                <w:i/>
                <w:sz w:val="18"/>
              </w:rPr>
              <w:t>Solera</w:t>
            </w:r>
          </w:p>
        </w:tc>
        <w:tc>
          <w:tcPr>
            <w:tcW w:w="2968" w:type="dxa"/>
            <w:gridSpan w:val="3"/>
            <w:tcBorders>
              <w:right w:val="nil"/>
            </w:tcBorders>
          </w:tcPr>
          <w:p>
            <w:pPr>
              <w:pStyle w:val="TableParagraph"/>
              <w:spacing w:before="36"/>
              <w:ind w:left="1234" w:right="1217"/>
              <w:rPr>
                <w:b/>
                <w:i/>
                <w:sz w:val="18"/>
              </w:rPr>
            </w:pPr>
            <w:r>
              <w:rPr>
                <w:b/>
                <w:i/>
                <w:sz w:val="18"/>
              </w:rPr>
              <w:t>Placa</w:t>
            </w:r>
          </w:p>
        </w:tc>
      </w:tr>
      <w:tr>
        <w:trPr>
          <w:trHeight w:val="367" w:hRule="atLeast"/>
        </w:trPr>
        <w:tc>
          <w:tcPr>
            <w:tcW w:w="512" w:type="dxa"/>
            <w:gridSpan w:val="2"/>
            <w:vMerge/>
            <w:tcBorders>
              <w:top w:val="nil"/>
              <w:left w:val="nil"/>
            </w:tcBorders>
          </w:tcPr>
          <w:p>
            <w:pPr>
              <w:rPr>
                <w:sz w:val="2"/>
                <w:szCs w:val="2"/>
              </w:rPr>
            </w:pPr>
          </w:p>
        </w:tc>
        <w:tc>
          <w:tcPr>
            <w:tcW w:w="981" w:type="dxa"/>
            <w:tcBorders>
              <w:right w:val="nil"/>
            </w:tcBorders>
          </w:tcPr>
          <w:p>
            <w:pPr>
              <w:pStyle w:val="TableParagraph"/>
              <w:spacing w:before="89"/>
              <w:ind w:left="118" w:right="97"/>
              <w:rPr>
                <w:b/>
                <w:i/>
                <w:sz w:val="16"/>
              </w:rPr>
            </w:pPr>
            <w:r>
              <w:rPr>
                <w:b/>
                <w:i/>
                <w:sz w:val="16"/>
              </w:rPr>
              <w:t>Sub-base</w:t>
            </w:r>
          </w:p>
        </w:tc>
        <w:tc>
          <w:tcPr>
            <w:tcW w:w="965" w:type="dxa"/>
            <w:tcBorders>
              <w:left w:val="nil"/>
              <w:right w:val="nil"/>
            </w:tcBorders>
          </w:tcPr>
          <w:p>
            <w:pPr>
              <w:pStyle w:val="TableParagraph"/>
              <w:spacing w:line="181" w:lineRule="exact"/>
              <w:ind w:left="129"/>
              <w:jc w:val="left"/>
              <w:rPr>
                <w:b/>
                <w:i/>
                <w:sz w:val="16"/>
              </w:rPr>
            </w:pPr>
            <w:r>
              <w:rPr>
                <w:b/>
                <w:i/>
                <w:sz w:val="16"/>
              </w:rPr>
              <w:t>Inyeccio-</w:t>
            </w:r>
          </w:p>
          <w:p>
            <w:pPr>
              <w:pStyle w:val="TableParagraph"/>
              <w:spacing w:line="166" w:lineRule="exact" w:before="1"/>
              <w:ind w:left="129"/>
              <w:jc w:val="left"/>
              <w:rPr>
                <w:b/>
                <w:i/>
                <w:sz w:val="16"/>
              </w:rPr>
            </w:pPr>
            <w:r>
              <w:rPr>
                <w:b/>
                <w:i/>
                <w:sz w:val="16"/>
              </w:rPr>
              <w:t>nes</w:t>
            </w:r>
          </w:p>
        </w:tc>
        <w:tc>
          <w:tcPr>
            <w:tcW w:w="1032" w:type="dxa"/>
            <w:tcBorders>
              <w:left w:val="nil"/>
            </w:tcBorders>
          </w:tcPr>
          <w:p>
            <w:pPr>
              <w:pStyle w:val="TableParagraph"/>
              <w:spacing w:line="181" w:lineRule="exact"/>
              <w:ind w:left="155"/>
              <w:jc w:val="left"/>
              <w:rPr>
                <w:b/>
                <w:sz w:val="16"/>
              </w:rPr>
            </w:pPr>
            <w:r>
              <w:rPr>
                <w:b/>
                <w:sz w:val="16"/>
              </w:rPr>
              <w:t>Sin inter-</w:t>
            </w:r>
          </w:p>
          <w:p>
            <w:pPr>
              <w:pStyle w:val="TableParagraph"/>
              <w:spacing w:line="166" w:lineRule="exact" w:before="1"/>
              <w:ind w:left="155"/>
              <w:jc w:val="left"/>
              <w:rPr>
                <w:b/>
                <w:sz w:val="16"/>
              </w:rPr>
            </w:pPr>
            <w:r>
              <w:rPr>
                <w:b/>
                <w:sz w:val="16"/>
              </w:rPr>
              <w:t>vención</w:t>
            </w:r>
          </w:p>
        </w:tc>
        <w:tc>
          <w:tcPr>
            <w:tcW w:w="988" w:type="dxa"/>
            <w:tcBorders>
              <w:right w:val="nil"/>
            </w:tcBorders>
          </w:tcPr>
          <w:p>
            <w:pPr>
              <w:pStyle w:val="TableParagraph"/>
              <w:spacing w:before="89"/>
              <w:ind w:left="41" w:right="83"/>
              <w:rPr>
                <w:b/>
                <w:i/>
                <w:sz w:val="16"/>
              </w:rPr>
            </w:pPr>
            <w:r>
              <w:rPr>
                <w:b/>
                <w:i/>
                <w:sz w:val="16"/>
              </w:rPr>
              <w:t>Sub-base</w:t>
            </w:r>
          </w:p>
        </w:tc>
        <w:tc>
          <w:tcPr>
            <w:tcW w:w="990" w:type="dxa"/>
            <w:tcBorders>
              <w:left w:val="nil"/>
              <w:right w:val="nil"/>
            </w:tcBorders>
          </w:tcPr>
          <w:p>
            <w:pPr>
              <w:pStyle w:val="TableParagraph"/>
              <w:spacing w:line="181" w:lineRule="exact"/>
              <w:ind w:left="117"/>
              <w:jc w:val="left"/>
              <w:rPr>
                <w:b/>
                <w:i/>
                <w:sz w:val="16"/>
              </w:rPr>
            </w:pPr>
            <w:r>
              <w:rPr>
                <w:b/>
                <w:i/>
                <w:sz w:val="16"/>
              </w:rPr>
              <w:t>Inyeccio-</w:t>
            </w:r>
          </w:p>
          <w:p>
            <w:pPr>
              <w:pStyle w:val="TableParagraph"/>
              <w:spacing w:line="166" w:lineRule="exact" w:before="1"/>
              <w:ind w:left="117"/>
              <w:jc w:val="left"/>
              <w:rPr>
                <w:b/>
                <w:i/>
                <w:sz w:val="16"/>
              </w:rPr>
            </w:pPr>
            <w:r>
              <w:rPr>
                <w:b/>
                <w:i/>
                <w:sz w:val="16"/>
              </w:rPr>
              <w:t>nes</w:t>
            </w:r>
          </w:p>
        </w:tc>
        <w:tc>
          <w:tcPr>
            <w:tcW w:w="992" w:type="dxa"/>
            <w:tcBorders>
              <w:left w:val="nil"/>
            </w:tcBorders>
          </w:tcPr>
          <w:p>
            <w:pPr>
              <w:pStyle w:val="TableParagraph"/>
              <w:spacing w:line="181" w:lineRule="exact"/>
              <w:ind w:left="119"/>
              <w:jc w:val="left"/>
              <w:rPr>
                <w:b/>
                <w:sz w:val="16"/>
              </w:rPr>
            </w:pPr>
            <w:r>
              <w:rPr>
                <w:b/>
                <w:sz w:val="16"/>
              </w:rPr>
              <w:t>Sin inter-</w:t>
            </w:r>
          </w:p>
          <w:p>
            <w:pPr>
              <w:pStyle w:val="TableParagraph"/>
              <w:spacing w:line="166" w:lineRule="exact" w:before="1"/>
              <w:ind w:left="119"/>
              <w:jc w:val="left"/>
              <w:rPr>
                <w:b/>
                <w:sz w:val="16"/>
              </w:rPr>
            </w:pPr>
            <w:r>
              <w:rPr>
                <w:b/>
                <w:sz w:val="16"/>
              </w:rPr>
              <w:t>vención</w:t>
            </w:r>
          </w:p>
        </w:tc>
        <w:tc>
          <w:tcPr>
            <w:tcW w:w="985" w:type="dxa"/>
            <w:tcBorders>
              <w:right w:val="nil"/>
            </w:tcBorders>
          </w:tcPr>
          <w:p>
            <w:pPr>
              <w:pStyle w:val="TableParagraph"/>
              <w:spacing w:before="89"/>
              <w:ind w:left="76" w:right="111"/>
              <w:rPr>
                <w:b/>
                <w:i/>
                <w:sz w:val="16"/>
              </w:rPr>
            </w:pPr>
            <w:r>
              <w:rPr>
                <w:b/>
                <w:i/>
                <w:sz w:val="16"/>
              </w:rPr>
              <w:t>Sub-base</w:t>
            </w:r>
          </w:p>
        </w:tc>
        <w:tc>
          <w:tcPr>
            <w:tcW w:w="993" w:type="dxa"/>
            <w:tcBorders>
              <w:left w:val="nil"/>
              <w:right w:val="nil"/>
            </w:tcBorders>
          </w:tcPr>
          <w:p>
            <w:pPr>
              <w:pStyle w:val="TableParagraph"/>
              <w:spacing w:line="181" w:lineRule="exact"/>
              <w:ind w:left="123"/>
              <w:jc w:val="left"/>
              <w:rPr>
                <w:b/>
                <w:i/>
                <w:sz w:val="16"/>
              </w:rPr>
            </w:pPr>
            <w:r>
              <w:rPr>
                <w:b/>
                <w:i/>
                <w:sz w:val="16"/>
              </w:rPr>
              <w:t>Inyeccio-</w:t>
            </w:r>
          </w:p>
          <w:p>
            <w:pPr>
              <w:pStyle w:val="TableParagraph"/>
              <w:spacing w:line="166" w:lineRule="exact" w:before="1"/>
              <w:ind w:left="123"/>
              <w:jc w:val="left"/>
              <w:rPr>
                <w:b/>
                <w:i/>
                <w:sz w:val="16"/>
              </w:rPr>
            </w:pPr>
            <w:r>
              <w:rPr>
                <w:b/>
                <w:i/>
                <w:sz w:val="16"/>
              </w:rPr>
              <w:t>nes</w:t>
            </w:r>
          </w:p>
        </w:tc>
        <w:tc>
          <w:tcPr>
            <w:tcW w:w="990" w:type="dxa"/>
            <w:tcBorders>
              <w:left w:val="nil"/>
              <w:right w:val="nil"/>
            </w:tcBorders>
          </w:tcPr>
          <w:p>
            <w:pPr>
              <w:pStyle w:val="TableParagraph"/>
              <w:spacing w:line="181" w:lineRule="exact"/>
              <w:ind w:left="121"/>
              <w:jc w:val="left"/>
              <w:rPr>
                <w:b/>
                <w:sz w:val="16"/>
              </w:rPr>
            </w:pPr>
            <w:r>
              <w:rPr>
                <w:b/>
                <w:sz w:val="16"/>
              </w:rPr>
              <w:t>Sin inter-</w:t>
            </w:r>
          </w:p>
          <w:p>
            <w:pPr>
              <w:pStyle w:val="TableParagraph"/>
              <w:spacing w:line="166" w:lineRule="exact" w:before="1"/>
              <w:ind w:left="121"/>
              <w:jc w:val="left"/>
              <w:rPr>
                <w:b/>
                <w:sz w:val="16"/>
              </w:rPr>
            </w:pPr>
            <w:r>
              <w:rPr>
                <w:b/>
                <w:sz w:val="16"/>
              </w:rPr>
              <w:t>vención</w:t>
            </w:r>
          </w:p>
        </w:tc>
      </w:tr>
      <w:tr>
        <w:trPr>
          <w:trHeight w:val="594" w:hRule="atLeast"/>
        </w:trPr>
        <w:tc>
          <w:tcPr>
            <w:tcW w:w="259" w:type="dxa"/>
            <w:vMerge w:val="restart"/>
            <w:tcBorders>
              <w:left w:val="nil"/>
            </w:tcBorders>
            <w:textDirection w:val="btLr"/>
          </w:tcPr>
          <w:p>
            <w:pPr>
              <w:pStyle w:val="TableParagraph"/>
              <w:spacing w:line="181" w:lineRule="exact"/>
              <w:ind w:left="51"/>
              <w:jc w:val="left"/>
              <w:rPr>
                <w:b/>
                <w:sz w:val="18"/>
              </w:rPr>
            </w:pPr>
            <w:r>
              <w:rPr>
                <w:b/>
                <w:sz w:val="18"/>
              </w:rPr>
              <w:t>Grado de impermea-</w:t>
            </w:r>
          </w:p>
        </w:tc>
        <w:tc>
          <w:tcPr>
            <w:tcW w:w="253" w:type="dxa"/>
          </w:tcPr>
          <w:p>
            <w:pPr>
              <w:pStyle w:val="TableParagraph"/>
              <w:spacing w:before="6"/>
              <w:jc w:val="left"/>
              <w:rPr>
                <w:b/>
                <w:sz w:val="16"/>
              </w:rPr>
            </w:pPr>
          </w:p>
          <w:p>
            <w:pPr>
              <w:pStyle w:val="TableParagraph"/>
              <w:spacing w:before="1"/>
              <w:ind w:left="4"/>
              <w:jc w:val="left"/>
              <w:rPr>
                <w:b/>
                <w:sz w:val="18"/>
              </w:rPr>
            </w:pPr>
            <w:r>
              <w:rPr>
                <w:b/>
                <w:sz w:val="18"/>
              </w:rPr>
              <w:t>≤1</w:t>
            </w:r>
          </w:p>
        </w:tc>
        <w:tc>
          <w:tcPr>
            <w:tcW w:w="2978" w:type="dxa"/>
            <w:gridSpan w:val="3"/>
          </w:tcPr>
          <w:p>
            <w:pPr>
              <w:pStyle w:val="TableParagraph"/>
              <w:spacing w:before="8"/>
              <w:jc w:val="left"/>
              <w:rPr>
                <w:b/>
                <w:sz w:val="18"/>
              </w:rPr>
            </w:pPr>
          </w:p>
          <w:p>
            <w:pPr>
              <w:pStyle w:val="TableParagraph"/>
              <w:ind w:right="397"/>
              <w:jc w:val="right"/>
              <w:rPr>
                <w:sz w:val="14"/>
              </w:rPr>
            </w:pPr>
            <w:r>
              <w:rPr>
                <w:sz w:val="14"/>
              </w:rPr>
              <w:t>V1</w:t>
            </w:r>
          </w:p>
        </w:tc>
        <w:tc>
          <w:tcPr>
            <w:tcW w:w="988" w:type="dxa"/>
            <w:tcBorders>
              <w:right w:val="nil"/>
            </w:tcBorders>
          </w:tcPr>
          <w:p>
            <w:pPr>
              <w:pStyle w:val="TableParagraph"/>
              <w:jc w:val="left"/>
              <w:rPr>
                <w:rFonts w:ascii="Times New Roman"/>
                <w:sz w:val="16"/>
              </w:rPr>
            </w:pPr>
          </w:p>
        </w:tc>
        <w:tc>
          <w:tcPr>
            <w:tcW w:w="990" w:type="dxa"/>
            <w:tcBorders>
              <w:left w:val="nil"/>
              <w:right w:val="nil"/>
            </w:tcBorders>
          </w:tcPr>
          <w:p>
            <w:pPr>
              <w:pStyle w:val="TableParagraph"/>
              <w:spacing w:before="8"/>
              <w:jc w:val="left"/>
              <w:rPr>
                <w:b/>
                <w:sz w:val="18"/>
              </w:rPr>
            </w:pPr>
          </w:p>
          <w:p>
            <w:pPr>
              <w:pStyle w:val="TableParagraph"/>
              <w:ind w:left="100" w:right="82"/>
              <w:rPr>
                <w:sz w:val="14"/>
              </w:rPr>
            </w:pPr>
            <w:r>
              <w:rPr>
                <w:sz w:val="14"/>
              </w:rPr>
              <w:t>D1</w:t>
            </w:r>
          </w:p>
        </w:tc>
        <w:tc>
          <w:tcPr>
            <w:tcW w:w="992" w:type="dxa"/>
            <w:tcBorders>
              <w:left w:val="nil"/>
            </w:tcBorders>
          </w:tcPr>
          <w:p>
            <w:pPr>
              <w:pStyle w:val="TableParagraph"/>
              <w:spacing w:before="8"/>
              <w:jc w:val="left"/>
              <w:rPr>
                <w:b/>
                <w:sz w:val="18"/>
              </w:rPr>
            </w:pPr>
          </w:p>
          <w:p>
            <w:pPr>
              <w:pStyle w:val="TableParagraph"/>
              <w:ind w:left="85" w:right="62"/>
              <w:rPr>
                <w:sz w:val="14"/>
              </w:rPr>
            </w:pPr>
            <w:r>
              <w:rPr>
                <w:sz w:val="14"/>
              </w:rPr>
              <w:t>C2+C3+D1</w:t>
            </w:r>
          </w:p>
        </w:tc>
        <w:tc>
          <w:tcPr>
            <w:tcW w:w="2968" w:type="dxa"/>
            <w:gridSpan w:val="3"/>
            <w:tcBorders>
              <w:right w:val="nil"/>
            </w:tcBorders>
          </w:tcPr>
          <w:p>
            <w:pPr>
              <w:pStyle w:val="TableParagraph"/>
              <w:spacing w:before="8"/>
              <w:jc w:val="left"/>
              <w:rPr>
                <w:b/>
                <w:sz w:val="18"/>
              </w:rPr>
            </w:pPr>
          </w:p>
          <w:p>
            <w:pPr>
              <w:pStyle w:val="TableParagraph"/>
              <w:ind w:right="130"/>
              <w:jc w:val="right"/>
              <w:rPr>
                <w:sz w:val="14"/>
              </w:rPr>
            </w:pPr>
            <w:r>
              <w:rPr>
                <w:sz w:val="14"/>
              </w:rPr>
              <w:t>C2+C3+D1</w:t>
            </w:r>
          </w:p>
        </w:tc>
      </w:tr>
      <w:tr>
        <w:trPr>
          <w:trHeight w:val="593" w:hRule="atLeast"/>
        </w:trPr>
        <w:tc>
          <w:tcPr>
            <w:tcW w:w="259" w:type="dxa"/>
            <w:vMerge/>
            <w:tcBorders>
              <w:top w:val="nil"/>
              <w:left w:val="nil"/>
            </w:tcBorders>
            <w:textDirection w:val="btLr"/>
          </w:tcPr>
          <w:p>
            <w:pPr>
              <w:rPr>
                <w:sz w:val="2"/>
                <w:szCs w:val="2"/>
              </w:rPr>
            </w:pPr>
          </w:p>
        </w:tc>
        <w:tc>
          <w:tcPr>
            <w:tcW w:w="253" w:type="dxa"/>
          </w:tcPr>
          <w:p>
            <w:pPr>
              <w:pStyle w:val="TableParagraph"/>
              <w:spacing w:before="6"/>
              <w:jc w:val="left"/>
              <w:rPr>
                <w:b/>
                <w:sz w:val="16"/>
              </w:rPr>
            </w:pPr>
          </w:p>
          <w:p>
            <w:pPr>
              <w:pStyle w:val="TableParagraph"/>
              <w:spacing w:before="1"/>
              <w:ind w:left="4"/>
              <w:jc w:val="left"/>
              <w:rPr>
                <w:b/>
                <w:sz w:val="18"/>
              </w:rPr>
            </w:pPr>
            <w:r>
              <w:rPr>
                <w:b/>
                <w:sz w:val="18"/>
              </w:rPr>
              <w:t>≤2</w:t>
            </w:r>
          </w:p>
        </w:tc>
        <w:tc>
          <w:tcPr>
            <w:tcW w:w="2978" w:type="dxa"/>
            <w:gridSpan w:val="3"/>
          </w:tcPr>
          <w:p>
            <w:pPr>
              <w:pStyle w:val="TableParagraph"/>
              <w:spacing w:before="8"/>
              <w:jc w:val="left"/>
              <w:rPr>
                <w:b/>
                <w:sz w:val="18"/>
              </w:rPr>
            </w:pPr>
          </w:p>
          <w:p>
            <w:pPr>
              <w:pStyle w:val="TableParagraph"/>
              <w:ind w:right="397"/>
              <w:jc w:val="right"/>
              <w:rPr>
                <w:sz w:val="14"/>
              </w:rPr>
            </w:pPr>
            <w:r>
              <w:rPr>
                <w:sz w:val="14"/>
              </w:rPr>
              <w:t>V1</w:t>
            </w:r>
          </w:p>
        </w:tc>
        <w:tc>
          <w:tcPr>
            <w:tcW w:w="988" w:type="dxa"/>
            <w:tcBorders>
              <w:right w:val="nil"/>
            </w:tcBorders>
          </w:tcPr>
          <w:p>
            <w:pPr>
              <w:pStyle w:val="TableParagraph"/>
              <w:spacing w:before="8"/>
              <w:jc w:val="left"/>
              <w:rPr>
                <w:b/>
                <w:sz w:val="18"/>
              </w:rPr>
            </w:pPr>
          </w:p>
          <w:p>
            <w:pPr>
              <w:pStyle w:val="TableParagraph"/>
              <w:ind w:left="90" w:right="80"/>
              <w:rPr>
                <w:sz w:val="14"/>
              </w:rPr>
            </w:pPr>
            <w:r>
              <w:rPr>
                <w:sz w:val="14"/>
              </w:rPr>
              <w:t>C2+C3</w:t>
            </w:r>
          </w:p>
        </w:tc>
        <w:tc>
          <w:tcPr>
            <w:tcW w:w="990" w:type="dxa"/>
            <w:tcBorders>
              <w:left w:val="nil"/>
              <w:right w:val="nil"/>
            </w:tcBorders>
          </w:tcPr>
          <w:p>
            <w:pPr>
              <w:pStyle w:val="TableParagraph"/>
              <w:spacing w:before="8"/>
              <w:jc w:val="left"/>
              <w:rPr>
                <w:b/>
                <w:sz w:val="18"/>
              </w:rPr>
            </w:pPr>
          </w:p>
          <w:p>
            <w:pPr>
              <w:pStyle w:val="TableParagraph"/>
              <w:ind w:left="99" w:right="82"/>
              <w:rPr>
                <w:sz w:val="14"/>
              </w:rPr>
            </w:pPr>
            <w:r>
              <w:rPr>
                <w:sz w:val="14"/>
              </w:rPr>
              <w:t>C2+C3+D1</w:t>
            </w:r>
          </w:p>
        </w:tc>
        <w:tc>
          <w:tcPr>
            <w:tcW w:w="992" w:type="dxa"/>
            <w:tcBorders>
              <w:left w:val="nil"/>
            </w:tcBorders>
          </w:tcPr>
          <w:p>
            <w:pPr>
              <w:pStyle w:val="TableParagraph"/>
              <w:spacing w:before="8"/>
              <w:jc w:val="left"/>
              <w:rPr>
                <w:b/>
                <w:sz w:val="18"/>
              </w:rPr>
            </w:pPr>
          </w:p>
          <w:p>
            <w:pPr>
              <w:pStyle w:val="TableParagraph"/>
              <w:ind w:left="85" w:right="62"/>
              <w:rPr>
                <w:sz w:val="14"/>
              </w:rPr>
            </w:pPr>
            <w:r>
              <w:rPr>
                <w:sz w:val="14"/>
              </w:rPr>
              <w:t>C2+C3+D1</w:t>
            </w:r>
          </w:p>
        </w:tc>
        <w:tc>
          <w:tcPr>
            <w:tcW w:w="985" w:type="dxa"/>
            <w:tcBorders>
              <w:right w:val="nil"/>
            </w:tcBorders>
          </w:tcPr>
          <w:p>
            <w:pPr>
              <w:pStyle w:val="TableParagraph"/>
              <w:spacing w:before="8"/>
              <w:jc w:val="left"/>
              <w:rPr>
                <w:b/>
                <w:sz w:val="18"/>
              </w:rPr>
            </w:pPr>
          </w:p>
          <w:p>
            <w:pPr>
              <w:pStyle w:val="TableParagraph"/>
              <w:ind w:left="92" w:right="75"/>
              <w:rPr>
                <w:sz w:val="14"/>
              </w:rPr>
            </w:pPr>
            <w:r>
              <w:rPr>
                <w:sz w:val="14"/>
              </w:rPr>
              <w:t>C2+C3</w:t>
            </w:r>
          </w:p>
        </w:tc>
        <w:tc>
          <w:tcPr>
            <w:tcW w:w="993" w:type="dxa"/>
            <w:tcBorders>
              <w:left w:val="nil"/>
              <w:right w:val="nil"/>
            </w:tcBorders>
          </w:tcPr>
          <w:p>
            <w:pPr>
              <w:pStyle w:val="TableParagraph"/>
              <w:spacing w:before="8"/>
              <w:jc w:val="left"/>
              <w:rPr>
                <w:b/>
                <w:sz w:val="18"/>
              </w:rPr>
            </w:pPr>
          </w:p>
          <w:p>
            <w:pPr>
              <w:pStyle w:val="TableParagraph"/>
              <w:ind w:left="159"/>
              <w:jc w:val="left"/>
              <w:rPr>
                <w:sz w:val="14"/>
              </w:rPr>
            </w:pPr>
            <w:r>
              <w:rPr>
                <w:sz w:val="14"/>
              </w:rPr>
              <w:t>C2+C3+D1</w:t>
            </w:r>
          </w:p>
        </w:tc>
        <w:tc>
          <w:tcPr>
            <w:tcW w:w="990" w:type="dxa"/>
            <w:tcBorders>
              <w:left w:val="nil"/>
              <w:right w:val="nil"/>
            </w:tcBorders>
          </w:tcPr>
          <w:p>
            <w:pPr>
              <w:pStyle w:val="TableParagraph"/>
              <w:spacing w:before="8"/>
              <w:jc w:val="left"/>
              <w:rPr>
                <w:b/>
                <w:sz w:val="18"/>
              </w:rPr>
            </w:pPr>
          </w:p>
          <w:p>
            <w:pPr>
              <w:pStyle w:val="TableParagraph"/>
              <w:ind w:left="157"/>
              <w:jc w:val="left"/>
              <w:rPr>
                <w:sz w:val="14"/>
              </w:rPr>
            </w:pPr>
            <w:r>
              <w:rPr>
                <w:sz w:val="14"/>
              </w:rPr>
              <w:t>C2+C3+D1</w:t>
            </w:r>
          </w:p>
        </w:tc>
      </w:tr>
      <w:tr>
        <w:trPr>
          <w:trHeight w:val="645" w:hRule="atLeast"/>
        </w:trPr>
        <w:tc>
          <w:tcPr>
            <w:tcW w:w="259" w:type="dxa"/>
            <w:vMerge/>
            <w:tcBorders>
              <w:top w:val="nil"/>
              <w:left w:val="nil"/>
            </w:tcBorders>
            <w:textDirection w:val="btLr"/>
          </w:tcPr>
          <w:p>
            <w:pPr>
              <w:rPr>
                <w:sz w:val="2"/>
                <w:szCs w:val="2"/>
              </w:rPr>
            </w:pPr>
          </w:p>
        </w:tc>
        <w:tc>
          <w:tcPr>
            <w:tcW w:w="253" w:type="dxa"/>
          </w:tcPr>
          <w:p>
            <w:pPr>
              <w:pStyle w:val="TableParagraph"/>
              <w:spacing w:before="9"/>
              <w:jc w:val="left"/>
              <w:rPr>
                <w:b/>
                <w:sz w:val="18"/>
              </w:rPr>
            </w:pPr>
          </w:p>
          <w:p>
            <w:pPr>
              <w:pStyle w:val="TableParagraph"/>
              <w:ind w:left="4"/>
              <w:jc w:val="left"/>
              <w:rPr>
                <w:b/>
                <w:sz w:val="18"/>
              </w:rPr>
            </w:pPr>
            <w:r>
              <w:rPr>
                <w:b/>
                <w:sz w:val="18"/>
              </w:rPr>
              <w:t>≤3</w:t>
            </w:r>
          </w:p>
        </w:tc>
        <w:tc>
          <w:tcPr>
            <w:tcW w:w="981" w:type="dxa"/>
            <w:tcBorders>
              <w:right w:val="nil"/>
            </w:tcBorders>
          </w:tcPr>
          <w:p>
            <w:pPr>
              <w:pStyle w:val="TableParagraph"/>
              <w:spacing w:before="10"/>
              <w:jc w:val="left"/>
              <w:rPr>
                <w:b/>
                <w:sz w:val="20"/>
              </w:rPr>
            </w:pPr>
          </w:p>
          <w:p>
            <w:pPr>
              <w:pStyle w:val="TableParagraph"/>
              <w:ind w:left="118" w:right="96"/>
              <w:rPr>
                <w:sz w:val="14"/>
              </w:rPr>
            </w:pPr>
            <w:r>
              <w:rPr>
                <w:sz w:val="14"/>
              </w:rPr>
              <w:t>S3+V1</w:t>
            </w:r>
          </w:p>
        </w:tc>
        <w:tc>
          <w:tcPr>
            <w:tcW w:w="965" w:type="dxa"/>
            <w:tcBorders>
              <w:left w:val="nil"/>
              <w:right w:val="nil"/>
            </w:tcBorders>
          </w:tcPr>
          <w:p>
            <w:pPr>
              <w:pStyle w:val="TableParagraph"/>
              <w:spacing w:before="10"/>
              <w:jc w:val="left"/>
              <w:rPr>
                <w:b/>
                <w:sz w:val="20"/>
              </w:rPr>
            </w:pPr>
          </w:p>
          <w:p>
            <w:pPr>
              <w:pStyle w:val="TableParagraph"/>
              <w:ind w:left="304"/>
              <w:jc w:val="left"/>
              <w:rPr>
                <w:sz w:val="14"/>
              </w:rPr>
            </w:pPr>
            <w:r>
              <w:rPr>
                <w:sz w:val="14"/>
              </w:rPr>
              <w:t>S3+V1</w:t>
            </w:r>
          </w:p>
        </w:tc>
        <w:tc>
          <w:tcPr>
            <w:tcW w:w="1032" w:type="dxa"/>
            <w:tcBorders>
              <w:left w:val="nil"/>
            </w:tcBorders>
          </w:tcPr>
          <w:p>
            <w:pPr>
              <w:pStyle w:val="TableParagraph"/>
              <w:spacing w:before="10"/>
              <w:jc w:val="left"/>
              <w:rPr>
                <w:b/>
                <w:sz w:val="20"/>
              </w:rPr>
            </w:pPr>
          </w:p>
          <w:p>
            <w:pPr>
              <w:pStyle w:val="TableParagraph"/>
              <w:ind w:left="330"/>
              <w:jc w:val="left"/>
              <w:rPr>
                <w:sz w:val="14"/>
              </w:rPr>
            </w:pPr>
            <w:r>
              <w:rPr>
                <w:sz w:val="14"/>
              </w:rPr>
              <w:t>S3+V1</w:t>
            </w:r>
          </w:p>
        </w:tc>
        <w:tc>
          <w:tcPr>
            <w:tcW w:w="988" w:type="dxa"/>
            <w:tcBorders>
              <w:right w:val="nil"/>
            </w:tcBorders>
          </w:tcPr>
          <w:p>
            <w:pPr>
              <w:pStyle w:val="TableParagraph"/>
              <w:spacing w:before="79"/>
              <w:ind w:left="90" w:right="81"/>
              <w:rPr>
                <w:sz w:val="14"/>
              </w:rPr>
            </w:pPr>
            <w:r>
              <w:rPr>
                <w:sz w:val="14"/>
              </w:rPr>
              <w:t>C1+C2+C3</w:t>
            </w:r>
          </w:p>
          <w:p>
            <w:pPr>
              <w:pStyle w:val="TableParagraph"/>
              <w:ind w:left="90" w:right="80"/>
              <w:rPr>
                <w:sz w:val="14"/>
              </w:rPr>
            </w:pPr>
            <w:r>
              <w:rPr>
                <w:sz w:val="14"/>
              </w:rPr>
              <w:t>+D1+P2+S2</w:t>
            </w:r>
          </w:p>
          <w:p>
            <w:pPr>
              <w:pStyle w:val="TableParagraph"/>
              <w:ind w:left="90" w:right="80"/>
              <w:rPr>
                <w:sz w:val="14"/>
              </w:rPr>
            </w:pPr>
            <w:r>
              <w:rPr>
                <w:sz w:val="14"/>
              </w:rPr>
              <w:t>+S3</w:t>
            </w:r>
          </w:p>
        </w:tc>
        <w:tc>
          <w:tcPr>
            <w:tcW w:w="990" w:type="dxa"/>
            <w:tcBorders>
              <w:left w:val="nil"/>
              <w:right w:val="nil"/>
            </w:tcBorders>
          </w:tcPr>
          <w:p>
            <w:pPr>
              <w:pStyle w:val="TableParagraph"/>
              <w:spacing w:before="79"/>
              <w:ind w:left="101" w:right="82"/>
              <w:rPr>
                <w:sz w:val="14"/>
              </w:rPr>
            </w:pPr>
            <w:r>
              <w:rPr>
                <w:sz w:val="14"/>
              </w:rPr>
              <w:t>C1+C2+C3</w:t>
            </w:r>
          </w:p>
          <w:p>
            <w:pPr>
              <w:pStyle w:val="TableParagraph"/>
              <w:ind w:left="101" w:right="82"/>
              <w:rPr>
                <w:sz w:val="14"/>
              </w:rPr>
            </w:pPr>
            <w:r>
              <w:rPr>
                <w:sz w:val="14"/>
              </w:rPr>
              <w:t>+D1+P2+S2</w:t>
            </w:r>
          </w:p>
          <w:p>
            <w:pPr>
              <w:pStyle w:val="TableParagraph"/>
              <w:ind w:left="101" w:right="81"/>
              <w:rPr>
                <w:sz w:val="14"/>
              </w:rPr>
            </w:pPr>
            <w:r>
              <w:rPr>
                <w:sz w:val="14"/>
              </w:rPr>
              <w:t>+S3</w:t>
            </w:r>
          </w:p>
        </w:tc>
        <w:tc>
          <w:tcPr>
            <w:tcW w:w="992" w:type="dxa"/>
            <w:tcBorders>
              <w:left w:val="nil"/>
            </w:tcBorders>
          </w:tcPr>
          <w:p>
            <w:pPr>
              <w:pStyle w:val="TableParagraph"/>
              <w:spacing w:before="79"/>
              <w:ind w:left="156"/>
              <w:jc w:val="left"/>
              <w:rPr>
                <w:sz w:val="14"/>
              </w:rPr>
            </w:pPr>
            <w:r>
              <w:rPr>
                <w:sz w:val="14"/>
              </w:rPr>
              <w:t>C1+C2+C3</w:t>
            </w:r>
          </w:p>
          <w:p>
            <w:pPr>
              <w:pStyle w:val="TableParagraph"/>
              <w:ind w:left="119"/>
              <w:jc w:val="left"/>
              <w:rPr>
                <w:sz w:val="14"/>
              </w:rPr>
            </w:pPr>
            <w:r>
              <w:rPr>
                <w:sz w:val="14"/>
              </w:rPr>
              <w:t>+D1+D4+P2</w:t>
            </w:r>
          </w:p>
          <w:p>
            <w:pPr>
              <w:pStyle w:val="TableParagraph"/>
              <w:ind w:left="253"/>
              <w:jc w:val="left"/>
              <w:rPr>
                <w:sz w:val="14"/>
              </w:rPr>
            </w:pPr>
            <w:r>
              <w:rPr>
                <w:sz w:val="14"/>
              </w:rPr>
              <w:t>+S2+S3</w:t>
            </w:r>
          </w:p>
        </w:tc>
        <w:tc>
          <w:tcPr>
            <w:tcW w:w="985" w:type="dxa"/>
            <w:tcBorders>
              <w:right w:val="nil"/>
            </w:tcBorders>
          </w:tcPr>
          <w:p>
            <w:pPr>
              <w:pStyle w:val="TableParagraph"/>
              <w:spacing w:line="160" w:lineRule="exact"/>
              <w:ind w:left="92" w:right="75"/>
              <w:rPr>
                <w:sz w:val="14"/>
              </w:rPr>
            </w:pPr>
            <w:r>
              <w:rPr>
                <w:sz w:val="14"/>
              </w:rPr>
              <w:t>C1+C2+C3</w:t>
            </w:r>
          </w:p>
          <w:p>
            <w:pPr>
              <w:pStyle w:val="TableParagraph"/>
              <w:ind w:left="120" w:right="98" w:hanging="3"/>
              <w:rPr>
                <w:sz w:val="14"/>
              </w:rPr>
            </w:pPr>
            <w:r>
              <w:rPr>
                <w:sz w:val="14"/>
              </w:rPr>
              <w:t>+D1+D2+D </w:t>
            </w:r>
            <w:r>
              <w:rPr>
                <w:spacing w:val="-1"/>
                <w:sz w:val="14"/>
              </w:rPr>
              <w:t>4+P2+S2+S</w:t>
            </w:r>
          </w:p>
          <w:p>
            <w:pPr>
              <w:pStyle w:val="TableParagraph"/>
              <w:spacing w:line="143" w:lineRule="exact"/>
              <w:ind w:left="18"/>
              <w:rPr>
                <w:sz w:val="14"/>
              </w:rPr>
            </w:pPr>
            <w:r>
              <w:rPr>
                <w:w w:val="100"/>
                <w:sz w:val="14"/>
              </w:rPr>
              <w:t>3</w:t>
            </w:r>
          </w:p>
        </w:tc>
        <w:tc>
          <w:tcPr>
            <w:tcW w:w="993" w:type="dxa"/>
            <w:tcBorders>
              <w:left w:val="nil"/>
              <w:right w:val="nil"/>
            </w:tcBorders>
          </w:tcPr>
          <w:p>
            <w:pPr>
              <w:pStyle w:val="TableParagraph"/>
              <w:spacing w:before="79"/>
              <w:ind w:left="160"/>
              <w:jc w:val="left"/>
              <w:rPr>
                <w:sz w:val="14"/>
              </w:rPr>
            </w:pPr>
            <w:r>
              <w:rPr>
                <w:sz w:val="14"/>
              </w:rPr>
              <w:t>C1+C2+C3</w:t>
            </w:r>
          </w:p>
          <w:p>
            <w:pPr>
              <w:pStyle w:val="TableParagraph"/>
              <w:ind w:left="123"/>
              <w:jc w:val="left"/>
              <w:rPr>
                <w:sz w:val="14"/>
              </w:rPr>
            </w:pPr>
            <w:r>
              <w:rPr>
                <w:sz w:val="14"/>
              </w:rPr>
              <w:t>+D1+D2+P2</w:t>
            </w:r>
          </w:p>
          <w:p>
            <w:pPr>
              <w:pStyle w:val="TableParagraph"/>
              <w:ind w:left="257"/>
              <w:jc w:val="left"/>
              <w:rPr>
                <w:sz w:val="14"/>
              </w:rPr>
            </w:pPr>
            <w:r>
              <w:rPr>
                <w:sz w:val="14"/>
              </w:rPr>
              <w:t>+S2+S3</w:t>
            </w:r>
          </w:p>
        </w:tc>
        <w:tc>
          <w:tcPr>
            <w:tcW w:w="990" w:type="dxa"/>
            <w:tcBorders>
              <w:left w:val="nil"/>
              <w:right w:val="nil"/>
            </w:tcBorders>
          </w:tcPr>
          <w:p>
            <w:pPr>
              <w:pStyle w:val="TableParagraph"/>
              <w:spacing w:line="160" w:lineRule="exact"/>
              <w:ind w:left="101" w:right="75"/>
              <w:rPr>
                <w:sz w:val="14"/>
              </w:rPr>
            </w:pPr>
            <w:r>
              <w:rPr>
                <w:sz w:val="14"/>
              </w:rPr>
              <w:t>C1+C2+C3</w:t>
            </w:r>
          </w:p>
          <w:p>
            <w:pPr>
              <w:pStyle w:val="TableParagraph"/>
              <w:ind w:left="125" w:right="96" w:hanging="1"/>
              <w:rPr>
                <w:sz w:val="14"/>
              </w:rPr>
            </w:pPr>
            <w:r>
              <w:rPr>
                <w:sz w:val="14"/>
              </w:rPr>
              <w:t>+D1+D2+D </w:t>
            </w:r>
            <w:r>
              <w:rPr>
                <w:spacing w:val="-1"/>
                <w:sz w:val="14"/>
              </w:rPr>
              <w:t>3+D4+P2+S</w:t>
            </w:r>
          </w:p>
          <w:p>
            <w:pPr>
              <w:pStyle w:val="TableParagraph"/>
              <w:spacing w:line="143" w:lineRule="exact"/>
              <w:ind w:left="101" w:right="73"/>
              <w:rPr>
                <w:sz w:val="14"/>
              </w:rPr>
            </w:pPr>
            <w:r>
              <w:rPr>
                <w:sz w:val="14"/>
              </w:rPr>
              <w:t>2+S3</w:t>
            </w:r>
          </w:p>
        </w:tc>
      </w:tr>
    </w:tbl>
    <w:p>
      <w:pPr>
        <w:spacing w:after="0" w:line="143" w:lineRule="exact"/>
        <w:rPr>
          <w:sz w:val="14"/>
        </w:rPr>
        <w:sectPr>
          <w:pgSz w:w="11910" w:h="16840"/>
          <w:pgMar w:header="724" w:footer="636" w:top="1320" w:bottom="840" w:left="1200" w:right="738"/>
        </w:sectPr>
      </w:pPr>
    </w:p>
    <w:p>
      <w:pPr>
        <w:pStyle w:val="BodyText"/>
        <w:rPr>
          <w:b/>
          <w:sz w:val="8"/>
        </w:rPr>
      </w:pPr>
    </w:p>
    <w:tbl>
      <w:tblPr>
        <w:tblW w:w="0" w:type="auto"/>
        <w:jc w:val="lef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
        <w:gridCol w:w="253"/>
        <w:gridCol w:w="908"/>
        <w:gridCol w:w="1079"/>
        <w:gridCol w:w="990"/>
        <w:gridCol w:w="991"/>
        <w:gridCol w:w="986"/>
        <w:gridCol w:w="994"/>
        <w:gridCol w:w="991"/>
        <w:gridCol w:w="987"/>
        <w:gridCol w:w="993"/>
      </w:tblGrid>
      <w:tr>
        <w:trPr>
          <w:trHeight w:val="643" w:hRule="atLeast"/>
        </w:trPr>
        <w:tc>
          <w:tcPr>
            <w:tcW w:w="259" w:type="dxa"/>
            <w:vMerge w:val="restart"/>
            <w:tcBorders>
              <w:top w:val="nil"/>
              <w:left w:val="nil"/>
            </w:tcBorders>
          </w:tcPr>
          <w:p>
            <w:pPr>
              <w:pStyle w:val="TableParagraph"/>
              <w:jc w:val="left"/>
              <w:rPr>
                <w:rFonts w:ascii="Times New Roman"/>
                <w:sz w:val="18"/>
              </w:rPr>
            </w:pPr>
          </w:p>
        </w:tc>
        <w:tc>
          <w:tcPr>
            <w:tcW w:w="253" w:type="dxa"/>
          </w:tcPr>
          <w:p>
            <w:pPr>
              <w:pStyle w:val="TableParagraph"/>
              <w:spacing w:before="7"/>
              <w:jc w:val="left"/>
              <w:rPr>
                <w:b/>
                <w:sz w:val="18"/>
              </w:rPr>
            </w:pPr>
          </w:p>
          <w:p>
            <w:pPr>
              <w:pStyle w:val="TableParagraph"/>
              <w:spacing w:before="1"/>
              <w:ind w:left="4"/>
              <w:jc w:val="left"/>
              <w:rPr>
                <w:b/>
                <w:sz w:val="18"/>
              </w:rPr>
            </w:pPr>
            <w:r>
              <w:rPr>
                <w:b/>
                <w:sz w:val="18"/>
              </w:rPr>
              <w:t>≤4</w:t>
            </w:r>
          </w:p>
        </w:tc>
        <w:tc>
          <w:tcPr>
            <w:tcW w:w="908" w:type="dxa"/>
            <w:tcBorders>
              <w:right w:val="nil"/>
            </w:tcBorders>
          </w:tcPr>
          <w:p>
            <w:pPr>
              <w:pStyle w:val="TableParagraph"/>
              <w:spacing w:before="9"/>
              <w:jc w:val="left"/>
              <w:rPr>
                <w:b/>
                <w:sz w:val="20"/>
              </w:rPr>
            </w:pPr>
          </w:p>
          <w:p>
            <w:pPr>
              <w:pStyle w:val="TableParagraph"/>
              <w:ind w:right="189"/>
              <w:jc w:val="right"/>
              <w:rPr>
                <w:sz w:val="14"/>
              </w:rPr>
            </w:pPr>
            <w:r>
              <w:rPr>
                <w:sz w:val="14"/>
              </w:rPr>
              <w:t>S3+V1</w:t>
            </w:r>
          </w:p>
        </w:tc>
        <w:tc>
          <w:tcPr>
            <w:tcW w:w="1079" w:type="dxa"/>
            <w:tcBorders>
              <w:left w:val="nil"/>
              <w:right w:val="nil"/>
            </w:tcBorders>
          </w:tcPr>
          <w:p>
            <w:pPr>
              <w:pStyle w:val="TableParagraph"/>
              <w:spacing w:before="9"/>
              <w:jc w:val="left"/>
              <w:rPr>
                <w:b/>
                <w:sz w:val="20"/>
              </w:rPr>
            </w:pPr>
          </w:p>
          <w:p>
            <w:pPr>
              <w:pStyle w:val="TableParagraph"/>
              <w:ind w:left="246"/>
              <w:jc w:val="left"/>
              <w:rPr>
                <w:sz w:val="14"/>
              </w:rPr>
            </w:pPr>
            <w:r>
              <w:rPr>
                <w:sz w:val="14"/>
              </w:rPr>
              <w:t>D4+S3+V1</w:t>
            </w:r>
          </w:p>
        </w:tc>
        <w:tc>
          <w:tcPr>
            <w:tcW w:w="990" w:type="dxa"/>
            <w:tcBorders>
              <w:left w:val="nil"/>
            </w:tcBorders>
          </w:tcPr>
          <w:p>
            <w:pPr>
              <w:pStyle w:val="TableParagraph"/>
              <w:spacing w:before="9"/>
              <w:jc w:val="left"/>
              <w:rPr>
                <w:b/>
                <w:sz w:val="13"/>
              </w:rPr>
            </w:pPr>
          </w:p>
          <w:p>
            <w:pPr>
              <w:pStyle w:val="TableParagraph"/>
              <w:ind w:left="415" w:right="77" w:hanging="302"/>
              <w:jc w:val="left"/>
              <w:rPr>
                <w:sz w:val="14"/>
              </w:rPr>
            </w:pPr>
            <w:r>
              <w:rPr>
                <w:sz w:val="14"/>
              </w:rPr>
              <w:t>D3+D4+S3+ V1</w:t>
            </w:r>
          </w:p>
        </w:tc>
        <w:tc>
          <w:tcPr>
            <w:tcW w:w="991" w:type="dxa"/>
            <w:tcBorders>
              <w:right w:val="nil"/>
            </w:tcBorders>
          </w:tcPr>
          <w:p>
            <w:pPr>
              <w:pStyle w:val="TableParagraph"/>
              <w:spacing w:before="9"/>
              <w:jc w:val="left"/>
              <w:rPr>
                <w:b/>
                <w:sz w:val="13"/>
              </w:rPr>
            </w:pPr>
          </w:p>
          <w:p>
            <w:pPr>
              <w:pStyle w:val="TableParagraph"/>
              <w:ind w:left="148"/>
              <w:jc w:val="left"/>
              <w:rPr>
                <w:sz w:val="14"/>
              </w:rPr>
            </w:pPr>
            <w:r>
              <w:rPr>
                <w:sz w:val="14"/>
              </w:rPr>
              <w:t>C2+C3+D1</w:t>
            </w:r>
          </w:p>
          <w:p>
            <w:pPr>
              <w:pStyle w:val="TableParagraph"/>
              <w:ind w:left="245"/>
              <w:jc w:val="left"/>
              <w:rPr>
                <w:sz w:val="14"/>
              </w:rPr>
            </w:pPr>
            <w:r>
              <w:rPr>
                <w:sz w:val="14"/>
              </w:rPr>
              <w:t>+S2+S3</w:t>
            </w:r>
          </w:p>
        </w:tc>
        <w:tc>
          <w:tcPr>
            <w:tcW w:w="986" w:type="dxa"/>
            <w:tcBorders>
              <w:left w:val="nil"/>
              <w:right w:val="nil"/>
            </w:tcBorders>
          </w:tcPr>
          <w:p>
            <w:pPr>
              <w:pStyle w:val="TableParagraph"/>
              <w:spacing w:before="9"/>
              <w:jc w:val="left"/>
              <w:rPr>
                <w:b/>
                <w:sz w:val="13"/>
              </w:rPr>
            </w:pPr>
          </w:p>
          <w:p>
            <w:pPr>
              <w:pStyle w:val="TableParagraph"/>
              <w:ind w:left="153"/>
              <w:jc w:val="left"/>
              <w:rPr>
                <w:sz w:val="14"/>
              </w:rPr>
            </w:pPr>
            <w:r>
              <w:rPr>
                <w:sz w:val="14"/>
              </w:rPr>
              <w:t>C2+C3+D1</w:t>
            </w:r>
          </w:p>
          <w:p>
            <w:pPr>
              <w:pStyle w:val="TableParagraph"/>
              <w:ind w:left="250"/>
              <w:jc w:val="left"/>
              <w:rPr>
                <w:sz w:val="14"/>
              </w:rPr>
            </w:pPr>
            <w:r>
              <w:rPr>
                <w:sz w:val="14"/>
              </w:rPr>
              <w:t>+S2+S3</w:t>
            </w:r>
          </w:p>
        </w:tc>
        <w:tc>
          <w:tcPr>
            <w:tcW w:w="994" w:type="dxa"/>
            <w:tcBorders>
              <w:left w:val="nil"/>
            </w:tcBorders>
          </w:tcPr>
          <w:p>
            <w:pPr>
              <w:pStyle w:val="TableParagraph"/>
              <w:spacing w:before="78"/>
              <w:ind w:left="121" w:right="91" w:firstLine="1"/>
              <w:rPr>
                <w:sz w:val="14"/>
              </w:rPr>
            </w:pPr>
            <w:r>
              <w:rPr>
                <w:sz w:val="14"/>
              </w:rPr>
              <w:t>C1+C3+I1+ D2+D3+P1+ S2+S3</w:t>
            </w:r>
          </w:p>
        </w:tc>
        <w:tc>
          <w:tcPr>
            <w:tcW w:w="991" w:type="dxa"/>
            <w:tcBorders>
              <w:right w:val="nil"/>
            </w:tcBorders>
          </w:tcPr>
          <w:p>
            <w:pPr>
              <w:pStyle w:val="TableParagraph"/>
              <w:spacing w:before="9"/>
              <w:jc w:val="left"/>
              <w:rPr>
                <w:b/>
                <w:sz w:val="13"/>
              </w:rPr>
            </w:pPr>
          </w:p>
          <w:p>
            <w:pPr>
              <w:pStyle w:val="TableParagraph"/>
              <w:ind w:left="413" w:right="80" w:hanging="302"/>
              <w:jc w:val="left"/>
              <w:rPr>
                <w:sz w:val="14"/>
              </w:rPr>
            </w:pPr>
            <w:r>
              <w:rPr>
                <w:sz w:val="14"/>
              </w:rPr>
              <w:t>C2+C3+S2+ S3</w:t>
            </w:r>
          </w:p>
        </w:tc>
        <w:tc>
          <w:tcPr>
            <w:tcW w:w="987" w:type="dxa"/>
            <w:tcBorders>
              <w:left w:val="nil"/>
              <w:right w:val="nil"/>
            </w:tcBorders>
          </w:tcPr>
          <w:p>
            <w:pPr>
              <w:pStyle w:val="TableParagraph"/>
              <w:spacing w:before="9"/>
              <w:jc w:val="left"/>
              <w:rPr>
                <w:b/>
                <w:sz w:val="13"/>
              </w:rPr>
            </w:pPr>
          </w:p>
          <w:p>
            <w:pPr>
              <w:pStyle w:val="TableParagraph"/>
              <w:ind w:left="154"/>
              <w:jc w:val="left"/>
              <w:rPr>
                <w:sz w:val="14"/>
              </w:rPr>
            </w:pPr>
            <w:r>
              <w:rPr>
                <w:sz w:val="14"/>
              </w:rPr>
              <w:t>C2+C3+D1</w:t>
            </w:r>
          </w:p>
          <w:p>
            <w:pPr>
              <w:pStyle w:val="TableParagraph"/>
              <w:ind w:left="120"/>
              <w:jc w:val="left"/>
              <w:rPr>
                <w:sz w:val="14"/>
              </w:rPr>
            </w:pPr>
            <w:r>
              <w:rPr>
                <w:sz w:val="14"/>
              </w:rPr>
              <w:t>+D2+S2+S3</w:t>
            </w:r>
          </w:p>
        </w:tc>
        <w:tc>
          <w:tcPr>
            <w:tcW w:w="993" w:type="dxa"/>
            <w:tcBorders>
              <w:left w:val="nil"/>
              <w:right w:val="nil"/>
            </w:tcBorders>
          </w:tcPr>
          <w:p>
            <w:pPr>
              <w:pStyle w:val="TableParagraph"/>
              <w:spacing w:line="159" w:lineRule="exact"/>
              <w:ind w:left="83" w:right="60"/>
              <w:rPr>
                <w:sz w:val="14"/>
              </w:rPr>
            </w:pPr>
            <w:r>
              <w:rPr>
                <w:sz w:val="14"/>
              </w:rPr>
              <w:t>C1+C2+C3</w:t>
            </w:r>
          </w:p>
          <w:p>
            <w:pPr>
              <w:pStyle w:val="TableParagraph"/>
              <w:ind w:left="83" w:right="59"/>
              <w:rPr>
                <w:sz w:val="14"/>
              </w:rPr>
            </w:pPr>
            <w:r>
              <w:rPr>
                <w:sz w:val="14"/>
              </w:rPr>
              <w:t>+I1+D1+D2</w:t>
            </w:r>
          </w:p>
          <w:p>
            <w:pPr>
              <w:pStyle w:val="TableParagraph"/>
              <w:ind w:left="83" w:right="60"/>
              <w:rPr>
                <w:sz w:val="14"/>
              </w:rPr>
            </w:pPr>
            <w:r>
              <w:rPr>
                <w:sz w:val="14"/>
              </w:rPr>
              <w:t>+D3+D4+P1</w:t>
            </w:r>
          </w:p>
          <w:p>
            <w:pPr>
              <w:pStyle w:val="TableParagraph"/>
              <w:spacing w:line="143" w:lineRule="exact"/>
              <w:ind w:left="83" w:right="58"/>
              <w:rPr>
                <w:sz w:val="14"/>
              </w:rPr>
            </w:pPr>
            <w:r>
              <w:rPr>
                <w:sz w:val="14"/>
              </w:rPr>
              <w:t>+S2+S3</w:t>
            </w:r>
          </w:p>
        </w:tc>
      </w:tr>
      <w:tr>
        <w:trPr>
          <w:trHeight w:val="644" w:hRule="atLeast"/>
        </w:trPr>
        <w:tc>
          <w:tcPr>
            <w:tcW w:w="259" w:type="dxa"/>
            <w:vMerge/>
            <w:tcBorders>
              <w:top w:val="nil"/>
              <w:left w:val="nil"/>
            </w:tcBorders>
          </w:tcPr>
          <w:p>
            <w:pPr>
              <w:rPr>
                <w:sz w:val="2"/>
                <w:szCs w:val="2"/>
              </w:rPr>
            </w:pPr>
          </w:p>
        </w:tc>
        <w:tc>
          <w:tcPr>
            <w:tcW w:w="253" w:type="dxa"/>
          </w:tcPr>
          <w:p>
            <w:pPr>
              <w:pStyle w:val="TableParagraph"/>
              <w:spacing w:before="7"/>
              <w:jc w:val="left"/>
              <w:rPr>
                <w:b/>
                <w:sz w:val="18"/>
              </w:rPr>
            </w:pPr>
          </w:p>
          <w:p>
            <w:pPr>
              <w:pStyle w:val="TableParagraph"/>
              <w:spacing w:before="1"/>
              <w:ind w:left="4"/>
              <w:jc w:val="left"/>
              <w:rPr>
                <w:b/>
                <w:sz w:val="18"/>
              </w:rPr>
            </w:pPr>
            <w:r>
              <w:rPr>
                <w:b/>
                <w:sz w:val="18"/>
              </w:rPr>
              <w:t>≤5</w:t>
            </w:r>
          </w:p>
        </w:tc>
        <w:tc>
          <w:tcPr>
            <w:tcW w:w="908" w:type="dxa"/>
            <w:tcBorders>
              <w:right w:val="nil"/>
            </w:tcBorders>
          </w:tcPr>
          <w:p>
            <w:pPr>
              <w:pStyle w:val="TableParagraph"/>
              <w:spacing w:before="9"/>
              <w:jc w:val="left"/>
              <w:rPr>
                <w:b/>
                <w:sz w:val="20"/>
              </w:rPr>
            </w:pPr>
          </w:p>
          <w:p>
            <w:pPr>
              <w:pStyle w:val="TableParagraph"/>
              <w:ind w:right="189"/>
              <w:jc w:val="right"/>
              <w:rPr>
                <w:sz w:val="14"/>
              </w:rPr>
            </w:pPr>
            <w:r>
              <w:rPr>
                <w:sz w:val="14"/>
              </w:rPr>
              <w:t>S3+V1</w:t>
            </w:r>
          </w:p>
        </w:tc>
        <w:tc>
          <w:tcPr>
            <w:tcW w:w="1079" w:type="dxa"/>
            <w:tcBorders>
              <w:left w:val="nil"/>
              <w:right w:val="nil"/>
            </w:tcBorders>
          </w:tcPr>
          <w:p>
            <w:pPr>
              <w:pStyle w:val="TableParagraph"/>
              <w:spacing w:before="9"/>
              <w:jc w:val="left"/>
              <w:rPr>
                <w:b/>
                <w:sz w:val="13"/>
              </w:rPr>
            </w:pPr>
          </w:p>
          <w:p>
            <w:pPr>
              <w:pStyle w:val="TableParagraph"/>
              <w:ind w:left="503" w:right="83" w:hanging="302"/>
              <w:jc w:val="left"/>
              <w:rPr>
                <w:sz w:val="14"/>
              </w:rPr>
            </w:pPr>
            <w:r>
              <w:rPr>
                <w:sz w:val="14"/>
              </w:rPr>
              <w:t>D3+D4+S3+ V1</w:t>
            </w:r>
          </w:p>
        </w:tc>
        <w:tc>
          <w:tcPr>
            <w:tcW w:w="990" w:type="dxa"/>
            <w:tcBorders>
              <w:left w:val="nil"/>
            </w:tcBorders>
            <w:shd w:val="clear" w:color="auto" w:fill="A6A6A6"/>
          </w:tcPr>
          <w:p>
            <w:pPr>
              <w:pStyle w:val="TableParagraph"/>
              <w:jc w:val="left"/>
              <w:rPr>
                <w:rFonts w:ascii="Times New Roman"/>
                <w:sz w:val="18"/>
              </w:rPr>
            </w:pPr>
          </w:p>
        </w:tc>
        <w:tc>
          <w:tcPr>
            <w:tcW w:w="991" w:type="dxa"/>
            <w:tcBorders>
              <w:right w:val="nil"/>
            </w:tcBorders>
          </w:tcPr>
          <w:p>
            <w:pPr>
              <w:pStyle w:val="TableParagraph"/>
              <w:spacing w:before="9"/>
              <w:jc w:val="left"/>
              <w:rPr>
                <w:b/>
                <w:sz w:val="13"/>
              </w:rPr>
            </w:pPr>
          </w:p>
          <w:p>
            <w:pPr>
              <w:pStyle w:val="TableParagraph"/>
              <w:ind w:left="147"/>
              <w:jc w:val="left"/>
              <w:rPr>
                <w:sz w:val="14"/>
              </w:rPr>
            </w:pPr>
            <w:r>
              <w:rPr>
                <w:sz w:val="14"/>
              </w:rPr>
              <w:t>C2+C3+D1</w:t>
            </w:r>
          </w:p>
          <w:p>
            <w:pPr>
              <w:pStyle w:val="TableParagraph"/>
              <w:ind w:left="119"/>
              <w:jc w:val="left"/>
              <w:rPr>
                <w:sz w:val="14"/>
              </w:rPr>
            </w:pPr>
            <w:r>
              <w:rPr>
                <w:sz w:val="14"/>
              </w:rPr>
              <w:t>+P2+S2+S3</w:t>
            </w:r>
          </w:p>
        </w:tc>
        <w:tc>
          <w:tcPr>
            <w:tcW w:w="986" w:type="dxa"/>
            <w:tcBorders>
              <w:left w:val="nil"/>
              <w:right w:val="nil"/>
            </w:tcBorders>
          </w:tcPr>
          <w:p>
            <w:pPr>
              <w:pStyle w:val="TableParagraph"/>
              <w:spacing w:before="9"/>
              <w:jc w:val="left"/>
              <w:rPr>
                <w:b/>
                <w:sz w:val="13"/>
              </w:rPr>
            </w:pPr>
          </w:p>
          <w:p>
            <w:pPr>
              <w:pStyle w:val="TableParagraph"/>
              <w:ind w:left="153"/>
              <w:jc w:val="left"/>
              <w:rPr>
                <w:sz w:val="14"/>
              </w:rPr>
            </w:pPr>
            <w:r>
              <w:rPr>
                <w:sz w:val="14"/>
              </w:rPr>
              <w:t>C2+C3+D1</w:t>
            </w:r>
          </w:p>
          <w:p>
            <w:pPr>
              <w:pStyle w:val="TableParagraph"/>
              <w:ind w:left="124"/>
              <w:jc w:val="left"/>
              <w:rPr>
                <w:sz w:val="14"/>
              </w:rPr>
            </w:pPr>
            <w:r>
              <w:rPr>
                <w:sz w:val="14"/>
              </w:rPr>
              <w:t>+P2+S2+S3</w:t>
            </w:r>
          </w:p>
        </w:tc>
        <w:tc>
          <w:tcPr>
            <w:tcW w:w="994" w:type="dxa"/>
            <w:tcBorders>
              <w:left w:val="nil"/>
            </w:tcBorders>
          </w:tcPr>
          <w:p>
            <w:pPr>
              <w:pStyle w:val="TableParagraph"/>
              <w:spacing w:line="159" w:lineRule="exact"/>
              <w:ind w:left="158"/>
              <w:jc w:val="left"/>
              <w:rPr>
                <w:sz w:val="14"/>
              </w:rPr>
            </w:pPr>
            <w:r>
              <w:rPr>
                <w:sz w:val="14"/>
              </w:rPr>
              <w:t>C1+C2+C3</w:t>
            </w:r>
          </w:p>
          <w:p>
            <w:pPr>
              <w:pStyle w:val="TableParagraph"/>
              <w:ind w:left="148"/>
              <w:jc w:val="left"/>
              <w:rPr>
                <w:sz w:val="14"/>
              </w:rPr>
            </w:pPr>
            <w:r>
              <w:rPr>
                <w:sz w:val="14"/>
              </w:rPr>
              <w:t>+I1+D1+D2</w:t>
            </w:r>
          </w:p>
          <w:p>
            <w:pPr>
              <w:pStyle w:val="TableParagraph"/>
              <w:ind w:left="121"/>
              <w:jc w:val="left"/>
              <w:rPr>
                <w:sz w:val="14"/>
              </w:rPr>
            </w:pPr>
            <w:r>
              <w:rPr>
                <w:sz w:val="14"/>
              </w:rPr>
              <w:t>+D3+D4+P1</w:t>
            </w:r>
          </w:p>
          <w:p>
            <w:pPr>
              <w:pStyle w:val="TableParagraph"/>
              <w:spacing w:line="143" w:lineRule="exact"/>
              <w:ind w:left="129"/>
              <w:jc w:val="left"/>
              <w:rPr>
                <w:sz w:val="14"/>
              </w:rPr>
            </w:pPr>
            <w:r>
              <w:rPr>
                <w:sz w:val="14"/>
              </w:rPr>
              <w:t>+P2+S2+S3</w:t>
            </w:r>
          </w:p>
        </w:tc>
        <w:tc>
          <w:tcPr>
            <w:tcW w:w="991" w:type="dxa"/>
            <w:tcBorders>
              <w:right w:val="nil"/>
            </w:tcBorders>
          </w:tcPr>
          <w:p>
            <w:pPr>
              <w:pStyle w:val="TableParagraph"/>
              <w:spacing w:before="9"/>
              <w:jc w:val="left"/>
              <w:rPr>
                <w:b/>
                <w:sz w:val="13"/>
              </w:rPr>
            </w:pPr>
          </w:p>
          <w:p>
            <w:pPr>
              <w:pStyle w:val="TableParagraph"/>
              <w:ind w:left="287" w:right="80" w:hanging="176"/>
              <w:jc w:val="left"/>
              <w:rPr>
                <w:sz w:val="14"/>
              </w:rPr>
            </w:pPr>
            <w:r>
              <w:rPr>
                <w:sz w:val="14"/>
              </w:rPr>
              <w:t>C2+C3+P2+ S2+S3</w:t>
            </w:r>
          </w:p>
        </w:tc>
        <w:tc>
          <w:tcPr>
            <w:tcW w:w="987" w:type="dxa"/>
            <w:tcBorders>
              <w:left w:val="nil"/>
              <w:right w:val="nil"/>
            </w:tcBorders>
          </w:tcPr>
          <w:p>
            <w:pPr>
              <w:pStyle w:val="TableParagraph"/>
              <w:spacing w:before="78"/>
              <w:ind w:left="85" w:right="64"/>
              <w:rPr>
                <w:sz w:val="14"/>
              </w:rPr>
            </w:pPr>
            <w:r>
              <w:rPr>
                <w:sz w:val="14"/>
              </w:rPr>
              <w:t>C2+C3+D1</w:t>
            </w:r>
          </w:p>
          <w:p>
            <w:pPr>
              <w:pStyle w:val="TableParagraph"/>
              <w:ind w:left="85" w:right="64"/>
              <w:rPr>
                <w:sz w:val="14"/>
              </w:rPr>
            </w:pPr>
            <w:r>
              <w:rPr>
                <w:sz w:val="14"/>
              </w:rPr>
              <w:t>+D2+P2+S2</w:t>
            </w:r>
          </w:p>
          <w:p>
            <w:pPr>
              <w:pStyle w:val="TableParagraph"/>
              <w:ind w:left="85" w:right="64"/>
              <w:rPr>
                <w:sz w:val="14"/>
              </w:rPr>
            </w:pPr>
            <w:r>
              <w:rPr>
                <w:sz w:val="14"/>
              </w:rPr>
              <w:t>+S3</w:t>
            </w:r>
          </w:p>
        </w:tc>
        <w:tc>
          <w:tcPr>
            <w:tcW w:w="993" w:type="dxa"/>
            <w:tcBorders>
              <w:left w:val="nil"/>
              <w:right w:val="nil"/>
            </w:tcBorders>
          </w:tcPr>
          <w:p>
            <w:pPr>
              <w:pStyle w:val="TableParagraph"/>
              <w:spacing w:line="159" w:lineRule="exact"/>
              <w:ind w:left="158"/>
              <w:jc w:val="left"/>
              <w:rPr>
                <w:sz w:val="14"/>
              </w:rPr>
            </w:pPr>
            <w:r>
              <w:rPr>
                <w:sz w:val="14"/>
              </w:rPr>
              <w:t>C1+C2+C3</w:t>
            </w:r>
          </w:p>
          <w:p>
            <w:pPr>
              <w:pStyle w:val="TableParagraph"/>
              <w:ind w:left="149"/>
              <w:jc w:val="left"/>
              <w:rPr>
                <w:sz w:val="14"/>
              </w:rPr>
            </w:pPr>
            <w:r>
              <w:rPr>
                <w:sz w:val="14"/>
              </w:rPr>
              <w:t>+I1+D1+D2</w:t>
            </w:r>
          </w:p>
          <w:p>
            <w:pPr>
              <w:pStyle w:val="TableParagraph"/>
              <w:ind w:left="121"/>
              <w:jc w:val="left"/>
              <w:rPr>
                <w:sz w:val="14"/>
              </w:rPr>
            </w:pPr>
            <w:r>
              <w:rPr>
                <w:sz w:val="14"/>
              </w:rPr>
              <w:t>+D3+D4+P1</w:t>
            </w:r>
          </w:p>
          <w:p>
            <w:pPr>
              <w:pStyle w:val="TableParagraph"/>
              <w:spacing w:line="143" w:lineRule="exact"/>
              <w:ind w:left="130"/>
              <w:jc w:val="left"/>
              <w:rPr>
                <w:sz w:val="14"/>
              </w:rPr>
            </w:pPr>
            <w:r>
              <w:rPr>
                <w:sz w:val="14"/>
              </w:rPr>
              <w:t>+P2+S2+S3</w:t>
            </w:r>
          </w:p>
        </w:tc>
      </w:tr>
    </w:tbl>
    <w:p>
      <w:pPr>
        <w:pStyle w:val="ListParagraph"/>
        <w:numPr>
          <w:ilvl w:val="0"/>
          <w:numId w:val="22"/>
        </w:numPr>
        <w:tabs>
          <w:tab w:pos="671" w:val="left" w:leader="none"/>
          <w:tab w:pos="672" w:val="left" w:leader="none"/>
        </w:tabs>
        <w:spacing w:line="240" w:lineRule="auto" w:before="57" w:after="0"/>
        <w:ind w:left="671" w:right="0" w:hanging="454"/>
        <w:jc w:val="left"/>
        <w:rPr>
          <w:sz w:val="20"/>
        </w:rPr>
      </w:pPr>
      <w:r>
        <w:rPr>
          <w:sz w:val="20"/>
        </w:rPr>
        <w:t>A continuación se describen las condiciones agrupadas en bloques</w:t>
      </w:r>
      <w:r>
        <w:rPr>
          <w:spacing w:val="-8"/>
          <w:sz w:val="20"/>
        </w:rPr>
        <w:t> </w:t>
      </w:r>
      <w:r>
        <w:rPr>
          <w:sz w:val="20"/>
        </w:rPr>
        <w:t>homogéneos.</w:t>
      </w:r>
    </w:p>
    <w:p>
      <w:pPr>
        <w:pStyle w:val="ListParagraph"/>
        <w:numPr>
          <w:ilvl w:val="0"/>
          <w:numId w:val="23"/>
        </w:numPr>
        <w:tabs>
          <w:tab w:pos="961" w:val="left" w:leader="none"/>
        </w:tabs>
        <w:spacing w:line="240" w:lineRule="auto" w:before="160" w:after="0"/>
        <w:ind w:left="960" w:right="0" w:hanging="383"/>
        <w:jc w:val="left"/>
        <w:rPr>
          <w:sz w:val="20"/>
        </w:rPr>
      </w:pPr>
      <w:r>
        <w:rPr>
          <w:sz w:val="20"/>
        </w:rPr>
        <w:t>Constitución del</w:t>
      </w:r>
      <w:r>
        <w:rPr>
          <w:spacing w:val="-3"/>
          <w:sz w:val="20"/>
        </w:rPr>
        <w:t> </w:t>
      </w:r>
      <w:r>
        <w:rPr>
          <w:sz w:val="20"/>
        </w:rPr>
        <w:t>suelo:</w:t>
      </w:r>
    </w:p>
    <w:p>
      <w:pPr>
        <w:pStyle w:val="BodyText"/>
        <w:tabs>
          <w:tab w:pos="1579" w:val="left" w:leader="none"/>
        </w:tabs>
        <w:spacing w:before="1"/>
        <w:ind w:left="1580" w:right="418" w:hanging="510"/>
      </w:pPr>
      <w:r>
        <w:rPr/>
        <w:t>C1</w:t>
        <w:tab/>
        <w:t>Cuando el suelo se construya in situ debe utilizarse </w:t>
      </w:r>
      <w:r>
        <w:rPr>
          <w:i/>
        </w:rPr>
        <w:t>hormigón hidrófugo </w:t>
      </w:r>
      <w:r>
        <w:rPr/>
        <w:t>de elevada compacidad.</w:t>
      </w:r>
    </w:p>
    <w:p>
      <w:pPr>
        <w:tabs>
          <w:tab w:pos="1579" w:val="left" w:leader="none"/>
        </w:tabs>
        <w:spacing w:line="229" w:lineRule="exact" w:before="0"/>
        <w:ind w:left="1070" w:right="0" w:firstLine="0"/>
        <w:jc w:val="left"/>
        <w:rPr>
          <w:sz w:val="20"/>
        </w:rPr>
      </w:pPr>
      <w:r>
        <w:rPr>
          <w:sz w:val="20"/>
        </w:rPr>
        <w:t>C2</w:t>
        <w:tab/>
        <w:t>Cuando el suelo se construya in situ debe utilizarse </w:t>
      </w:r>
      <w:r>
        <w:rPr>
          <w:i/>
          <w:sz w:val="20"/>
        </w:rPr>
        <w:t>hormigón de retracción</w:t>
      </w:r>
      <w:r>
        <w:rPr>
          <w:i/>
          <w:spacing w:val="-23"/>
          <w:sz w:val="20"/>
        </w:rPr>
        <w:t> </w:t>
      </w:r>
      <w:r>
        <w:rPr>
          <w:i/>
          <w:sz w:val="20"/>
        </w:rPr>
        <w:t>moderada</w:t>
      </w:r>
      <w:r>
        <w:rPr>
          <w:sz w:val="20"/>
        </w:rPr>
        <w:t>.</w:t>
      </w:r>
    </w:p>
    <w:p>
      <w:pPr>
        <w:pStyle w:val="BodyText"/>
        <w:tabs>
          <w:tab w:pos="1579" w:val="left" w:leader="none"/>
        </w:tabs>
        <w:ind w:left="1580" w:right="392" w:hanging="510"/>
      </w:pPr>
      <w:r>
        <w:rPr/>
        <w:t>C3</w:t>
        <w:tab/>
        <w:t>Debe realizarse una hidrofugación complementaria del suelo mediante la aplicación de un producto líquido colmatador de poros sobre la superficie terminada del</w:t>
      </w:r>
      <w:r>
        <w:rPr>
          <w:spacing w:val="-8"/>
        </w:rPr>
        <w:t> </w:t>
      </w:r>
      <w:r>
        <w:rPr/>
        <w:t>mismo.</w:t>
      </w:r>
    </w:p>
    <w:p>
      <w:pPr>
        <w:tabs>
          <w:tab w:pos="959" w:val="left" w:leader="none"/>
        </w:tabs>
        <w:spacing w:before="100"/>
        <w:ind w:left="578" w:right="0" w:firstLine="0"/>
        <w:jc w:val="left"/>
        <w:rPr>
          <w:sz w:val="20"/>
        </w:rPr>
      </w:pPr>
      <w:r>
        <w:rPr>
          <w:sz w:val="20"/>
        </w:rPr>
        <w:t>I)</w:t>
        <w:tab/>
      </w:r>
      <w:r>
        <w:rPr>
          <w:i/>
          <w:sz w:val="20"/>
        </w:rPr>
        <w:t>Impermeabilización</w:t>
      </w:r>
      <w:r>
        <w:rPr>
          <w:sz w:val="20"/>
        </w:rPr>
        <w:t>:</w:t>
      </w:r>
    </w:p>
    <w:p>
      <w:pPr>
        <w:pStyle w:val="BodyText"/>
        <w:tabs>
          <w:tab w:pos="1580" w:val="left" w:leader="none"/>
        </w:tabs>
        <w:ind w:left="1580" w:right="418" w:hanging="510"/>
      </w:pPr>
      <w:r>
        <w:rPr/>
        <w:t>I1</w:t>
        <w:tab/>
        <w:t>Debe impermeabilizarse el suelo externamente mediante la disposición de una lámina sobre la capa base de regulación del</w:t>
      </w:r>
      <w:r>
        <w:rPr>
          <w:spacing w:val="-3"/>
        </w:rPr>
        <w:t> </w:t>
      </w:r>
      <w:r>
        <w:rPr/>
        <w:t>terreno.</w:t>
      </w:r>
    </w:p>
    <w:p>
      <w:pPr>
        <w:spacing w:before="0"/>
        <w:ind w:left="1580" w:right="418" w:firstLine="0"/>
        <w:jc w:val="left"/>
        <w:rPr>
          <w:sz w:val="20"/>
        </w:rPr>
      </w:pPr>
      <w:r>
        <w:rPr>
          <w:sz w:val="20"/>
        </w:rPr>
        <w:t>Si la lámina es adherida debe disponerse una </w:t>
      </w:r>
      <w:r>
        <w:rPr>
          <w:i/>
          <w:sz w:val="20"/>
        </w:rPr>
        <w:t>capa antipunzonamiento </w:t>
      </w:r>
      <w:r>
        <w:rPr>
          <w:sz w:val="20"/>
        </w:rPr>
        <w:t>por encima de ella.</w:t>
      </w:r>
    </w:p>
    <w:p>
      <w:pPr>
        <w:spacing w:before="0"/>
        <w:ind w:left="1580" w:right="0" w:firstLine="0"/>
        <w:jc w:val="left"/>
        <w:rPr>
          <w:sz w:val="20"/>
        </w:rPr>
      </w:pPr>
      <w:r>
        <w:rPr>
          <w:sz w:val="20"/>
        </w:rPr>
        <w:t>Si la lámina es no adherida ésta debe protegerse por ambas caras con sendas </w:t>
      </w:r>
      <w:r>
        <w:rPr>
          <w:i/>
          <w:sz w:val="20"/>
        </w:rPr>
        <w:t>capas </w:t>
      </w:r>
      <w:r>
        <w:rPr>
          <w:i/>
          <w:sz w:val="20"/>
        </w:rPr>
        <w:t>antipunzonamiento</w:t>
      </w:r>
      <w:r>
        <w:rPr>
          <w:sz w:val="20"/>
        </w:rPr>
        <w:t>.</w:t>
      </w:r>
    </w:p>
    <w:p>
      <w:pPr>
        <w:pStyle w:val="BodyText"/>
        <w:ind w:left="1580"/>
      </w:pPr>
      <w:r>
        <w:rPr/>
        <w:t>Cuando el suelo sea una </w:t>
      </w:r>
      <w:r>
        <w:rPr>
          <w:i/>
        </w:rPr>
        <w:t>placa</w:t>
      </w:r>
      <w:r>
        <w:rPr/>
        <w:t>, la lámina debe ser doble.</w:t>
      </w:r>
    </w:p>
    <w:p>
      <w:pPr>
        <w:pStyle w:val="BodyText"/>
        <w:rPr>
          <w:sz w:val="22"/>
        </w:rPr>
      </w:pPr>
    </w:p>
    <w:p>
      <w:pPr>
        <w:spacing w:before="157"/>
        <w:ind w:left="1958" w:right="0" w:firstLine="0"/>
        <w:jc w:val="left"/>
        <w:rPr>
          <w:sz w:val="16"/>
        </w:rPr>
      </w:pPr>
      <w:r>
        <w:rPr/>
        <w:pict>
          <v:line style="position:absolute;mso-position-horizontal-relative:page;mso-position-vertical-relative:paragraph;z-index:251692032" from="152.520004pt,4.974208pt" to="152.520004pt,20.154208pt" stroked="true" strokeweight=".48pt" strokecolor="#000000">
            <v:stroke dashstyle="solid"/>
            <w10:wrap type="none"/>
          </v:line>
        </w:pict>
      </w:r>
      <w:r>
        <w:rPr>
          <w:sz w:val="16"/>
        </w:rPr>
        <w:t>Se refiere a que debe estar formada por dos capas.</w:t>
      </w:r>
    </w:p>
    <w:p>
      <w:pPr>
        <w:pStyle w:val="BodyText"/>
        <w:spacing w:before="1"/>
        <w:rPr>
          <w:sz w:val="17"/>
        </w:rPr>
      </w:pPr>
    </w:p>
    <w:p>
      <w:pPr>
        <w:pStyle w:val="BodyText"/>
        <w:spacing w:before="94"/>
        <w:ind w:left="1580" w:right="391" w:hanging="510"/>
        <w:jc w:val="both"/>
      </w:pPr>
      <w:r>
        <w:rPr/>
        <w:t>I2   Debe impermeabilizarse, mediante la disposición sobre la capa de hormigón de limpieza   de una lámina, la base de la zapata en el caso de </w:t>
      </w:r>
      <w:r>
        <w:rPr>
          <w:i/>
        </w:rPr>
        <w:t>muro flexorresistente </w:t>
      </w:r>
      <w:r>
        <w:rPr/>
        <w:t>y la base del muro en el caso de muro por</w:t>
      </w:r>
      <w:r>
        <w:rPr>
          <w:spacing w:val="-9"/>
        </w:rPr>
        <w:t> </w:t>
      </w:r>
      <w:r>
        <w:rPr/>
        <w:t>gravedad.</w:t>
      </w:r>
    </w:p>
    <w:p>
      <w:pPr>
        <w:spacing w:before="0"/>
        <w:ind w:left="1580" w:right="418" w:firstLine="0"/>
        <w:jc w:val="left"/>
        <w:rPr>
          <w:sz w:val="20"/>
        </w:rPr>
      </w:pPr>
      <w:r>
        <w:rPr>
          <w:sz w:val="20"/>
        </w:rPr>
        <w:t>Si la lámina es adherida debe disponerse una </w:t>
      </w:r>
      <w:r>
        <w:rPr>
          <w:i/>
          <w:sz w:val="20"/>
        </w:rPr>
        <w:t>capa antipunzonamiento </w:t>
      </w:r>
      <w:r>
        <w:rPr>
          <w:sz w:val="20"/>
        </w:rPr>
        <w:t>por encima de ella.</w:t>
      </w:r>
    </w:p>
    <w:p>
      <w:pPr>
        <w:spacing w:before="0"/>
        <w:ind w:left="1580" w:right="0" w:firstLine="0"/>
        <w:jc w:val="left"/>
        <w:rPr>
          <w:sz w:val="20"/>
        </w:rPr>
      </w:pPr>
      <w:r>
        <w:rPr>
          <w:sz w:val="20"/>
        </w:rPr>
        <w:t>Si la lámina es no adherida ésta debe protegerse por ambas caras con sendas </w:t>
      </w:r>
      <w:r>
        <w:rPr>
          <w:i/>
          <w:sz w:val="20"/>
        </w:rPr>
        <w:t>capas </w:t>
      </w:r>
      <w:r>
        <w:rPr>
          <w:i/>
          <w:sz w:val="20"/>
        </w:rPr>
        <w:t>antipunzonamiento</w:t>
      </w:r>
      <w:r>
        <w:rPr>
          <w:sz w:val="20"/>
        </w:rPr>
        <w:t>.</w:t>
      </w:r>
    </w:p>
    <w:p>
      <w:pPr>
        <w:pStyle w:val="BodyText"/>
        <w:ind w:left="1580" w:right="418"/>
      </w:pPr>
      <w:r>
        <w:rPr/>
        <w:t>Deben sellarse los encuentros de la lámina de </w:t>
      </w:r>
      <w:r>
        <w:rPr>
          <w:i/>
        </w:rPr>
        <w:t>impermeabilización </w:t>
      </w:r>
      <w:r>
        <w:rPr/>
        <w:t>del suelo con la de la base del muro o zapata.</w:t>
      </w:r>
    </w:p>
    <w:p>
      <w:pPr>
        <w:pStyle w:val="BodyText"/>
        <w:spacing w:before="2"/>
        <w:rPr>
          <w:sz w:val="25"/>
        </w:rPr>
      </w:pPr>
    </w:p>
    <w:p>
      <w:pPr>
        <w:spacing w:before="0"/>
        <w:ind w:left="1942" w:right="418" w:firstLine="0"/>
        <w:jc w:val="left"/>
        <w:rPr>
          <w:sz w:val="16"/>
        </w:rPr>
      </w:pPr>
      <w:r>
        <w:rPr/>
        <w:pict>
          <v:line style="position:absolute;mso-position-horizontal-relative:page;mso-position-vertical-relative:paragraph;z-index:251693056" from="151.800003pt,-2.875704pt" to="151.800003pt,21.544296pt" stroked="true" strokeweight=".48001pt" strokecolor="#000000">
            <v:stroke dashstyle="solid"/>
            <w10:wrap type="none"/>
          </v:line>
        </w:pict>
      </w:r>
      <w:r>
        <w:rPr>
          <w:sz w:val="16"/>
        </w:rPr>
        <w:t>Entre las soluciones que pueden utilizarse también como impermeabilizantes para I1 e I2, se encuentran las barreras geosintéticas expansivas, tales como la bentonita de</w:t>
      </w:r>
      <w:r>
        <w:rPr>
          <w:spacing w:val="-2"/>
          <w:sz w:val="16"/>
        </w:rPr>
        <w:t> </w:t>
      </w:r>
      <w:r>
        <w:rPr>
          <w:sz w:val="16"/>
        </w:rPr>
        <w:t>sodio.</w:t>
      </w:r>
    </w:p>
    <w:p>
      <w:pPr>
        <w:pStyle w:val="BodyText"/>
        <w:spacing w:before="9"/>
        <w:rPr>
          <w:sz w:val="25"/>
        </w:rPr>
      </w:pPr>
    </w:p>
    <w:p>
      <w:pPr>
        <w:pStyle w:val="ListParagraph"/>
        <w:numPr>
          <w:ilvl w:val="0"/>
          <w:numId w:val="23"/>
        </w:numPr>
        <w:tabs>
          <w:tab w:pos="960" w:val="left" w:leader="none"/>
        </w:tabs>
        <w:spacing w:line="240" w:lineRule="auto" w:before="94" w:after="0"/>
        <w:ind w:left="960" w:right="0" w:hanging="382"/>
        <w:jc w:val="both"/>
        <w:rPr>
          <w:sz w:val="20"/>
        </w:rPr>
      </w:pPr>
      <w:r>
        <w:rPr>
          <w:i/>
          <w:sz w:val="20"/>
        </w:rPr>
        <w:t>Drenaje </w:t>
      </w:r>
      <w:r>
        <w:rPr>
          <w:sz w:val="20"/>
        </w:rPr>
        <w:t>y</w:t>
      </w:r>
      <w:r>
        <w:rPr>
          <w:spacing w:val="-1"/>
          <w:sz w:val="20"/>
        </w:rPr>
        <w:t> </w:t>
      </w:r>
      <w:r>
        <w:rPr>
          <w:sz w:val="20"/>
        </w:rPr>
        <w:t>evacuación:</w:t>
      </w:r>
    </w:p>
    <w:p>
      <w:pPr>
        <w:pStyle w:val="BodyText"/>
        <w:ind w:left="1580" w:right="391" w:hanging="510"/>
        <w:jc w:val="both"/>
      </w:pPr>
      <w:r>
        <w:rPr/>
        <w:t>D1 Debe disponerse una capa drenante y una capa filtrante sobre el terreno situado bajo el suelo. En el caso de que se utilice como capa drenante un </w:t>
      </w:r>
      <w:r>
        <w:rPr>
          <w:i/>
        </w:rPr>
        <w:t>encachado</w:t>
      </w:r>
      <w:r>
        <w:rPr/>
        <w:t>, debe disponerse una lámina de polietileno por encima de ella.</w:t>
      </w:r>
    </w:p>
    <w:p>
      <w:pPr>
        <w:pStyle w:val="BodyText"/>
        <w:ind w:left="1580" w:right="391" w:hanging="510"/>
        <w:jc w:val="both"/>
      </w:pPr>
      <w:r>
        <w:rPr/>
        <w:t>D2 Deben colocarse </w:t>
      </w:r>
      <w:r>
        <w:rPr>
          <w:i/>
        </w:rPr>
        <w:t>tubos drenantes</w:t>
      </w:r>
      <w:r>
        <w:rPr/>
        <w:t>, conectados a la red de saneamiento o a cualquier sistema de recogida para su reutilización posterior, en el terreno situado bajo el suelo y, cuando dicha conexión esté situada por encima de la red de </w:t>
      </w:r>
      <w:r>
        <w:rPr>
          <w:i/>
        </w:rPr>
        <w:t>drenaje</w:t>
      </w:r>
      <w:r>
        <w:rPr/>
        <w:t>, al menos una </w:t>
      </w:r>
      <w:r>
        <w:rPr>
          <w:i/>
        </w:rPr>
        <w:t>cámara de bombeo </w:t>
      </w:r>
      <w:r>
        <w:rPr/>
        <w:t>con dos bombas de achique.</w:t>
      </w:r>
    </w:p>
    <w:p>
      <w:pPr>
        <w:pStyle w:val="BodyText"/>
        <w:ind w:left="1580" w:right="391" w:hanging="510"/>
        <w:jc w:val="both"/>
      </w:pPr>
      <w:r>
        <w:rPr/>
        <w:t>D3 Deben colocarse tubos drenantes, conectados a la red de saneamiento o a cualquier sistema de recogida para su reutilización posterior, en la base del muro y, cuando dicha conexión esté situada por encima de la red de </w:t>
      </w:r>
      <w:r>
        <w:rPr>
          <w:i/>
        </w:rPr>
        <w:t>drenaje</w:t>
      </w:r>
      <w:r>
        <w:rPr/>
        <w:t>, al menos una </w:t>
      </w:r>
      <w:r>
        <w:rPr>
          <w:i/>
        </w:rPr>
        <w:t>cámara de bombeo </w:t>
      </w:r>
      <w:r>
        <w:rPr/>
        <w:t>con dos bombas de achique.</w:t>
      </w:r>
    </w:p>
    <w:p>
      <w:pPr>
        <w:pStyle w:val="BodyText"/>
        <w:ind w:left="1580" w:right="390" w:firstLine="6"/>
        <w:jc w:val="both"/>
      </w:pPr>
      <w:r>
        <w:rPr/>
        <w:t>En el caso de muros pantalla los tubos drenantes deben colocarse a un metro por debajo del suelo y repartidos uniformemente junto al </w:t>
      </w:r>
      <w:r>
        <w:rPr>
          <w:i/>
        </w:rPr>
        <w:t>muro</w:t>
      </w:r>
      <w:r>
        <w:rPr>
          <w:i/>
          <w:spacing w:val="-11"/>
        </w:rPr>
        <w:t> </w:t>
      </w:r>
      <w:r>
        <w:rPr>
          <w:i/>
        </w:rPr>
        <w:t>pantalla</w:t>
      </w:r>
      <w:r>
        <w:rPr/>
        <w:t>.</w:t>
      </w:r>
    </w:p>
    <w:p>
      <w:pPr>
        <w:pStyle w:val="BodyText"/>
        <w:ind w:left="1580" w:right="391" w:hanging="510"/>
        <w:jc w:val="both"/>
      </w:pPr>
      <w:r>
        <w:rPr/>
        <w:t>D4 Debe disponerse un </w:t>
      </w:r>
      <w:r>
        <w:rPr>
          <w:i/>
        </w:rPr>
        <w:t>pozo drenante </w:t>
      </w:r>
      <w:r>
        <w:rPr/>
        <w:t>por cada 800 m</w:t>
      </w:r>
      <w:r>
        <w:rPr>
          <w:position w:val="7"/>
          <w:sz w:val="13"/>
        </w:rPr>
        <w:t>2 </w:t>
      </w:r>
      <w:r>
        <w:rPr/>
        <w:t>en el terreno situado bajo el suelo. El diámetro interior del pozo debe ser como mínimo igual a 70 cm. El pozo debe disponer de una envolvente filtrante capaz de impedir el arrastre de finos del terreno. Deben disponerse dos bombas de achique, una conexión para la evacuación a la red de saneamiento o a cualquier sistema de recogida para su reutilización posterior y un dispositivo automático para que el achique sea</w:t>
      </w:r>
      <w:r>
        <w:rPr>
          <w:spacing w:val="-7"/>
        </w:rPr>
        <w:t> </w:t>
      </w:r>
      <w:r>
        <w:rPr/>
        <w:t>permanente.</w:t>
      </w:r>
    </w:p>
    <w:p>
      <w:pPr>
        <w:spacing w:after="0"/>
        <w:jc w:val="both"/>
        <w:sectPr>
          <w:pgSz w:w="11910" w:h="16840"/>
          <w:pgMar w:header="724" w:footer="636" w:top="1320" w:bottom="840" w:left="1200" w:right="738"/>
        </w:sectPr>
      </w:pPr>
    </w:p>
    <w:p>
      <w:pPr>
        <w:spacing w:before="150"/>
        <w:ind w:left="1958" w:right="0" w:firstLine="0"/>
        <w:jc w:val="left"/>
        <w:rPr>
          <w:sz w:val="16"/>
        </w:rPr>
      </w:pPr>
      <w:r>
        <w:rPr/>
        <w:pict>
          <v:line style="position:absolute;mso-position-horizontal-relative:page;mso-position-vertical-relative:paragraph;z-index:251694080" from="152.520004pt,4.624224pt" to="152.520004pt,19.804224pt" stroked="true" strokeweight=".48pt" strokecolor="#000000">
            <v:stroke dashstyle="solid"/>
            <w10:wrap type="none"/>
          </v:line>
        </w:pict>
      </w:r>
      <w:r>
        <w:rPr>
          <w:sz w:val="16"/>
        </w:rPr>
        <w:t>Por motivos de sostenibilidad es preferible la reutilización del agua drenada en D2, D3 y D4.</w:t>
      </w:r>
    </w:p>
    <w:p>
      <w:pPr>
        <w:pStyle w:val="BodyText"/>
        <w:spacing w:before="8"/>
        <w:rPr>
          <w:sz w:val="25"/>
        </w:rPr>
      </w:pPr>
    </w:p>
    <w:p>
      <w:pPr>
        <w:pStyle w:val="BodyText"/>
        <w:spacing w:before="94"/>
        <w:ind w:left="578"/>
        <w:jc w:val="both"/>
      </w:pPr>
      <w:r>
        <w:rPr/>
        <w:t>P) Tratamiento perimétrico:</w:t>
      </w:r>
    </w:p>
    <w:p>
      <w:pPr>
        <w:pStyle w:val="BodyText"/>
        <w:ind w:left="1580" w:right="392" w:hanging="510"/>
        <w:jc w:val="both"/>
      </w:pPr>
      <w:r>
        <w:rPr/>
        <w:t>P1 La superficie del terreno en el perímetro del muro debe tratarse para limitar el aporte de agua superficial al terreno mediante la disposición de una acera, una </w:t>
      </w:r>
      <w:r>
        <w:rPr>
          <w:i/>
        </w:rPr>
        <w:t>zanja drenante </w:t>
      </w:r>
      <w:r>
        <w:rPr/>
        <w:t>o cualquier otro elemento que produzca un efecto análogo.</w:t>
      </w:r>
    </w:p>
    <w:p>
      <w:pPr>
        <w:pStyle w:val="BodyText"/>
        <w:ind w:left="1070"/>
        <w:jc w:val="both"/>
      </w:pPr>
      <w:r>
        <w:rPr/>
        <w:t>P2 Debe encastrarse el borde de la </w:t>
      </w:r>
      <w:r>
        <w:rPr>
          <w:i/>
        </w:rPr>
        <w:t>placa </w:t>
      </w:r>
      <w:r>
        <w:rPr/>
        <w:t>o de la </w:t>
      </w:r>
      <w:r>
        <w:rPr>
          <w:i/>
        </w:rPr>
        <w:t>solera </w:t>
      </w:r>
      <w:r>
        <w:rPr/>
        <w:t>en el muro.</w:t>
      </w:r>
    </w:p>
    <w:p>
      <w:pPr>
        <w:pStyle w:val="ListParagraph"/>
        <w:numPr>
          <w:ilvl w:val="0"/>
          <w:numId w:val="24"/>
        </w:numPr>
        <w:tabs>
          <w:tab w:pos="960" w:val="left" w:leader="none"/>
        </w:tabs>
        <w:spacing w:line="240" w:lineRule="auto" w:before="99" w:after="0"/>
        <w:ind w:left="960" w:right="0" w:hanging="382"/>
        <w:jc w:val="both"/>
        <w:rPr>
          <w:sz w:val="20"/>
        </w:rPr>
      </w:pPr>
      <w:r>
        <w:rPr>
          <w:sz w:val="20"/>
        </w:rPr>
        <w:t>Sellado de</w:t>
      </w:r>
      <w:r>
        <w:rPr>
          <w:spacing w:val="-1"/>
          <w:sz w:val="20"/>
        </w:rPr>
        <w:t> </w:t>
      </w:r>
      <w:r>
        <w:rPr>
          <w:sz w:val="20"/>
        </w:rPr>
        <w:t>juntas:</w:t>
      </w:r>
    </w:p>
    <w:p>
      <w:pPr>
        <w:pStyle w:val="BodyText"/>
        <w:ind w:left="1580" w:right="390" w:hanging="510"/>
        <w:jc w:val="both"/>
      </w:pPr>
      <w:r>
        <w:rPr/>
        <w:t>S1 Deben sellarse los encuentros de las láminas de </w:t>
      </w:r>
      <w:r>
        <w:rPr>
          <w:i/>
        </w:rPr>
        <w:t>impermeabilización </w:t>
      </w:r>
      <w:r>
        <w:rPr/>
        <w:t>del muro con las del suelo y con las dispuestas en la base inferior de las cimentaciones que estén en contacto con el muro.</w:t>
      </w:r>
    </w:p>
    <w:p>
      <w:pPr>
        <w:pStyle w:val="BodyText"/>
        <w:ind w:left="1580" w:right="391" w:hanging="510"/>
        <w:jc w:val="both"/>
      </w:pPr>
      <w:r>
        <w:rPr/>
        <w:t>S2 Deben sellarse todas las juntas del suelo con banda de PVC o con perfiles de caucho expansivo o de bentonita de sodio.</w:t>
      </w:r>
    </w:p>
    <w:p>
      <w:pPr>
        <w:pStyle w:val="BodyText"/>
        <w:ind w:left="1580" w:right="391" w:hanging="510"/>
        <w:jc w:val="both"/>
      </w:pPr>
      <w:r>
        <w:rPr/>
        <w:t>S3  Deben sellarse los encuentros entre el suelo y el muro con banda de PVC o con perfiles   de caucho expansivo o de bentonita de sodio, según lo establecido en el</w:t>
      </w:r>
      <w:r>
        <w:rPr>
          <w:spacing w:val="31"/>
        </w:rPr>
        <w:t> </w:t>
      </w:r>
      <w:r>
        <w:rPr/>
        <w:t>apartado 2.2.3.1.</w:t>
      </w:r>
    </w:p>
    <w:p>
      <w:pPr>
        <w:pStyle w:val="BodyText"/>
        <w:spacing w:before="100"/>
        <w:ind w:left="578"/>
        <w:jc w:val="both"/>
      </w:pPr>
      <w:r>
        <w:rPr/>
        <w:t>V) Ventilación de la cámara:</w:t>
      </w:r>
    </w:p>
    <w:p>
      <w:pPr>
        <w:pStyle w:val="BodyText"/>
        <w:spacing w:line="237" w:lineRule="auto" w:before="2"/>
        <w:ind w:left="1580" w:right="391" w:hanging="510"/>
        <w:jc w:val="both"/>
      </w:pPr>
      <w:r>
        <w:rPr/>
        <w:t>V1 El espacio existente entre el </w:t>
      </w:r>
      <w:r>
        <w:rPr>
          <w:i/>
        </w:rPr>
        <w:t>suelo elevado </w:t>
      </w:r>
      <w:r>
        <w:rPr/>
        <w:t>y el terreno debe ventilarse hacia el exterior mediante aberturas de ventilación repartidas al 50% entre dos paredes enfrentadas, dispuestas regularmente y al tresbolillo. La relación entre el </w:t>
      </w:r>
      <w:r>
        <w:rPr>
          <w:i/>
        </w:rPr>
        <w:t>área efectiva </w:t>
      </w:r>
      <w:r>
        <w:rPr/>
        <w:t>total de las </w:t>
      </w:r>
      <w:r>
        <w:rPr>
          <w:position w:val="1"/>
        </w:rPr>
        <w:t>aberturas, S</w:t>
      </w:r>
      <w:r>
        <w:rPr>
          <w:sz w:val="13"/>
        </w:rPr>
        <w:t>s</w:t>
      </w:r>
      <w:r>
        <w:rPr>
          <w:position w:val="1"/>
        </w:rPr>
        <w:t>, en cm</w:t>
      </w:r>
      <w:r>
        <w:rPr>
          <w:position w:val="1"/>
          <w:vertAlign w:val="superscript"/>
        </w:rPr>
        <w:t>2</w:t>
      </w:r>
      <w:r>
        <w:rPr>
          <w:position w:val="1"/>
          <w:vertAlign w:val="baseline"/>
        </w:rPr>
        <w:t>, y la superficie del </w:t>
      </w:r>
      <w:r>
        <w:rPr>
          <w:i/>
          <w:position w:val="1"/>
          <w:vertAlign w:val="baseline"/>
        </w:rPr>
        <w:t>suelo elevado</w:t>
      </w:r>
      <w:r>
        <w:rPr>
          <w:position w:val="1"/>
          <w:vertAlign w:val="baseline"/>
        </w:rPr>
        <w:t>, A</w:t>
      </w:r>
      <w:r>
        <w:rPr>
          <w:sz w:val="13"/>
          <w:vertAlign w:val="baseline"/>
        </w:rPr>
        <w:t>s</w:t>
      </w:r>
      <w:r>
        <w:rPr>
          <w:position w:val="1"/>
          <w:vertAlign w:val="baseline"/>
        </w:rPr>
        <w:t>, en m</w:t>
      </w:r>
      <w:r>
        <w:rPr>
          <w:position w:val="1"/>
          <w:vertAlign w:val="superscript"/>
        </w:rPr>
        <w:t>2</w:t>
      </w:r>
      <w:r>
        <w:rPr>
          <w:position w:val="1"/>
          <w:vertAlign w:val="baseline"/>
        </w:rPr>
        <w:t> debe cumplir la </w:t>
      </w:r>
      <w:r>
        <w:rPr>
          <w:vertAlign w:val="baseline"/>
        </w:rPr>
        <w:t>condición:</w:t>
      </w:r>
    </w:p>
    <w:p>
      <w:pPr>
        <w:spacing w:after="0" w:line="237" w:lineRule="auto"/>
        <w:jc w:val="both"/>
        <w:sectPr>
          <w:pgSz w:w="11910" w:h="16840"/>
          <w:pgMar w:header="724" w:footer="636" w:top="1320" w:bottom="840" w:left="1200" w:right="738"/>
        </w:sectPr>
      </w:pPr>
    </w:p>
    <w:p>
      <w:pPr>
        <w:pStyle w:val="BodyText"/>
        <w:spacing w:line="324" w:lineRule="exact" w:before="25"/>
        <w:ind w:right="7"/>
        <w:jc w:val="right"/>
        <w:rPr>
          <w:sz w:val="14"/>
        </w:rPr>
      </w:pPr>
      <w:r>
        <w:rPr/>
        <w:pict>
          <v:line style="position:absolute;mso-position-horizontal-relative:page;mso-position-vertical-relative:paragraph;z-index:-267277312" from="163.5pt,14.669744pt" to="177.54pt,14.669744pt" stroked="true" strokeweight=".499pt" strokecolor="#000000">
            <v:stroke dashstyle="solid"/>
            <w10:wrap type="none"/>
          </v:line>
        </w:pict>
      </w:r>
      <w:r>
        <w:rPr/>
        <w:t>30 &gt; </w:t>
      </w:r>
      <w:r>
        <w:rPr>
          <w:spacing w:val="2"/>
        </w:rPr>
        <w:t> </w:t>
      </w:r>
      <w:r>
        <w:rPr>
          <w:spacing w:val="5"/>
          <w:position w:val="13"/>
        </w:rPr>
        <w:t>S</w:t>
      </w:r>
      <w:r>
        <w:rPr>
          <w:spacing w:val="5"/>
          <w:position w:val="8"/>
          <w:sz w:val="14"/>
        </w:rPr>
        <w:t>s</w:t>
      </w:r>
    </w:p>
    <w:p>
      <w:pPr>
        <w:spacing w:line="231" w:lineRule="exact" w:before="0"/>
        <w:ind w:left="0" w:right="0" w:firstLine="0"/>
        <w:jc w:val="right"/>
        <w:rPr>
          <w:sz w:val="14"/>
        </w:rPr>
      </w:pPr>
      <w:r>
        <w:rPr>
          <w:spacing w:val="10"/>
          <w:sz w:val="20"/>
        </w:rPr>
        <w:t>A</w:t>
      </w:r>
      <w:r>
        <w:rPr>
          <w:spacing w:val="10"/>
          <w:position w:val="-4"/>
          <w:sz w:val="14"/>
        </w:rPr>
        <w:t>s</w:t>
      </w:r>
    </w:p>
    <w:p>
      <w:pPr>
        <w:pStyle w:val="BodyText"/>
        <w:tabs>
          <w:tab w:pos="6653" w:val="left" w:leader="none"/>
        </w:tabs>
        <w:spacing w:before="155"/>
        <w:ind w:left="91"/>
      </w:pPr>
      <w:r>
        <w:rPr/>
        <w:br w:type="column"/>
      </w:r>
      <w:r>
        <w:rPr/>
        <w:t>&gt;</w:t>
      </w:r>
      <w:r>
        <w:rPr>
          <w:spacing w:val="-1"/>
        </w:rPr>
        <w:t> </w:t>
      </w:r>
      <w:r>
        <w:rPr/>
        <w:t>10</w:t>
        <w:tab/>
        <w:t>(2.2)</w:t>
      </w:r>
    </w:p>
    <w:p>
      <w:pPr>
        <w:spacing w:after="0"/>
        <w:sectPr>
          <w:type w:val="continuous"/>
          <w:pgSz w:w="11910" w:h="16840"/>
          <w:pgMar w:top="1580" w:bottom="280" w:left="1200" w:right="738"/>
          <w:cols w:num="2" w:equalWidth="0">
            <w:col w:w="2314" w:space="40"/>
            <w:col w:w="7618"/>
          </w:cols>
        </w:sectPr>
      </w:pPr>
    </w:p>
    <w:p>
      <w:pPr>
        <w:pStyle w:val="BodyText"/>
        <w:spacing w:before="21"/>
        <w:ind w:left="655" w:right="236"/>
        <w:jc w:val="center"/>
      </w:pPr>
      <w:r>
        <w:rPr/>
        <w:t>La distancia entre aberturas de ventilación contiguas no debe ser mayor que 5 m.</w:t>
      </w:r>
    </w:p>
    <w:p>
      <w:pPr>
        <w:pStyle w:val="BodyText"/>
        <w:spacing w:before="5"/>
        <w:rPr>
          <w:sz w:val="17"/>
        </w:rPr>
      </w:pPr>
    </w:p>
    <w:p>
      <w:pPr>
        <w:pStyle w:val="Heading5"/>
        <w:numPr>
          <w:ilvl w:val="2"/>
          <w:numId w:val="14"/>
        </w:numPr>
        <w:tabs>
          <w:tab w:pos="786" w:val="left" w:leader="none"/>
        </w:tabs>
        <w:spacing w:line="240" w:lineRule="auto" w:before="0" w:after="0"/>
        <w:ind w:left="785" w:right="0" w:hanging="568"/>
        <w:jc w:val="left"/>
      </w:pPr>
      <w:r>
        <w:rPr/>
        <w:t>Condiciones de los puntos</w:t>
      </w:r>
      <w:r>
        <w:rPr>
          <w:spacing w:val="-3"/>
        </w:rPr>
        <w:t> </w:t>
      </w:r>
      <w:r>
        <w:rPr/>
        <w:t>singulares</w:t>
      </w:r>
    </w:p>
    <w:p>
      <w:pPr>
        <w:pStyle w:val="BodyText"/>
        <w:spacing w:before="159"/>
        <w:ind w:left="672" w:right="390" w:hanging="454"/>
        <w:jc w:val="both"/>
      </w:pPr>
      <w:r>
        <w:rPr/>
        <w:t>1 Deben respetarse las condiciones de disposición de bandas de refuerzo y de terminación, las de continuidad o discontinuidad, así como cualquier otra que afecte al diseño, relativas al sistema de </w:t>
      </w:r>
      <w:r>
        <w:rPr>
          <w:i/>
        </w:rPr>
        <w:t>impermeabilización </w:t>
      </w:r>
      <w:r>
        <w:rPr/>
        <w:t>que se emplee.</w:t>
      </w:r>
    </w:p>
    <w:p>
      <w:pPr>
        <w:pStyle w:val="BodyText"/>
        <w:spacing w:before="9"/>
        <w:rPr>
          <w:sz w:val="22"/>
        </w:rPr>
      </w:pPr>
    </w:p>
    <w:p>
      <w:pPr>
        <w:pStyle w:val="Heading5"/>
        <w:numPr>
          <w:ilvl w:val="3"/>
          <w:numId w:val="14"/>
        </w:numPr>
        <w:tabs>
          <w:tab w:pos="928" w:val="left" w:leader="none"/>
        </w:tabs>
        <w:spacing w:line="240" w:lineRule="auto" w:before="0" w:after="0"/>
        <w:ind w:left="927" w:right="0" w:hanging="710"/>
        <w:jc w:val="left"/>
      </w:pPr>
      <w:r>
        <w:rPr/>
        <w:t>Encuentros del suelo con los</w:t>
      </w:r>
      <w:r>
        <w:rPr>
          <w:spacing w:val="-5"/>
        </w:rPr>
        <w:t> </w:t>
      </w:r>
      <w:r>
        <w:rPr/>
        <w:t>muros</w:t>
      </w:r>
    </w:p>
    <w:p>
      <w:pPr>
        <w:pStyle w:val="ListParagraph"/>
        <w:numPr>
          <w:ilvl w:val="0"/>
          <w:numId w:val="25"/>
        </w:numPr>
        <w:tabs>
          <w:tab w:pos="672" w:val="left" w:leader="none"/>
        </w:tabs>
        <w:spacing w:line="240" w:lineRule="auto" w:before="159" w:after="0"/>
        <w:ind w:left="671" w:right="392" w:hanging="454"/>
        <w:jc w:val="both"/>
        <w:rPr>
          <w:sz w:val="20"/>
        </w:rPr>
      </w:pPr>
      <w:r>
        <w:rPr>
          <w:sz w:val="20"/>
        </w:rPr>
        <w:t>En los casos establecidos en la tabla 2.4 el encuentro debe realizarse de la forma detallada a continuación.</w:t>
      </w:r>
    </w:p>
    <w:p>
      <w:pPr>
        <w:pStyle w:val="ListParagraph"/>
        <w:numPr>
          <w:ilvl w:val="0"/>
          <w:numId w:val="25"/>
        </w:numPr>
        <w:tabs>
          <w:tab w:pos="672" w:val="left" w:leader="none"/>
        </w:tabs>
        <w:spacing w:line="240" w:lineRule="auto" w:before="119" w:after="0"/>
        <w:ind w:left="671" w:right="391" w:hanging="454"/>
        <w:jc w:val="both"/>
        <w:rPr>
          <w:sz w:val="20"/>
        </w:rPr>
      </w:pPr>
      <w:r>
        <w:rPr>
          <w:sz w:val="20"/>
        </w:rPr>
        <w:t>Cuando el suelo y el muro sean hormigonados in situ, excepto en el caso de muros pantalla, debe sellarse la junta entre ambos con una banda elástica embebida en la masa del hormigón a ambos lados de la</w:t>
      </w:r>
      <w:r>
        <w:rPr>
          <w:spacing w:val="-4"/>
          <w:sz w:val="20"/>
        </w:rPr>
        <w:t> </w:t>
      </w:r>
      <w:r>
        <w:rPr>
          <w:sz w:val="20"/>
        </w:rPr>
        <w:t>junta.</w:t>
      </w:r>
    </w:p>
    <w:p>
      <w:pPr>
        <w:pStyle w:val="ListParagraph"/>
        <w:numPr>
          <w:ilvl w:val="0"/>
          <w:numId w:val="25"/>
        </w:numPr>
        <w:tabs>
          <w:tab w:pos="672" w:val="left" w:leader="none"/>
        </w:tabs>
        <w:spacing w:line="240" w:lineRule="auto" w:before="120" w:after="0"/>
        <w:ind w:left="671" w:right="393" w:hanging="454"/>
        <w:jc w:val="both"/>
        <w:rPr>
          <w:sz w:val="20"/>
        </w:rPr>
      </w:pPr>
      <w:r>
        <w:rPr>
          <w:sz w:val="20"/>
        </w:rPr>
        <w:t>Cuando el muro sea un </w:t>
      </w:r>
      <w:r>
        <w:rPr>
          <w:i/>
          <w:sz w:val="20"/>
        </w:rPr>
        <w:t>muro pantalla </w:t>
      </w:r>
      <w:r>
        <w:rPr>
          <w:sz w:val="20"/>
        </w:rPr>
        <w:t>hormigonado in situ, el suelo debe encastrarse y sellarse en el </w:t>
      </w:r>
      <w:r>
        <w:rPr>
          <w:i/>
          <w:sz w:val="20"/>
        </w:rPr>
        <w:t>intradós </w:t>
      </w:r>
      <w:r>
        <w:rPr>
          <w:sz w:val="20"/>
        </w:rPr>
        <w:t>del muro de la siguiente forma (Véase la figura</w:t>
      </w:r>
      <w:r>
        <w:rPr>
          <w:spacing w:val="-12"/>
          <w:sz w:val="20"/>
        </w:rPr>
        <w:t> </w:t>
      </w:r>
      <w:r>
        <w:rPr>
          <w:sz w:val="20"/>
        </w:rPr>
        <w:t>2.3):</w:t>
      </w:r>
    </w:p>
    <w:p>
      <w:pPr>
        <w:pStyle w:val="ListParagraph"/>
        <w:numPr>
          <w:ilvl w:val="1"/>
          <w:numId w:val="25"/>
        </w:numPr>
        <w:tabs>
          <w:tab w:pos="1126" w:val="left" w:leader="none"/>
          <w:tab w:pos="1127" w:val="left" w:leader="none"/>
        </w:tabs>
        <w:spacing w:line="240" w:lineRule="auto" w:before="120" w:after="0"/>
        <w:ind w:left="1125" w:right="391" w:hanging="454"/>
        <w:jc w:val="left"/>
        <w:rPr>
          <w:sz w:val="20"/>
        </w:rPr>
      </w:pPr>
      <w:r>
        <w:rPr>
          <w:sz w:val="20"/>
        </w:rPr>
        <w:t>debe abrirse una roza horizontal en el </w:t>
      </w:r>
      <w:r>
        <w:rPr>
          <w:i/>
          <w:sz w:val="20"/>
        </w:rPr>
        <w:t>intradós </w:t>
      </w:r>
      <w:r>
        <w:rPr>
          <w:sz w:val="20"/>
        </w:rPr>
        <w:t>del muro de 3 cm de profundidad como máximo que dé cabida al suelo más 3 cm de anchura como</w:t>
      </w:r>
      <w:r>
        <w:rPr>
          <w:spacing w:val="-8"/>
          <w:sz w:val="20"/>
        </w:rPr>
        <w:t> </w:t>
      </w:r>
      <w:r>
        <w:rPr>
          <w:sz w:val="20"/>
        </w:rPr>
        <w:t>mínimo;</w:t>
      </w:r>
    </w:p>
    <w:p>
      <w:pPr>
        <w:pStyle w:val="ListParagraph"/>
        <w:numPr>
          <w:ilvl w:val="1"/>
          <w:numId w:val="25"/>
        </w:numPr>
        <w:tabs>
          <w:tab w:pos="1126" w:val="left" w:leader="none"/>
          <w:tab w:pos="1127" w:val="left" w:leader="none"/>
        </w:tabs>
        <w:spacing w:line="240" w:lineRule="auto" w:before="120" w:after="0"/>
        <w:ind w:left="1125" w:right="390" w:hanging="454"/>
        <w:jc w:val="left"/>
        <w:rPr>
          <w:sz w:val="20"/>
        </w:rPr>
      </w:pPr>
      <w:r>
        <w:rPr>
          <w:sz w:val="20"/>
        </w:rPr>
        <w:t>debe hormigonarse el suelo macizando la roza excepto su borde superior que debe sellarse con un perfil</w:t>
      </w:r>
      <w:r>
        <w:rPr>
          <w:spacing w:val="-3"/>
          <w:sz w:val="20"/>
        </w:rPr>
        <w:t> </w:t>
      </w:r>
      <w:r>
        <w:rPr>
          <w:sz w:val="20"/>
        </w:rPr>
        <w:t>expansivo.</w:t>
      </w:r>
    </w:p>
    <w:p>
      <w:pPr>
        <w:spacing w:after="0" w:line="240" w:lineRule="auto"/>
        <w:jc w:val="left"/>
        <w:rPr>
          <w:sz w:val="20"/>
        </w:rPr>
        <w:sectPr>
          <w:type w:val="continuous"/>
          <w:pgSz w:w="11910" w:h="16840"/>
          <w:pgMar w:top="1580" w:bottom="280" w:left="1200" w:right="738"/>
        </w:sectPr>
      </w:pPr>
    </w:p>
    <w:p>
      <w:pPr>
        <w:pStyle w:val="BodyText"/>
        <w:spacing w:before="3"/>
        <w:rPr>
          <w:sz w:val="15"/>
        </w:rPr>
      </w:pPr>
    </w:p>
    <w:p>
      <w:pPr>
        <w:pStyle w:val="BodyText"/>
        <w:tabs>
          <w:tab w:pos="5944" w:val="left" w:leader="none"/>
        </w:tabs>
        <w:ind w:left="694"/>
      </w:pPr>
      <w:r>
        <w:rPr/>
        <w:pict>
          <v:group style="width:187.65pt;height:122.8pt;mso-position-horizontal-relative:char;mso-position-vertical-relative:line" coordorigin="0,0" coordsize="3753,2456">
            <v:line style="position:absolute" from="1512,2451" to="1448,2451" stroked="true" strokeweight=".3pt" strokecolor="#000000">
              <v:stroke dashstyle="solid"/>
            </v:line>
            <v:line style="position:absolute" from="1386,2451" to="1386,2451" stroked="true" strokeweight=".3pt" strokecolor="#000000">
              <v:stroke dashstyle="solid"/>
            </v:line>
            <v:shape style="position:absolute;left:0;top:2451;width:64;height:2" coordorigin="0,2451" coordsize="64,0" path="m64,2451l0,2451,0,2451e" filled="false" stroked="true" strokeweight=".3pt" strokecolor="#000000">
              <v:path arrowok="t"/>
              <v:stroke dashstyle="solid"/>
            </v:shape>
            <v:line style="position:absolute" from="1512,180" to="1448,180" stroked="true" strokeweight=".3pt" strokecolor="#000000">
              <v:stroke dashstyle="solid"/>
            </v:line>
            <v:line style="position:absolute" from="1386,180" to="1386,180" stroked="true" strokeweight=".3pt" strokecolor="#000000">
              <v:stroke dashstyle="solid"/>
            </v:line>
            <v:shape style="position:absolute;left:0;top:180;width:64;height:2" coordorigin="0,180" coordsize="64,0" path="m64,180l0,180,0,180e" filled="false" stroked="true" strokeweight=".3pt" strokecolor="#000000">
              <v:path arrowok="t"/>
              <v:stroke dashstyle="solid"/>
            </v:shape>
            <v:shape style="position:absolute;left:126;top:0;width:3627;height:2456" type="#_x0000_t75" stroked="false">
              <v:imagedata r:id="rId11" o:title=""/>
            </v:shape>
          </v:group>
        </w:pict>
      </w:r>
      <w:r>
        <w:rPr/>
      </w:r>
      <w:r>
        <w:rPr/>
        <w:tab/>
      </w:r>
      <w:r>
        <w:rPr/>
        <w:pict>
          <v:group style="width:187.65pt;height:116.4pt;mso-position-horizontal-relative:char;mso-position-vertical-relative:line" coordorigin="0,0" coordsize="3753,2328">
            <v:line style="position:absolute" from="1511,2323" to="1448,2323" stroked="true" strokeweight=".3pt" strokecolor="#000000">
              <v:stroke dashstyle="solid"/>
            </v:line>
            <v:line style="position:absolute" from="1385,2323" to="1385,2323" stroked="true" strokeweight=".3pt" strokecolor="#000000">
              <v:stroke dashstyle="solid"/>
            </v:line>
            <v:line style="position:absolute" from="126,2323" to="126,2323" stroked="true" strokeweight=".3pt" strokecolor="#000000">
              <v:stroke dashstyle="solid"/>
            </v:line>
            <v:shape style="position:absolute;left:0;top:2322;width:63;height:2" coordorigin="0,2323" coordsize="63,0" path="m62,2323l0,2323,0,2323e" filled="false" stroked="true" strokeweight=".3pt" strokecolor="#000000">
              <v:path arrowok="t"/>
              <v:stroke dashstyle="solid"/>
            </v:shape>
            <v:line style="position:absolute" from="1511,52" to="1448,52" stroked="true" strokeweight=".3pt" strokecolor="#000000">
              <v:stroke dashstyle="solid"/>
            </v:line>
            <v:line style="position:absolute" from="1385,52" to="1385,52" stroked="true" strokeweight=".3pt" strokecolor="#000000">
              <v:stroke dashstyle="solid"/>
            </v:line>
            <v:shape style="position:absolute;left:0;top:51;width:63;height:2" coordorigin="0,52" coordsize="63,0" path="m62,52l0,52,0,52e" filled="false" stroked="true" strokeweight=".3pt" strokecolor="#000000">
              <v:path arrowok="t"/>
              <v:stroke dashstyle="solid"/>
            </v:shape>
            <v:shape style="position:absolute;left:126;top:0;width:3627;height:2328" type="#_x0000_t75" stroked="false">
              <v:imagedata r:id="rId12" o:title=""/>
            </v:shape>
          </v:group>
        </w:pict>
      </w:r>
      <w:r>
        <w:rPr/>
      </w:r>
    </w:p>
    <w:p>
      <w:pPr>
        <w:spacing w:before="46"/>
        <w:ind w:left="2469" w:right="0" w:firstLine="0"/>
        <w:jc w:val="left"/>
        <w:rPr>
          <w:b/>
          <w:sz w:val="18"/>
        </w:rPr>
      </w:pPr>
      <w:r>
        <w:rPr>
          <w:b/>
          <w:sz w:val="18"/>
        </w:rPr>
        <w:t>Figura 2.3 Ejemplos de encuentro del suelo con un muro</w:t>
      </w:r>
    </w:p>
    <w:p>
      <w:pPr>
        <w:pStyle w:val="ListParagraph"/>
        <w:numPr>
          <w:ilvl w:val="0"/>
          <w:numId w:val="25"/>
        </w:numPr>
        <w:tabs>
          <w:tab w:pos="671" w:val="left" w:leader="none"/>
          <w:tab w:pos="672" w:val="left" w:leader="none"/>
        </w:tabs>
        <w:spacing w:line="240" w:lineRule="auto" w:before="60" w:after="0"/>
        <w:ind w:left="671" w:right="391" w:hanging="454"/>
        <w:jc w:val="left"/>
        <w:rPr>
          <w:sz w:val="20"/>
        </w:rPr>
      </w:pPr>
      <w:r>
        <w:rPr>
          <w:sz w:val="20"/>
        </w:rPr>
        <w:t>Cuando el muro sea prefabricado debe sellarse la junta conformada con un perfil expansivo situado en el interior de la junta (Véase la figura</w:t>
      </w:r>
      <w:r>
        <w:rPr>
          <w:spacing w:val="-6"/>
          <w:sz w:val="20"/>
        </w:rPr>
        <w:t> </w:t>
      </w:r>
      <w:r>
        <w:rPr>
          <w:sz w:val="20"/>
        </w:rPr>
        <w:t>2.3).</w:t>
      </w:r>
    </w:p>
    <w:p>
      <w:pPr>
        <w:pStyle w:val="BodyText"/>
        <w:rPr>
          <w:sz w:val="22"/>
        </w:rPr>
      </w:pPr>
    </w:p>
    <w:p>
      <w:pPr>
        <w:pStyle w:val="BodyText"/>
        <w:spacing w:before="10"/>
        <w:rPr>
          <w:sz w:val="18"/>
        </w:rPr>
      </w:pPr>
    </w:p>
    <w:p>
      <w:pPr>
        <w:spacing w:before="1"/>
        <w:ind w:left="1958" w:right="418" w:firstLine="0"/>
        <w:jc w:val="left"/>
        <w:rPr>
          <w:sz w:val="16"/>
        </w:rPr>
      </w:pPr>
      <w:r>
        <w:rPr/>
        <w:pict>
          <v:line style="position:absolute;mso-position-horizontal-relative:page;mso-position-vertical-relative:paragraph;z-index:251698176" from="152.520004pt,-2.82582pt" to="152.520004pt,21.59418pt" stroked="true" strokeweight=".48pt" strokecolor="#000000">
            <v:stroke dashstyle="solid"/>
            <w10:wrap type="none"/>
          </v:line>
        </w:pict>
      </w:r>
      <w:r>
        <w:rPr>
          <w:sz w:val="16"/>
        </w:rPr>
        <w:t>Se pretende limitar el riesgo de filtración de agua en la discontinuidad que se produce entre los muros y el suelo.</w:t>
      </w:r>
    </w:p>
    <w:p>
      <w:pPr>
        <w:pStyle w:val="BodyText"/>
      </w:pPr>
    </w:p>
    <w:p>
      <w:pPr>
        <w:pStyle w:val="BodyText"/>
        <w:spacing w:before="10"/>
        <w:rPr>
          <w:sz w:val="24"/>
        </w:rPr>
      </w:pPr>
    </w:p>
    <w:p>
      <w:pPr>
        <w:pStyle w:val="Heading5"/>
        <w:numPr>
          <w:ilvl w:val="3"/>
          <w:numId w:val="14"/>
        </w:numPr>
        <w:tabs>
          <w:tab w:pos="928" w:val="left" w:leader="none"/>
        </w:tabs>
        <w:spacing w:line="240" w:lineRule="auto" w:before="94" w:after="0"/>
        <w:ind w:left="927" w:right="0" w:hanging="710"/>
        <w:jc w:val="left"/>
      </w:pPr>
      <w:r>
        <w:rPr/>
        <w:t>Encuentros entre suelos y particiones</w:t>
      </w:r>
      <w:r>
        <w:rPr>
          <w:spacing w:val="-7"/>
        </w:rPr>
        <w:t> </w:t>
      </w:r>
      <w:r>
        <w:rPr/>
        <w:t>interiores</w:t>
      </w:r>
    </w:p>
    <w:p>
      <w:pPr>
        <w:pStyle w:val="BodyText"/>
        <w:tabs>
          <w:tab w:pos="671" w:val="left" w:leader="none"/>
        </w:tabs>
        <w:spacing w:before="159"/>
        <w:ind w:left="218"/>
      </w:pPr>
      <w:r>
        <w:rPr/>
        <w:t>1</w:t>
        <w:tab/>
        <w:t>Cuando</w:t>
      </w:r>
      <w:r>
        <w:rPr>
          <w:spacing w:val="16"/>
        </w:rPr>
        <w:t> </w:t>
      </w:r>
      <w:r>
        <w:rPr/>
        <w:t>el</w:t>
      </w:r>
      <w:r>
        <w:rPr>
          <w:spacing w:val="16"/>
        </w:rPr>
        <w:t> </w:t>
      </w:r>
      <w:r>
        <w:rPr/>
        <w:t>suelo</w:t>
      </w:r>
      <w:r>
        <w:rPr>
          <w:spacing w:val="17"/>
        </w:rPr>
        <w:t> </w:t>
      </w:r>
      <w:r>
        <w:rPr/>
        <w:t>se</w:t>
      </w:r>
      <w:r>
        <w:rPr>
          <w:spacing w:val="16"/>
        </w:rPr>
        <w:t> </w:t>
      </w:r>
      <w:r>
        <w:rPr/>
        <w:t>impermeabilice</w:t>
      </w:r>
      <w:r>
        <w:rPr>
          <w:spacing w:val="17"/>
        </w:rPr>
        <w:t> </w:t>
      </w:r>
      <w:r>
        <w:rPr/>
        <w:t>por</w:t>
      </w:r>
      <w:r>
        <w:rPr>
          <w:spacing w:val="16"/>
        </w:rPr>
        <w:t> </w:t>
      </w:r>
      <w:r>
        <w:rPr/>
        <w:t>el</w:t>
      </w:r>
      <w:r>
        <w:rPr>
          <w:spacing w:val="17"/>
        </w:rPr>
        <w:t> </w:t>
      </w:r>
      <w:r>
        <w:rPr/>
        <w:t>interior,</w:t>
      </w:r>
      <w:r>
        <w:rPr>
          <w:spacing w:val="16"/>
        </w:rPr>
        <w:t> </w:t>
      </w:r>
      <w:r>
        <w:rPr/>
        <w:t>la</w:t>
      </w:r>
      <w:r>
        <w:rPr>
          <w:spacing w:val="17"/>
        </w:rPr>
        <w:t> </w:t>
      </w:r>
      <w:r>
        <w:rPr/>
        <w:t>partición</w:t>
      </w:r>
      <w:r>
        <w:rPr>
          <w:spacing w:val="16"/>
        </w:rPr>
        <w:t> </w:t>
      </w:r>
      <w:r>
        <w:rPr/>
        <w:t>no</w:t>
      </w:r>
      <w:r>
        <w:rPr>
          <w:spacing w:val="16"/>
        </w:rPr>
        <w:t> </w:t>
      </w:r>
      <w:r>
        <w:rPr/>
        <w:t>debe</w:t>
      </w:r>
      <w:r>
        <w:rPr>
          <w:spacing w:val="16"/>
        </w:rPr>
        <w:t> </w:t>
      </w:r>
      <w:r>
        <w:rPr/>
        <w:t>apoyarse</w:t>
      </w:r>
      <w:r>
        <w:rPr>
          <w:spacing w:val="17"/>
        </w:rPr>
        <w:t> </w:t>
      </w:r>
      <w:r>
        <w:rPr/>
        <w:t>sobre</w:t>
      </w:r>
      <w:r>
        <w:rPr>
          <w:spacing w:val="16"/>
        </w:rPr>
        <w:t> </w:t>
      </w:r>
      <w:r>
        <w:rPr/>
        <w:t>la</w:t>
      </w:r>
      <w:r>
        <w:rPr>
          <w:spacing w:val="17"/>
        </w:rPr>
        <w:t> </w:t>
      </w:r>
      <w:r>
        <w:rPr/>
        <w:t>capa</w:t>
      </w:r>
      <w:r>
        <w:rPr>
          <w:spacing w:val="16"/>
        </w:rPr>
        <w:t> </w:t>
      </w:r>
      <w:r>
        <w:rPr/>
        <w:t>de</w:t>
      </w:r>
    </w:p>
    <w:p>
      <w:pPr>
        <w:spacing w:before="1"/>
        <w:ind w:left="672" w:right="0" w:firstLine="0"/>
        <w:jc w:val="left"/>
        <w:rPr>
          <w:sz w:val="20"/>
        </w:rPr>
      </w:pPr>
      <w:r>
        <w:rPr>
          <w:i/>
          <w:sz w:val="20"/>
        </w:rPr>
        <w:t>impermeabilización</w:t>
      </w:r>
      <w:r>
        <w:rPr>
          <w:sz w:val="20"/>
        </w:rPr>
        <w:t>, sino sobre la </w:t>
      </w:r>
      <w:r>
        <w:rPr>
          <w:i/>
          <w:sz w:val="20"/>
        </w:rPr>
        <w:t>capa de protección </w:t>
      </w:r>
      <w:r>
        <w:rPr>
          <w:sz w:val="20"/>
        </w:rPr>
        <w:t>de la misma.</w:t>
      </w:r>
    </w:p>
    <w:p>
      <w:pPr>
        <w:pStyle w:val="BodyText"/>
        <w:rPr>
          <w:sz w:val="22"/>
        </w:rPr>
      </w:pPr>
    </w:p>
    <w:p>
      <w:pPr>
        <w:pStyle w:val="BodyText"/>
        <w:spacing w:before="10"/>
        <w:rPr>
          <w:sz w:val="18"/>
        </w:rPr>
      </w:pPr>
    </w:p>
    <w:p>
      <w:pPr>
        <w:spacing w:before="0"/>
        <w:ind w:left="1958" w:right="418" w:firstLine="0"/>
        <w:jc w:val="left"/>
        <w:rPr>
          <w:sz w:val="16"/>
        </w:rPr>
      </w:pPr>
      <w:r>
        <w:rPr/>
        <w:pict>
          <v:line style="position:absolute;mso-position-horizontal-relative:page;mso-position-vertical-relative:paragraph;z-index:251699200" from="152.520004pt,-2.875784pt" to="152.520004pt,45.904216pt" stroked="true" strokeweight=".48pt" strokecolor="#000000">
            <v:stroke dashstyle="solid"/>
            <w10:wrap type="none"/>
          </v:line>
        </w:pict>
      </w:r>
      <w:r>
        <w:rPr>
          <w:sz w:val="16"/>
        </w:rPr>
        <w:t>La impermeabilización de un suelo por el interior es una de las posibles intervenciones en un edificio exis- tente.</w:t>
      </w:r>
    </w:p>
    <w:p>
      <w:pPr>
        <w:spacing w:before="120"/>
        <w:ind w:left="1958" w:right="418" w:firstLine="0"/>
        <w:jc w:val="left"/>
        <w:rPr>
          <w:sz w:val="16"/>
        </w:rPr>
      </w:pPr>
      <w:r>
        <w:rPr>
          <w:sz w:val="16"/>
        </w:rPr>
        <w:t>Se pretende limitar el riesgo de filtración de agua por una discontinuidad accidental en la impermeabiliza- ción.</w:t>
      </w:r>
    </w:p>
    <w:p>
      <w:pPr>
        <w:pStyle w:val="BodyText"/>
      </w:pPr>
    </w:p>
    <w:p>
      <w:pPr>
        <w:pStyle w:val="BodyText"/>
      </w:pPr>
    </w:p>
    <w:p>
      <w:pPr>
        <w:pStyle w:val="Heading3"/>
        <w:numPr>
          <w:ilvl w:val="1"/>
          <w:numId w:val="14"/>
        </w:numPr>
        <w:tabs>
          <w:tab w:pos="785" w:val="left" w:leader="none"/>
          <w:tab w:pos="787" w:val="left" w:leader="none"/>
        </w:tabs>
        <w:spacing w:line="240" w:lineRule="auto" w:before="231" w:after="0"/>
        <w:ind w:left="786" w:right="0" w:hanging="569"/>
        <w:jc w:val="left"/>
      </w:pPr>
      <w:r>
        <w:rPr/>
        <w:t>Fachadas</w:t>
      </w:r>
    </w:p>
    <w:p>
      <w:pPr>
        <w:pStyle w:val="BodyText"/>
        <w:spacing w:before="1"/>
        <w:rPr>
          <w:b/>
          <w:sz w:val="26"/>
        </w:rPr>
      </w:pPr>
    </w:p>
    <w:p>
      <w:pPr>
        <w:pStyle w:val="Heading5"/>
        <w:numPr>
          <w:ilvl w:val="2"/>
          <w:numId w:val="14"/>
        </w:numPr>
        <w:tabs>
          <w:tab w:pos="786" w:val="left" w:leader="none"/>
        </w:tabs>
        <w:spacing w:line="240" w:lineRule="auto" w:before="1" w:after="0"/>
        <w:ind w:left="785" w:right="0" w:hanging="568"/>
        <w:jc w:val="left"/>
      </w:pPr>
      <w:r>
        <w:rPr/>
        <w:t>Grado de</w:t>
      </w:r>
      <w:r>
        <w:rPr>
          <w:spacing w:val="-3"/>
        </w:rPr>
        <w:t> </w:t>
      </w:r>
      <w:r>
        <w:rPr/>
        <w:t>impermeabilidad</w:t>
      </w:r>
    </w:p>
    <w:p>
      <w:pPr>
        <w:pStyle w:val="BodyText"/>
        <w:spacing w:before="157"/>
        <w:ind w:left="671" w:right="391" w:hanging="454"/>
        <w:jc w:val="both"/>
      </w:pPr>
      <w:r>
        <w:rPr/>
        <w:t>1 El </w:t>
      </w:r>
      <w:r>
        <w:rPr>
          <w:i/>
        </w:rPr>
        <w:t>grado de impermeabilidad </w:t>
      </w:r>
      <w:r>
        <w:rPr/>
        <w:t>mínimo exigido a las fachadas frente a la penetración de las precipitaciones se obtiene en la tabla 2.5 en función de la </w:t>
      </w:r>
      <w:r>
        <w:rPr>
          <w:i/>
        </w:rPr>
        <w:t>zona pluviométrica de promedios </w:t>
      </w:r>
      <w:r>
        <w:rPr/>
        <w:t>y del grado de exposición al viento correspondientes al lugar de ubicación del edificio. Estos parámetros se determinan de la siguiente forma:</w:t>
      </w:r>
    </w:p>
    <w:p>
      <w:pPr>
        <w:pStyle w:val="ListParagraph"/>
        <w:numPr>
          <w:ilvl w:val="0"/>
          <w:numId w:val="26"/>
        </w:numPr>
        <w:tabs>
          <w:tab w:pos="1125" w:val="left" w:leader="none"/>
          <w:tab w:pos="1126" w:val="left" w:leader="none"/>
        </w:tabs>
        <w:spacing w:line="240" w:lineRule="auto" w:before="121" w:after="0"/>
        <w:ind w:left="1125" w:right="0" w:hanging="455"/>
        <w:jc w:val="left"/>
        <w:rPr>
          <w:sz w:val="20"/>
        </w:rPr>
      </w:pPr>
      <w:r>
        <w:rPr>
          <w:sz w:val="20"/>
        </w:rPr>
        <w:t>la </w:t>
      </w:r>
      <w:r>
        <w:rPr>
          <w:i/>
          <w:sz w:val="20"/>
        </w:rPr>
        <w:t>zona pluviométrica de promedios </w:t>
      </w:r>
      <w:r>
        <w:rPr>
          <w:sz w:val="20"/>
        </w:rPr>
        <w:t>se obtiene de la figura</w:t>
      </w:r>
      <w:r>
        <w:rPr>
          <w:spacing w:val="-11"/>
          <w:sz w:val="20"/>
        </w:rPr>
        <w:t> </w:t>
      </w:r>
      <w:r>
        <w:rPr>
          <w:sz w:val="20"/>
        </w:rPr>
        <w:t>2.4;</w:t>
      </w:r>
    </w:p>
    <w:p>
      <w:pPr>
        <w:pStyle w:val="ListParagraph"/>
        <w:numPr>
          <w:ilvl w:val="0"/>
          <w:numId w:val="26"/>
        </w:numPr>
        <w:tabs>
          <w:tab w:pos="1127" w:val="left" w:leader="none"/>
        </w:tabs>
        <w:spacing w:line="240" w:lineRule="auto" w:before="119" w:after="0"/>
        <w:ind w:left="1125" w:right="391" w:hanging="454"/>
        <w:jc w:val="both"/>
        <w:rPr>
          <w:sz w:val="20"/>
        </w:rPr>
      </w:pPr>
      <w:r>
        <w:rPr>
          <w:sz w:val="20"/>
        </w:rPr>
        <w:t>el grado de exposición al viento se obtiene en la tabla 2.6 en función de la altura de coronación del edificio sobre el terreno, de la </w:t>
      </w:r>
      <w:r>
        <w:rPr>
          <w:i/>
          <w:sz w:val="20"/>
        </w:rPr>
        <w:t>zona eólica </w:t>
      </w:r>
      <w:r>
        <w:rPr>
          <w:sz w:val="20"/>
        </w:rPr>
        <w:t>correspondiente al punto de ubicación, obtenida de la figura 2.5, y de la clase del entorno en el que está situado el edificio que será E0 cuando se trate de un terreno tipo I, II o III y E1 en los demás casos, según la clasificación establecida en el DB</w:t>
      </w:r>
      <w:r>
        <w:rPr>
          <w:spacing w:val="-4"/>
          <w:sz w:val="20"/>
        </w:rPr>
        <w:t> </w:t>
      </w:r>
      <w:r>
        <w:rPr>
          <w:sz w:val="20"/>
        </w:rPr>
        <w:t>SE:</w:t>
      </w:r>
    </w:p>
    <w:p>
      <w:pPr>
        <w:pStyle w:val="BodyText"/>
        <w:spacing w:before="61"/>
        <w:ind w:left="1118"/>
      </w:pPr>
      <w:r>
        <w:rPr/>
        <w:t>Terreno tipo I: Borde del mar o de un lago con una zona despejada de agua en la dirección del viento de una extensión mínima de 5 km.</w:t>
      </w:r>
    </w:p>
    <w:p>
      <w:pPr>
        <w:pStyle w:val="BodyText"/>
        <w:spacing w:line="230" w:lineRule="exact"/>
        <w:ind w:left="1118"/>
      </w:pPr>
      <w:r>
        <w:rPr/>
        <w:t>Terreno tipo II: Terreno rural llano sin obstáculos ni arbolado de importancia.</w:t>
      </w:r>
    </w:p>
    <w:p>
      <w:pPr>
        <w:pStyle w:val="BodyText"/>
        <w:ind w:left="1118" w:right="418"/>
      </w:pPr>
      <w:r>
        <w:rPr/>
        <w:t>Terreno tipo III: Zona rural accidentada o llana con algunos obstáculos aislados tales como árboles o construcciones pequeñas.</w:t>
      </w:r>
    </w:p>
    <w:p>
      <w:pPr>
        <w:pStyle w:val="BodyText"/>
        <w:spacing w:line="230" w:lineRule="exact"/>
        <w:ind w:left="1118"/>
      </w:pPr>
      <w:r>
        <w:rPr/>
        <w:t>Terreno tipo IV: Zona urbana, industrial o forestal.</w:t>
      </w:r>
    </w:p>
    <w:p>
      <w:pPr>
        <w:pStyle w:val="BodyText"/>
        <w:spacing w:before="1"/>
        <w:ind w:left="1118"/>
      </w:pPr>
      <w:r>
        <w:rPr/>
        <w:t>Terreno tipo V: Centros de negocio de grandes ciudades, con profusión de edificios en altura.</w:t>
      </w:r>
    </w:p>
    <w:p>
      <w:pPr>
        <w:spacing w:after="0"/>
        <w:sectPr>
          <w:pgSz w:w="11910" w:h="16840"/>
          <w:pgMar w:header="724" w:footer="636" w:top="1320" w:bottom="840" w:left="1200" w:right="738"/>
        </w:sectPr>
      </w:pPr>
    </w:p>
    <w:p>
      <w:pPr>
        <w:pStyle w:val="BodyText"/>
        <w:spacing w:before="6"/>
        <w:rPr>
          <w:sz w:val="17"/>
        </w:rPr>
      </w:pPr>
    </w:p>
    <w:p>
      <w:pPr>
        <w:spacing w:before="94" w:after="4"/>
        <w:ind w:left="655" w:right="831" w:firstLine="0"/>
        <w:jc w:val="center"/>
        <w:rPr>
          <w:b/>
          <w:sz w:val="18"/>
        </w:rPr>
      </w:pPr>
      <w:r>
        <w:rPr>
          <w:b/>
          <w:sz w:val="18"/>
        </w:rPr>
        <w:t>Tabla 2.5 </w:t>
      </w:r>
      <w:r>
        <w:rPr>
          <w:b/>
          <w:i/>
          <w:sz w:val="18"/>
        </w:rPr>
        <w:t>Grado de impermeabilidad </w:t>
      </w:r>
      <w:r>
        <w:rPr>
          <w:b/>
          <w:sz w:val="18"/>
        </w:rPr>
        <w:t>mínimo exigido a las fachadas</w:t>
      </w: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9"/>
        <w:gridCol w:w="660"/>
        <w:gridCol w:w="1419"/>
        <w:gridCol w:w="1406"/>
        <w:gridCol w:w="1426"/>
        <w:gridCol w:w="1436"/>
        <w:gridCol w:w="1406"/>
      </w:tblGrid>
      <w:tr>
        <w:trPr>
          <w:trHeight w:val="206" w:hRule="atLeast"/>
        </w:trPr>
        <w:tc>
          <w:tcPr>
            <w:tcW w:w="1879" w:type="dxa"/>
            <w:gridSpan w:val="2"/>
            <w:vMerge w:val="restart"/>
            <w:tcBorders>
              <w:bottom w:val="single" w:sz="4" w:space="0" w:color="000000"/>
              <w:right w:val="single" w:sz="4" w:space="0" w:color="000000"/>
            </w:tcBorders>
          </w:tcPr>
          <w:p>
            <w:pPr>
              <w:pStyle w:val="TableParagraph"/>
              <w:jc w:val="left"/>
              <w:rPr>
                <w:rFonts w:ascii="Times New Roman"/>
                <w:sz w:val="16"/>
              </w:rPr>
            </w:pPr>
          </w:p>
        </w:tc>
        <w:tc>
          <w:tcPr>
            <w:tcW w:w="7093" w:type="dxa"/>
            <w:gridSpan w:val="5"/>
            <w:tcBorders>
              <w:top w:val="single" w:sz="4" w:space="0" w:color="000000"/>
              <w:left w:val="single" w:sz="4" w:space="0" w:color="000000"/>
              <w:bottom w:val="single" w:sz="4" w:space="0" w:color="000000"/>
            </w:tcBorders>
          </w:tcPr>
          <w:p>
            <w:pPr>
              <w:pStyle w:val="TableParagraph"/>
              <w:spacing w:line="186" w:lineRule="exact"/>
              <w:ind w:left="2083" w:right="2083"/>
              <w:rPr>
                <w:b/>
                <w:i/>
                <w:sz w:val="18"/>
              </w:rPr>
            </w:pPr>
            <w:r>
              <w:rPr>
                <w:b/>
                <w:i/>
                <w:sz w:val="18"/>
              </w:rPr>
              <w:t>Zona pluviométrica de promedios</w:t>
            </w:r>
          </w:p>
        </w:tc>
      </w:tr>
      <w:tr>
        <w:trPr>
          <w:trHeight w:val="207" w:hRule="atLeast"/>
        </w:trPr>
        <w:tc>
          <w:tcPr>
            <w:tcW w:w="1879" w:type="dxa"/>
            <w:gridSpan w:val="2"/>
            <w:vMerge/>
            <w:tcBorders>
              <w:top w:val="nil"/>
              <w:bottom w:val="single" w:sz="4" w:space="0" w:color="000000"/>
              <w:right w:val="single" w:sz="4" w:space="0" w:color="000000"/>
            </w:tcBorders>
          </w:tcPr>
          <w:p>
            <w:pPr>
              <w:rPr>
                <w:sz w:val="2"/>
                <w:szCs w:val="2"/>
              </w:rPr>
            </w:pPr>
          </w:p>
        </w:tc>
        <w:tc>
          <w:tcPr>
            <w:tcW w:w="1419" w:type="dxa"/>
            <w:tcBorders>
              <w:top w:val="single" w:sz="4" w:space="0" w:color="000000"/>
              <w:left w:val="single" w:sz="4" w:space="0" w:color="000000"/>
              <w:bottom w:val="single" w:sz="4" w:space="0" w:color="000000"/>
            </w:tcBorders>
          </w:tcPr>
          <w:p>
            <w:pPr>
              <w:pStyle w:val="TableParagraph"/>
              <w:spacing w:line="187" w:lineRule="exact"/>
              <w:ind w:left="681"/>
              <w:jc w:val="left"/>
              <w:rPr>
                <w:b/>
                <w:sz w:val="18"/>
              </w:rPr>
            </w:pPr>
            <w:r>
              <w:rPr>
                <w:b/>
                <w:sz w:val="18"/>
              </w:rPr>
              <w:t>I</w:t>
            </w:r>
          </w:p>
        </w:tc>
        <w:tc>
          <w:tcPr>
            <w:tcW w:w="1406" w:type="dxa"/>
            <w:tcBorders>
              <w:top w:val="single" w:sz="4" w:space="0" w:color="000000"/>
              <w:bottom w:val="single" w:sz="4" w:space="0" w:color="000000"/>
            </w:tcBorders>
          </w:tcPr>
          <w:p>
            <w:pPr>
              <w:pStyle w:val="TableParagraph"/>
              <w:spacing w:line="187" w:lineRule="exact"/>
              <w:ind w:left="642" w:right="624"/>
              <w:rPr>
                <w:b/>
                <w:sz w:val="18"/>
              </w:rPr>
            </w:pPr>
            <w:r>
              <w:rPr>
                <w:b/>
                <w:sz w:val="18"/>
              </w:rPr>
              <w:t>II</w:t>
            </w:r>
          </w:p>
        </w:tc>
        <w:tc>
          <w:tcPr>
            <w:tcW w:w="1426" w:type="dxa"/>
            <w:tcBorders>
              <w:top w:val="single" w:sz="4" w:space="0" w:color="000000"/>
              <w:bottom w:val="single" w:sz="4" w:space="0" w:color="000000"/>
            </w:tcBorders>
          </w:tcPr>
          <w:p>
            <w:pPr>
              <w:pStyle w:val="TableParagraph"/>
              <w:spacing w:line="187" w:lineRule="exact"/>
              <w:ind w:left="628" w:right="607"/>
              <w:rPr>
                <w:b/>
                <w:sz w:val="18"/>
              </w:rPr>
            </w:pPr>
            <w:r>
              <w:rPr>
                <w:b/>
                <w:sz w:val="18"/>
              </w:rPr>
              <w:t>III</w:t>
            </w:r>
          </w:p>
        </w:tc>
        <w:tc>
          <w:tcPr>
            <w:tcW w:w="1436" w:type="dxa"/>
            <w:tcBorders>
              <w:top w:val="single" w:sz="4" w:space="0" w:color="000000"/>
              <w:bottom w:val="single" w:sz="4" w:space="0" w:color="000000"/>
            </w:tcBorders>
          </w:tcPr>
          <w:p>
            <w:pPr>
              <w:pStyle w:val="TableParagraph"/>
              <w:spacing w:line="187" w:lineRule="exact"/>
              <w:ind w:left="611" w:right="614"/>
              <w:rPr>
                <w:b/>
                <w:sz w:val="18"/>
              </w:rPr>
            </w:pPr>
            <w:r>
              <w:rPr>
                <w:b/>
                <w:sz w:val="18"/>
              </w:rPr>
              <w:t>IV</w:t>
            </w:r>
          </w:p>
        </w:tc>
        <w:tc>
          <w:tcPr>
            <w:tcW w:w="1406" w:type="dxa"/>
            <w:tcBorders>
              <w:top w:val="single" w:sz="4" w:space="0" w:color="000000"/>
              <w:bottom w:val="single" w:sz="4" w:space="0" w:color="000000"/>
            </w:tcBorders>
          </w:tcPr>
          <w:p>
            <w:pPr>
              <w:pStyle w:val="TableParagraph"/>
              <w:spacing w:line="187" w:lineRule="exact"/>
              <w:ind w:left="637"/>
              <w:jc w:val="left"/>
              <w:rPr>
                <w:b/>
                <w:sz w:val="18"/>
              </w:rPr>
            </w:pPr>
            <w:r>
              <w:rPr>
                <w:b/>
                <w:sz w:val="18"/>
              </w:rPr>
              <w:t>V</w:t>
            </w:r>
          </w:p>
        </w:tc>
      </w:tr>
      <w:tr>
        <w:trPr>
          <w:trHeight w:val="216" w:hRule="atLeast"/>
        </w:trPr>
        <w:tc>
          <w:tcPr>
            <w:tcW w:w="1219" w:type="dxa"/>
            <w:tcBorders>
              <w:top w:val="single" w:sz="4" w:space="0" w:color="000000"/>
            </w:tcBorders>
          </w:tcPr>
          <w:p>
            <w:pPr>
              <w:pStyle w:val="TableParagraph"/>
              <w:spacing w:line="190" w:lineRule="exact" w:before="7"/>
              <w:ind w:right="246"/>
              <w:jc w:val="right"/>
              <w:rPr>
                <w:b/>
                <w:sz w:val="18"/>
              </w:rPr>
            </w:pPr>
            <w:r>
              <w:rPr>
                <w:b/>
                <w:sz w:val="18"/>
              </w:rPr>
              <w:t>Grado de</w:t>
            </w:r>
          </w:p>
        </w:tc>
        <w:tc>
          <w:tcPr>
            <w:tcW w:w="660" w:type="dxa"/>
            <w:tcBorders>
              <w:top w:val="single" w:sz="4" w:space="0" w:color="000000"/>
              <w:right w:val="single" w:sz="4" w:space="0" w:color="000000"/>
            </w:tcBorders>
          </w:tcPr>
          <w:p>
            <w:pPr>
              <w:pStyle w:val="TableParagraph"/>
              <w:spacing w:line="197" w:lineRule="exact"/>
              <w:ind w:left="183"/>
              <w:jc w:val="left"/>
              <w:rPr>
                <w:b/>
                <w:sz w:val="18"/>
              </w:rPr>
            </w:pPr>
            <w:r>
              <w:rPr>
                <w:b/>
                <w:sz w:val="18"/>
              </w:rPr>
              <w:t>V1</w:t>
            </w:r>
          </w:p>
        </w:tc>
        <w:tc>
          <w:tcPr>
            <w:tcW w:w="1419" w:type="dxa"/>
            <w:tcBorders>
              <w:top w:val="single" w:sz="4" w:space="0" w:color="000000"/>
              <w:left w:val="single" w:sz="4" w:space="0" w:color="000000"/>
            </w:tcBorders>
          </w:tcPr>
          <w:p>
            <w:pPr>
              <w:pStyle w:val="TableParagraph"/>
              <w:spacing w:line="197" w:lineRule="exact"/>
              <w:ind w:left="657"/>
              <w:jc w:val="left"/>
              <w:rPr>
                <w:sz w:val="18"/>
              </w:rPr>
            </w:pPr>
            <w:r>
              <w:rPr>
                <w:sz w:val="18"/>
              </w:rPr>
              <w:t>5</w:t>
            </w:r>
          </w:p>
        </w:tc>
        <w:tc>
          <w:tcPr>
            <w:tcW w:w="1406" w:type="dxa"/>
            <w:tcBorders>
              <w:top w:val="single" w:sz="4" w:space="0" w:color="000000"/>
            </w:tcBorders>
          </w:tcPr>
          <w:p>
            <w:pPr>
              <w:pStyle w:val="TableParagraph"/>
              <w:spacing w:line="197" w:lineRule="exact"/>
              <w:ind w:left="18"/>
              <w:rPr>
                <w:sz w:val="18"/>
              </w:rPr>
            </w:pPr>
            <w:r>
              <w:rPr>
                <w:sz w:val="18"/>
              </w:rPr>
              <w:t>5</w:t>
            </w:r>
          </w:p>
        </w:tc>
        <w:tc>
          <w:tcPr>
            <w:tcW w:w="1426" w:type="dxa"/>
            <w:tcBorders>
              <w:top w:val="single" w:sz="4" w:space="0" w:color="000000"/>
            </w:tcBorders>
          </w:tcPr>
          <w:p>
            <w:pPr>
              <w:pStyle w:val="TableParagraph"/>
              <w:spacing w:line="197" w:lineRule="exact"/>
              <w:ind w:left="20"/>
              <w:rPr>
                <w:sz w:val="18"/>
              </w:rPr>
            </w:pPr>
            <w:r>
              <w:rPr>
                <w:sz w:val="18"/>
              </w:rPr>
              <w:t>4</w:t>
            </w:r>
          </w:p>
        </w:tc>
        <w:tc>
          <w:tcPr>
            <w:tcW w:w="1436" w:type="dxa"/>
            <w:tcBorders>
              <w:top w:val="single" w:sz="4" w:space="0" w:color="000000"/>
            </w:tcBorders>
          </w:tcPr>
          <w:p>
            <w:pPr>
              <w:pStyle w:val="TableParagraph"/>
              <w:spacing w:line="197" w:lineRule="exact"/>
              <w:ind w:right="2"/>
              <w:rPr>
                <w:sz w:val="18"/>
              </w:rPr>
            </w:pPr>
            <w:r>
              <w:rPr>
                <w:sz w:val="18"/>
              </w:rPr>
              <w:t>3</w:t>
            </w:r>
          </w:p>
        </w:tc>
        <w:tc>
          <w:tcPr>
            <w:tcW w:w="1406" w:type="dxa"/>
            <w:tcBorders>
              <w:top w:val="single" w:sz="4" w:space="0" w:color="000000"/>
            </w:tcBorders>
          </w:tcPr>
          <w:p>
            <w:pPr>
              <w:pStyle w:val="TableParagraph"/>
              <w:spacing w:line="197" w:lineRule="exact"/>
              <w:ind w:left="647"/>
              <w:jc w:val="left"/>
              <w:rPr>
                <w:sz w:val="18"/>
              </w:rPr>
            </w:pPr>
            <w:r>
              <w:rPr>
                <w:sz w:val="18"/>
              </w:rPr>
              <w:t>2</w:t>
            </w:r>
          </w:p>
        </w:tc>
      </w:tr>
      <w:tr>
        <w:trPr>
          <w:trHeight w:val="207" w:hRule="atLeast"/>
        </w:trPr>
        <w:tc>
          <w:tcPr>
            <w:tcW w:w="1219" w:type="dxa"/>
          </w:tcPr>
          <w:p>
            <w:pPr>
              <w:pStyle w:val="TableParagraph"/>
              <w:spacing w:line="188" w:lineRule="exact"/>
              <w:ind w:right="172"/>
              <w:jc w:val="right"/>
              <w:rPr>
                <w:b/>
                <w:sz w:val="18"/>
              </w:rPr>
            </w:pPr>
            <w:r>
              <w:rPr>
                <w:b/>
                <w:sz w:val="18"/>
              </w:rPr>
              <w:t>exposición</w:t>
            </w:r>
          </w:p>
        </w:tc>
        <w:tc>
          <w:tcPr>
            <w:tcW w:w="660" w:type="dxa"/>
            <w:tcBorders>
              <w:right w:val="single" w:sz="4" w:space="0" w:color="000000"/>
            </w:tcBorders>
          </w:tcPr>
          <w:p>
            <w:pPr>
              <w:pStyle w:val="TableParagraph"/>
              <w:spacing w:line="188" w:lineRule="exact"/>
              <w:ind w:left="183"/>
              <w:jc w:val="left"/>
              <w:rPr>
                <w:b/>
                <w:sz w:val="18"/>
              </w:rPr>
            </w:pPr>
            <w:r>
              <w:rPr>
                <w:b/>
                <w:sz w:val="18"/>
              </w:rPr>
              <w:t>V2</w:t>
            </w:r>
          </w:p>
        </w:tc>
        <w:tc>
          <w:tcPr>
            <w:tcW w:w="1419" w:type="dxa"/>
            <w:tcBorders>
              <w:left w:val="single" w:sz="4" w:space="0" w:color="000000"/>
            </w:tcBorders>
          </w:tcPr>
          <w:p>
            <w:pPr>
              <w:pStyle w:val="TableParagraph"/>
              <w:spacing w:line="188" w:lineRule="exact"/>
              <w:ind w:left="657"/>
              <w:jc w:val="left"/>
              <w:rPr>
                <w:sz w:val="18"/>
              </w:rPr>
            </w:pPr>
            <w:r>
              <w:rPr>
                <w:sz w:val="18"/>
              </w:rPr>
              <w:t>5</w:t>
            </w:r>
          </w:p>
        </w:tc>
        <w:tc>
          <w:tcPr>
            <w:tcW w:w="1406" w:type="dxa"/>
          </w:tcPr>
          <w:p>
            <w:pPr>
              <w:pStyle w:val="TableParagraph"/>
              <w:spacing w:line="188" w:lineRule="exact"/>
              <w:ind w:left="18"/>
              <w:rPr>
                <w:sz w:val="18"/>
              </w:rPr>
            </w:pPr>
            <w:r>
              <w:rPr>
                <w:sz w:val="18"/>
              </w:rPr>
              <w:t>4</w:t>
            </w:r>
          </w:p>
        </w:tc>
        <w:tc>
          <w:tcPr>
            <w:tcW w:w="1426" w:type="dxa"/>
          </w:tcPr>
          <w:p>
            <w:pPr>
              <w:pStyle w:val="TableParagraph"/>
              <w:spacing w:line="188" w:lineRule="exact"/>
              <w:ind w:left="20"/>
              <w:rPr>
                <w:sz w:val="18"/>
              </w:rPr>
            </w:pPr>
            <w:r>
              <w:rPr>
                <w:sz w:val="18"/>
              </w:rPr>
              <w:t>3</w:t>
            </w:r>
          </w:p>
        </w:tc>
        <w:tc>
          <w:tcPr>
            <w:tcW w:w="1436" w:type="dxa"/>
          </w:tcPr>
          <w:p>
            <w:pPr>
              <w:pStyle w:val="TableParagraph"/>
              <w:spacing w:line="188" w:lineRule="exact"/>
              <w:ind w:right="2"/>
              <w:rPr>
                <w:sz w:val="18"/>
              </w:rPr>
            </w:pPr>
            <w:r>
              <w:rPr>
                <w:sz w:val="18"/>
              </w:rPr>
              <w:t>3</w:t>
            </w:r>
          </w:p>
        </w:tc>
        <w:tc>
          <w:tcPr>
            <w:tcW w:w="1406" w:type="dxa"/>
          </w:tcPr>
          <w:p>
            <w:pPr>
              <w:pStyle w:val="TableParagraph"/>
              <w:spacing w:line="188" w:lineRule="exact"/>
              <w:ind w:left="647"/>
              <w:jc w:val="left"/>
              <w:rPr>
                <w:sz w:val="18"/>
              </w:rPr>
            </w:pPr>
            <w:r>
              <w:rPr>
                <w:sz w:val="18"/>
              </w:rPr>
              <w:t>2</w:t>
            </w:r>
          </w:p>
        </w:tc>
      </w:tr>
      <w:tr>
        <w:trPr>
          <w:trHeight w:val="217" w:hRule="atLeast"/>
        </w:trPr>
        <w:tc>
          <w:tcPr>
            <w:tcW w:w="1219" w:type="dxa"/>
            <w:tcBorders>
              <w:bottom w:val="single" w:sz="4" w:space="0" w:color="000000"/>
            </w:tcBorders>
          </w:tcPr>
          <w:p>
            <w:pPr>
              <w:pStyle w:val="TableParagraph"/>
              <w:spacing w:line="197" w:lineRule="exact"/>
              <w:ind w:left="208"/>
              <w:jc w:val="left"/>
              <w:rPr>
                <w:b/>
                <w:sz w:val="18"/>
              </w:rPr>
            </w:pPr>
            <w:r>
              <w:rPr>
                <w:b/>
                <w:sz w:val="18"/>
              </w:rPr>
              <w:t>al viento</w:t>
            </w:r>
          </w:p>
        </w:tc>
        <w:tc>
          <w:tcPr>
            <w:tcW w:w="660" w:type="dxa"/>
            <w:tcBorders>
              <w:bottom w:val="single" w:sz="4" w:space="0" w:color="000000"/>
              <w:right w:val="single" w:sz="4" w:space="0" w:color="000000"/>
            </w:tcBorders>
          </w:tcPr>
          <w:p>
            <w:pPr>
              <w:pStyle w:val="TableParagraph"/>
              <w:spacing w:line="191" w:lineRule="exact" w:before="6"/>
              <w:ind w:left="183"/>
              <w:jc w:val="left"/>
              <w:rPr>
                <w:b/>
                <w:sz w:val="18"/>
              </w:rPr>
            </w:pPr>
            <w:r>
              <w:rPr>
                <w:b/>
                <w:sz w:val="18"/>
              </w:rPr>
              <w:t>V3</w:t>
            </w:r>
          </w:p>
        </w:tc>
        <w:tc>
          <w:tcPr>
            <w:tcW w:w="1419" w:type="dxa"/>
            <w:tcBorders>
              <w:left w:val="single" w:sz="4" w:space="0" w:color="000000"/>
              <w:bottom w:val="single" w:sz="4" w:space="0" w:color="000000"/>
            </w:tcBorders>
          </w:tcPr>
          <w:p>
            <w:pPr>
              <w:pStyle w:val="TableParagraph"/>
              <w:spacing w:line="189" w:lineRule="exact" w:before="7"/>
              <w:ind w:left="657"/>
              <w:jc w:val="left"/>
              <w:rPr>
                <w:sz w:val="18"/>
              </w:rPr>
            </w:pPr>
            <w:r>
              <w:rPr>
                <w:sz w:val="18"/>
              </w:rPr>
              <w:t>5</w:t>
            </w:r>
          </w:p>
        </w:tc>
        <w:tc>
          <w:tcPr>
            <w:tcW w:w="1406" w:type="dxa"/>
            <w:tcBorders>
              <w:bottom w:val="single" w:sz="4" w:space="0" w:color="000000"/>
            </w:tcBorders>
          </w:tcPr>
          <w:p>
            <w:pPr>
              <w:pStyle w:val="TableParagraph"/>
              <w:spacing w:line="189" w:lineRule="exact" w:before="7"/>
              <w:ind w:left="18"/>
              <w:rPr>
                <w:sz w:val="18"/>
              </w:rPr>
            </w:pPr>
            <w:r>
              <w:rPr>
                <w:sz w:val="18"/>
              </w:rPr>
              <w:t>4</w:t>
            </w:r>
          </w:p>
        </w:tc>
        <w:tc>
          <w:tcPr>
            <w:tcW w:w="1426" w:type="dxa"/>
            <w:tcBorders>
              <w:bottom w:val="single" w:sz="4" w:space="0" w:color="000000"/>
            </w:tcBorders>
          </w:tcPr>
          <w:p>
            <w:pPr>
              <w:pStyle w:val="TableParagraph"/>
              <w:spacing w:line="189" w:lineRule="exact" w:before="7"/>
              <w:ind w:left="20"/>
              <w:rPr>
                <w:sz w:val="18"/>
              </w:rPr>
            </w:pPr>
            <w:r>
              <w:rPr>
                <w:sz w:val="18"/>
              </w:rPr>
              <w:t>3</w:t>
            </w:r>
          </w:p>
        </w:tc>
        <w:tc>
          <w:tcPr>
            <w:tcW w:w="1436" w:type="dxa"/>
            <w:tcBorders>
              <w:bottom w:val="single" w:sz="4" w:space="0" w:color="000000"/>
            </w:tcBorders>
          </w:tcPr>
          <w:p>
            <w:pPr>
              <w:pStyle w:val="TableParagraph"/>
              <w:spacing w:line="189" w:lineRule="exact" w:before="7"/>
              <w:ind w:right="2"/>
              <w:rPr>
                <w:sz w:val="18"/>
              </w:rPr>
            </w:pPr>
            <w:r>
              <w:rPr>
                <w:sz w:val="18"/>
              </w:rPr>
              <w:t>2</w:t>
            </w:r>
          </w:p>
        </w:tc>
        <w:tc>
          <w:tcPr>
            <w:tcW w:w="1406" w:type="dxa"/>
            <w:tcBorders>
              <w:bottom w:val="single" w:sz="4" w:space="0" w:color="000000"/>
            </w:tcBorders>
          </w:tcPr>
          <w:p>
            <w:pPr>
              <w:pStyle w:val="TableParagraph"/>
              <w:spacing w:line="189" w:lineRule="exact" w:before="7"/>
              <w:ind w:left="647"/>
              <w:jc w:val="left"/>
              <w:rPr>
                <w:sz w:val="18"/>
              </w:rPr>
            </w:pPr>
            <w:r>
              <w:rPr>
                <w:sz w:val="18"/>
              </w:rPr>
              <w:t>1</w:t>
            </w:r>
          </w:p>
        </w:tc>
      </w:tr>
    </w:tbl>
    <w:p>
      <w:pPr>
        <w:pStyle w:val="BodyText"/>
        <w:rPr>
          <w:b/>
        </w:rPr>
      </w:pPr>
    </w:p>
    <w:p>
      <w:pPr>
        <w:pStyle w:val="BodyText"/>
        <w:spacing w:before="11"/>
        <w:rPr>
          <w:b/>
          <w:sz w:val="15"/>
        </w:rPr>
      </w:pPr>
      <w:r>
        <w:rPr/>
        <w:pict>
          <v:group style="position:absolute;margin-left:103.569504pt;margin-top:11.480962pt;width:402.3pt;height:265.75pt;mso-position-horizontal-relative:page;mso-position-vertical-relative:paragraph;z-index:-251616256;mso-wrap-distance-left:0;mso-wrap-distance-right:0" coordorigin="2071,230" coordsize="8046,5315">
            <v:shape style="position:absolute;left:2243;top:5336;width:155;height:133" type="#_x0000_t75" stroked="false">
              <v:imagedata r:id="rId13" o:title=""/>
            </v:shape>
            <v:shape style="position:absolute;left:3464;top:229;width:6650;height:5312" type="#_x0000_t75" stroked="false">
              <v:imagedata r:id="rId14" o:title=""/>
            </v:shape>
            <v:line style="position:absolute" from="10111,230" to="10111,5538" stroked="true" strokeweight=".651pt" strokecolor="#000000">
              <v:stroke dashstyle="solid"/>
            </v:line>
            <v:line style="position:absolute" from="10111,5538" to="2078,5538" stroked="true" strokeweight=".651pt" strokecolor="#000000">
              <v:stroke dashstyle="solid"/>
            </v:line>
            <v:line style="position:absolute" from="2078,230" to="2078,5538" stroked="true" strokeweight=".651pt" strokecolor="#000000">
              <v:stroke dashstyle="solid"/>
            </v:line>
            <v:shape style="position:absolute;left:5232;top:602;width:45;height:86" coordorigin="5233,602" coordsize="45,86" path="m5277,684l5233,684,5233,688,5277,688,5277,684xm5270,604l5236,604,5244,608,5244,680,5240,684,5268,684,5264,677,5264,612,5266,608,5270,604xm5277,602l5233,602,5233,604,5277,604,5277,602xe" filled="true" fillcolor="#000000" stroked="false">
              <v:path arrowok="t"/>
              <v:fill type="solid"/>
            </v:shape>
            <v:shape style="position:absolute;left:5232;top:602;width:45;height:86" coordorigin="5233,602" coordsize="45,86" path="m5277,684l5277,688,5233,688,5233,684,5240,684,5244,680,5244,608,5236,604,5233,604,5233,602,5277,602,5277,604,5270,604,5268,606,5266,608,5264,612,5264,677,5266,680,5268,684,5277,684xe" filled="false" stroked="true" strokeweight=".186pt" strokecolor="#000000">
              <v:path arrowok="t"/>
              <v:stroke dashstyle="solid"/>
            </v:shape>
            <v:shape style="position:absolute;left:5282;top:602;width:45;height:86" coordorigin="5283,602" coordsize="45,86" path="m5327,684l5283,684,5283,688,5327,688,5327,684xm5320,604l5286,604,5294,608,5294,680,5290,684,5318,684,5316,680,5314,680,5314,608,5318,606,5320,604xm5327,602l5283,602,5283,604,5327,604,5327,602xe" filled="true" fillcolor="#000000" stroked="false">
              <v:path arrowok="t"/>
              <v:fill type="solid"/>
            </v:shape>
            <v:shape style="position:absolute;left:5282;top:602;width:45;height:86" coordorigin="5283,602" coordsize="45,86" path="m5327,684l5327,688,5283,688,5283,684,5290,684,5294,680,5294,608,5286,604,5283,604,5283,602,5327,602,5327,604,5320,604,5318,606,5314,608,5314,680,5316,680,5318,684,5327,684xe" filled="false" stroked="true" strokeweight=".186pt" strokecolor="#000000">
              <v:path arrowok="t"/>
              <v:stroke dashstyle="solid"/>
            </v:shape>
            <v:shape style="position:absolute;left:2339;top:4741;width:155;height:248" type="#_x0000_t75" stroked="false">
              <v:imagedata r:id="rId15" o:title=""/>
            </v:shape>
            <v:shape style="position:absolute;left:2673;top:4813;width:652;height:455" type="#_x0000_t75" stroked="false">
              <v:imagedata r:id="rId16" o:title=""/>
            </v:shape>
            <v:shape style="position:absolute;left:2071;top:595;width:8046;height:4949" type="#_x0000_t75" stroked="false">
              <v:imagedata r:id="rId17" o:title=""/>
            </v:shape>
            <v:shape style="position:absolute;left:5436;top:4999;width:145;height:82" coordorigin="5437,5000" coordsize="145,82" path="m5437,5000l5470,5028,5500,5059,5519,5074,5541,5082,5563,5080,5582,5069e" filled="false" stroked="true" strokeweight=".651pt" strokecolor="#000000">
              <v:path arrowok="t"/>
              <v:stroke dashstyle="solid"/>
            </v:shape>
            <v:shape style="position:absolute;left:6599;top:5351;width:138;height:30" coordorigin="6599,5352" coordsize="138,30" path="m6599,5367l6636,5378,6672,5381,6705,5370,6737,5352e" filled="false" stroked="true" strokeweight=".651pt" strokecolor="#000000">
              <v:path arrowok="t"/>
              <v:stroke dashstyle="solid"/>
            </v:shape>
            <v:shape style="position:absolute;left:5680;top:5024;width:45;height:86" coordorigin="5680,5024" coordsize="45,86" path="m5725,5106l5680,5106,5680,5110,5725,5110,5725,5106xm5719,5026l5686,5026,5689,5028,5691,5030,5693,5033,5693,5100,5691,5102,5689,5106,5717,5106,5714,5102,5714,5030,5717,5028,5719,5026xm5725,5024l5680,5024,5680,5026,5725,5026,5725,5024xe" filled="true" fillcolor="#000000" stroked="false">
              <v:path arrowok="t"/>
              <v:fill type="solid"/>
            </v:shape>
            <v:shape style="position:absolute;left:5680;top:5024;width:45;height:86" coordorigin="5680,5024" coordsize="45,86" path="m5725,5106l5725,5110,5680,5110,5680,5106,5689,5106,5691,5102,5693,5100,5693,5033,5691,5030,5689,5028,5686,5026,5680,5026,5680,5024,5725,5024,5725,5026,5719,5026,5717,5028,5714,5030,5714,5102,5717,5106,5725,5106xe" filled="false" stroked="true" strokeweight=".186pt" strokecolor="#000000">
              <v:path arrowok="t"/>
              <v:stroke dashstyle="solid"/>
            </v:shape>
            <v:shape style="position:absolute;left:5728;top:5024;width:91;height:88" coordorigin="5728,5024" coordsize="91,88" path="m5769,5024l5728,5024,5728,5026,5734,5028,5736,5030,5738,5030,5738,5033,5741,5037,5743,5043,5773,5112,5775,5112,5787,5084,5782,5084,5764,5041,5764,5039,5762,5035,5760,5033,5760,5030,5764,5026,5769,5026,5769,5024xm5819,5024l5792,5024,5792,5026,5795,5026,5799,5028,5801,5030,5803,5033,5803,5037,5801,5037,5801,5041,5799,5046,5782,5084,5787,5084,5803,5046,5808,5042,5804,5037,5812,5031,5812,5030,5819,5026,5819,5024xe" filled="true" fillcolor="#000000" stroked="false">
              <v:path arrowok="t"/>
              <v:fill type="solid"/>
            </v:shape>
            <v:shape style="position:absolute;left:5728;top:5024;width:91;height:88" coordorigin="5728,5024" coordsize="91,88" path="m5819,5024l5819,5026,5812,5030,5812,5031,5804,5037,5808,5042,5803,5046,5775,5112,5773,5112,5743,5043,5741,5037,5738,5033,5738,5030,5736,5030,5734,5028,5728,5026,5728,5024,5769,5024,5769,5026,5764,5026,5762,5028,5760,5030,5760,5033,5762,5035,5764,5039,5764,5041,5782,5084,5799,5046,5801,5041,5801,5037,5803,5037,5803,5033,5801,5030,5799,5028,5795,5026,5792,5026,5792,5024,5819,5024xe" filled="false" stroked="true" strokeweight=".186pt" strokecolor="#000000">
              <v:path arrowok="t"/>
              <v:stroke dashstyle="solid"/>
            </v:shape>
            <v:shape style="position:absolute;left:6822;top:5271;width:45;height:84" coordorigin="6822,5272" coordsize="45,84" path="m6867,5354l6822,5354,6822,5355,6867,5355,6867,5354xm6859,5273l6826,5273,6833,5277,6833,5350,6830,5352,6828,5354,6861,5354,6857,5352,6856,5350,6854,5346,6854,5281,6856,5277,6859,5273xm6867,5272l6822,5272,6822,5273,6867,5273,6867,5272xe" filled="true" fillcolor="#000000" stroked="false">
              <v:path arrowok="t"/>
              <v:fill type="solid"/>
            </v:shape>
            <v:shape style="position:absolute;left:6822;top:5271;width:45;height:84" coordorigin="6822,5272" coordsize="45,84" path="m6867,5354l6867,5355,6822,5355,6822,5354,6828,5354,6830,5352,6833,5350,6833,5277,6826,5273,6822,5273,6822,5272,6867,5272,6867,5273,6859,5273,6856,5277,6854,5281,6854,5346,6856,5350,6857,5352,6861,5354,6867,5354xe" filled="false" stroked="true" strokeweight=".186pt" strokecolor="#000000">
              <v:path arrowok="t"/>
              <v:stroke dashstyle="solid"/>
            </v:shape>
            <v:shape style="position:absolute;left:6870;top:5271;width:90;height:86" coordorigin="6870,5272" coordsize="90,86" path="m6904,5273l6874,5273,6879,5278,6883,5290,6913,5357,6915,5357,6927,5331,6922,5331,6904,5288,6904,5287,6902,5283,6900,5281,6900,5277,6904,5273xm6959,5272l6932,5272,6932,5273,6939,5273,6943,5277,6943,5285,6939,5292,6922,5331,6927,5331,6945,5292,6948,5280,6951,5280,6959,5273,6959,5272xm6911,5272l6870,5272,6870,5273,6911,5273,6911,5272xe" filled="true" fillcolor="#000000" stroked="false">
              <v:path arrowok="t"/>
              <v:fill type="solid"/>
            </v:shape>
            <v:shape style="position:absolute;left:6870;top:5271;width:90;height:86" coordorigin="6870,5272" coordsize="90,86" path="m6959,5272l6959,5273,6951,5280,6948,5280,6945,5292,6915,5357,6913,5357,6883,5290,6881,5284,6879,5278,6874,5273,6870,5273,6870,5272,6911,5272,6911,5273,6904,5273,6900,5277,6900,5281,6902,5283,6904,5287,6904,5288,6922,5331,6939,5292,6941,5288,6943,5285,6943,5277,6939,5273,6932,5273,6932,5272,6959,5272xe" filled="false" stroked="true" strokeweight=".186pt" strokecolor="#000000">
              <v:path arrowok="t"/>
              <v:stroke dashstyle="solid"/>
            </v:shape>
            <w10:wrap type="topAndBottom"/>
          </v:group>
        </w:pict>
      </w:r>
    </w:p>
    <w:p>
      <w:pPr>
        <w:spacing w:before="0"/>
        <w:ind w:left="655" w:right="828" w:firstLine="0"/>
        <w:jc w:val="center"/>
        <w:rPr>
          <w:b/>
          <w:i/>
          <w:sz w:val="18"/>
        </w:rPr>
      </w:pPr>
      <w:r>
        <w:rPr>
          <w:b/>
          <w:sz w:val="18"/>
        </w:rPr>
        <w:t>Figura 2.4 </w:t>
      </w:r>
      <w:r>
        <w:rPr>
          <w:b/>
          <w:i/>
          <w:sz w:val="18"/>
        </w:rPr>
        <w:t>Zonas pluviométricas de promedios </w:t>
      </w:r>
      <w:r>
        <w:rPr>
          <w:b/>
          <w:sz w:val="18"/>
        </w:rPr>
        <w:t>en función del </w:t>
      </w:r>
      <w:r>
        <w:rPr>
          <w:b/>
          <w:i/>
          <w:sz w:val="18"/>
        </w:rPr>
        <w:t>índice pluviométrico anual</w:t>
      </w:r>
    </w:p>
    <w:p>
      <w:pPr>
        <w:pStyle w:val="BodyText"/>
        <w:rPr>
          <w:b/>
          <w:i/>
        </w:rPr>
      </w:pPr>
    </w:p>
    <w:p>
      <w:pPr>
        <w:pStyle w:val="BodyText"/>
        <w:rPr>
          <w:b/>
          <w:i/>
          <w:sz w:val="16"/>
        </w:rPr>
      </w:pPr>
    </w:p>
    <w:p>
      <w:pPr>
        <w:spacing w:before="0" w:after="3"/>
        <w:ind w:left="655" w:right="827" w:firstLine="0"/>
        <w:jc w:val="center"/>
        <w:rPr>
          <w:b/>
          <w:sz w:val="18"/>
        </w:rPr>
      </w:pPr>
      <w:r>
        <w:rPr>
          <w:b/>
          <w:sz w:val="18"/>
        </w:rPr>
        <w:t>Tabla 2.6 Grado de exposición al viento</w:t>
      </w:r>
    </w:p>
    <w:tbl>
      <w:tblPr>
        <w:tblW w:w="0" w:type="auto"/>
        <w:jc w:val="left"/>
        <w:tblInd w:w="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7"/>
        <w:gridCol w:w="858"/>
        <w:gridCol w:w="488"/>
        <w:gridCol w:w="876"/>
        <w:gridCol w:w="1459"/>
        <w:gridCol w:w="879"/>
        <w:gridCol w:w="885"/>
        <w:gridCol w:w="1466"/>
        <w:gridCol w:w="888"/>
      </w:tblGrid>
      <w:tr>
        <w:trPr>
          <w:trHeight w:val="255" w:hRule="atLeast"/>
        </w:trPr>
        <w:tc>
          <w:tcPr>
            <w:tcW w:w="2573" w:type="dxa"/>
            <w:gridSpan w:val="3"/>
            <w:vMerge w:val="restart"/>
            <w:tcBorders>
              <w:bottom w:val="single" w:sz="4" w:space="0" w:color="000000"/>
              <w:right w:val="single" w:sz="4" w:space="0" w:color="000000"/>
            </w:tcBorders>
          </w:tcPr>
          <w:p>
            <w:pPr>
              <w:pStyle w:val="TableParagraph"/>
              <w:jc w:val="left"/>
              <w:rPr>
                <w:rFonts w:ascii="Times New Roman"/>
                <w:sz w:val="16"/>
              </w:rPr>
            </w:pPr>
          </w:p>
        </w:tc>
        <w:tc>
          <w:tcPr>
            <w:tcW w:w="6453" w:type="dxa"/>
            <w:gridSpan w:val="6"/>
            <w:tcBorders>
              <w:top w:val="single" w:sz="4" w:space="0" w:color="000000"/>
              <w:left w:val="single" w:sz="4" w:space="0" w:color="000000"/>
              <w:bottom w:val="single" w:sz="4" w:space="0" w:color="000000"/>
            </w:tcBorders>
          </w:tcPr>
          <w:p>
            <w:pPr>
              <w:pStyle w:val="TableParagraph"/>
              <w:spacing w:line="189" w:lineRule="exact" w:before="45"/>
              <w:ind w:left="1977"/>
              <w:jc w:val="left"/>
              <w:rPr>
                <w:b/>
                <w:sz w:val="18"/>
              </w:rPr>
            </w:pPr>
            <w:r>
              <w:rPr>
                <w:b/>
                <w:sz w:val="18"/>
              </w:rPr>
              <w:t>Clase del entorno del edificio</w:t>
            </w:r>
          </w:p>
        </w:tc>
      </w:tr>
      <w:tr>
        <w:trPr>
          <w:trHeight w:val="255" w:hRule="atLeast"/>
        </w:trPr>
        <w:tc>
          <w:tcPr>
            <w:tcW w:w="2573" w:type="dxa"/>
            <w:gridSpan w:val="3"/>
            <w:vMerge/>
            <w:tcBorders>
              <w:top w:val="nil"/>
              <w:bottom w:val="single" w:sz="4" w:space="0" w:color="000000"/>
              <w:right w:val="single" w:sz="4" w:space="0" w:color="000000"/>
            </w:tcBorders>
          </w:tcPr>
          <w:p>
            <w:pPr>
              <w:rPr>
                <w:sz w:val="2"/>
                <w:szCs w:val="2"/>
              </w:rPr>
            </w:pPr>
          </w:p>
        </w:tc>
        <w:tc>
          <w:tcPr>
            <w:tcW w:w="3214" w:type="dxa"/>
            <w:gridSpan w:val="3"/>
            <w:tcBorders>
              <w:top w:val="single" w:sz="4" w:space="0" w:color="000000"/>
              <w:left w:val="single" w:sz="4" w:space="0" w:color="000000"/>
              <w:bottom w:val="single" w:sz="4" w:space="0" w:color="000000"/>
              <w:right w:val="single" w:sz="4" w:space="0" w:color="000000"/>
            </w:tcBorders>
          </w:tcPr>
          <w:p>
            <w:pPr>
              <w:pStyle w:val="TableParagraph"/>
              <w:spacing w:line="191" w:lineRule="exact" w:before="44"/>
              <w:ind w:left="1475" w:right="1467"/>
              <w:rPr>
                <w:b/>
                <w:sz w:val="18"/>
              </w:rPr>
            </w:pPr>
            <w:r>
              <w:rPr>
                <w:b/>
                <w:sz w:val="18"/>
              </w:rPr>
              <w:t>E1</w:t>
            </w:r>
          </w:p>
        </w:tc>
        <w:tc>
          <w:tcPr>
            <w:tcW w:w="3239" w:type="dxa"/>
            <w:gridSpan w:val="3"/>
            <w:tcBorders>
              <w:top w:val="single" w:sz="4" w:space="0" w:color="000000"/>
              <w:left w:val="single" w:sz="4" w:space="0" w:color="000000"/>
              <w:bottom w:val="single" w:sz="4" w:space="0" w:color="000000"/>
            </w:tcBorders>
          </w:tcPr>
          <w:p>
            <w:pPr>
              <w:pStyle w:val="TableParagraph"/>
              <w:spacing w:line="191" w:lineRule="exact" w:before="44"/>
              <w:ind w:left="1492" w:right="1481"/>
              <w:rPr>
                <w:b/>
                <w:sz w:val="18"/>
              </w:rPr>
            </w:pPr>
            <w:r>
              <w:rPr>
                <w:b/>
                <w:sz w:val="18"/>
              </w:rPr>
              <w:t>E0</w:t>
            </w:r>
          </w:p>
        </w:tc>
      </w:tr>
      <w:tr>
        <w:trPr>
          <w:trHeight w:val="509" w:hRule="atLeast"/>
        </w:trPr>
        <w:tc>
          <w:tcPr>
            <w:tcW w:w="2573" w:type="dxa"/>
            <w:gridSpan w:val="3"/>
            <w:vMerge/>
            <w:tcBorders>
              <w:top w:val="nil"/>
              <w:bottom w:val="single" w:sz="4" w:space="0" w:color="000000"/>
              <w:right w:val="single" w:sz="4" w:space="0" w:color="000000"/>
            </w:tcBorders>
          </w:tcPr>
          <w:p>
            <w:pPr>
              <w:rPr>
                <w:sz w:val="2"/>
                <w:szCs w:val="2"/>
              </w:rPr>
            </w:pPr>
          </w:p>
        </w:tc>
        <w:tc>
          <w:tcPr>
            <w:tcW w:w="876" w:type="dxa"/>
            <w:tcBorders>
              <w:top w:val="single" w:sz="4" w:space="0" w:color="000000"/>
              <w:left w:val="single" w:sz="4" w:space="0" w:color="000000"/>
              <w:bottom w:val="single" w:sz="4" w:space="0" w:color="000000"/>
            </w:tcBorders>
          </w:tcPr>
          <w:p>
            <w:pPr>
              <w:pStyle w:val="TableParagraph"/>
              <w:spacing w:before="1"/>
              <w:jc w:val="left"/>
              <w:rPr>
                <w:b/>
                <w:sz w:val="26"/>
              </w:rPr>
            </w:pPr>
          </w:p>
          <w:p>
            <w:pPr>
              <w:pStyle w:val="TableParagraph"/>
              <w:spacing w:line="189" w:lineRule="exact"/>
              <w:ind w:left="468"/>
              <w:jc w:val="left"/>
              <w:rPr>
                <w:b/>
                <w:sz w:val="18"/>
              </w:rPr>
            </w:pPr>
            <w:r>
              <w:rPr>
                <w:b/>
                <w:sz w:val="18"/>
              </w:rPr>
              <w:t>A</w:t>
            </w:r>
          </w:p>
        </w:tc>
        <w:tc>
          <w:tcPr>
            <w:tcW w:w="1459" w:type="dxa"/>
            <w:tcBorders>
              <w:top w:val="single" w:sz="4" w:space="0" w:color="000000"/>
              <w:bottom w:val="single" w:sz="4" w:space="0" w:color="000000"/>
            </w:tcBorders>
          </w:tcPr>
          <w:p>
            <w:pPr>
              <w:pStyle w:val="TableParagraph"/>
              <w:spacing w:before="45"/>
              <w:ind w:left="219" w:right="208"/>
              <w:rPr>
                <w:b/>
                <w:i/>
                <w:sz w:val="18"/>
              </w:rPr>
            </w:pPr>
            <w:r>
              <w:rPr>
                <w:b/>
                <w:i/>
                <w:sz w:val="18"/>
              </w:rPr>
              <w:t>Zona eólica</w:t>
            </w:r>
          </w:p>
          <w:p>
            <w:pPr>
              <w:pStyle w:val="TableParagraph"/>
              <w:spacing w:line="189" w:lineRule="exact" w:before="48"/>
              <w:ind w:left="12"/>
              <w:rPr>
                <w:b/>
                <w:sz w:val="18"/>
              </w:rPr>
            </w:pPr>
            <w:r>
              <w:rPr>
                <w:b/>
                <w:sz w:val="18"/>
              </w:rPr>
              <w:t>B</w:t>
            </w:r>
          </w:p>
        </w:tc>
        <w:tc>
          <w:tcPr>
            <w:tcW w:w="879" w:type="dxa"/>
            <w:tcBorders>
              <w:top w:val="single" w:sz="4" w:space="0" w:color="000000"/>
              <w:bottom w:val="single" w:sz="4" w:space="0" w:color="000000"/>
              <w:right w:val="single" w:sz="4" w:space="0" w:color="000000"/>
            </w:tcBorders>
          </w:tcPr>
          <w:p>
            <w:pPr>
              <w:pStyle w:val="TableParagraph"/>
              <w:spacing w:before="1"/>
              <w:jc w:val="left"/>
              <w:rPr>
                <w:b/>
                <w:sz w:val="26"/>
              </w:rPr>
            </w:pPr>
          </w:p>
          <w:p>
            <w:pPr>
              <w:pStyle w:val="TableParagraph"/>
              <w:spacing w:line="189" w:lineRule="exact"/>
              <w:ind w:left="285"/>
              <w:jc w:val="left"/>
              <w:rPr>
                <w:b/>
                <w:sz w:val="18"/>
              </w:rPr>
            </w:pPr>
            <w:r>
              <w:rPr>
                <w:b/>
                <w:sz w:val="18"/>
              </w:rPr>
              <w:t>C</w:t>
            </w:r>
          </w:p>
        </w:tc>
        <w:tc>
          <w:tcPr>
            <w:tcW w:w="885" w:type="dxa"/>
            <w:tcBorders>
              <w:top w:val="single" w:sz="4" w:space="0" w:color="000000"/>
              <w:left w:val="single" w:sz="4" w:space="0" w:color="000000"/>
              <w:bottom w:val="single" w:sz="4" w:space="0" w:color="000000"/>
            </w:tcBorders>
          </w:tcPr>
          <w:p>
            <w:pPr>
              <w:pStyle w:val="TableParagraph"/>
              <w:spacing w:before="1"/>
              <w:jc w:val="left"/>
              <w:rPr>
                <w:b/>
                <w:sz w:val="26"/>
              </w:rPr>
            </w:pPr>
          </w:p>
          <w:p>
            <w:pPr>
              <w:pStyle w:val="TableParagraph"/>
              <w:spacing w:line="189" w:lineRule="exact"/>
              <w:ind w:right="278"/>
              <w:jc w:val="right"/>
              <w:rPr>
                <w:b/>
                <w:sz w:val="18"/>
              </w:rPr>
            </w:pPr>
            <w:r>
              <w:rPr>
                <w:b/>
                <w:sz w:val="18"/>
              </w:rPr>
              <w:t>A</w:t>
            </w:r>
          </w:p>
        </w:tc>
        <w:tc>
          <w:tcPr>
            <w:tcW w:w="1466" w:type="dxa"/>
            <w:tcBorders>
              <w:top w:val="single" w:sz="4" w:space="0" w:color="000000"/>
              <w:bottom w:val="single" w:sz="4" w:space="0" w:color="000000"/>
            </w:tcBorders>
          </w:tcPr>
          <w:p>
            <w:pPr>
              <w:pStyle w:val="TableParagraph"/>
              <w:spacing w:before="45"/>
              <w:ind w:left="226" w:right="208"/>
              <w:rPr>
                <w:b/>
                <w:i/>
                <w:sz w:val="18"/>
              </w:rPr>
            </w:pPr>
            <w:r>
              <w:rPr>
                <w:b/>
                <w:i/>
                <w:sz w:val="18"/>
              </w:rPr>
              <w:t>Zona eólica</w:t>
            </w:r>
          </w:p>
          <w:p>
            <w:pPr>
              <w:pStyle w:val="TableParagraph"/>
              <w:spacing w:line="189" w:lineRule="exact" w:before="48"/>
              <w:ind w:right="11"/>
              <w:rPr>
                <w:b/>
                <w:sz w:val="18"/>
              </w:rPr>
            </w:pPr>
            <w:r>
              <w:rPr>
                <w:b/>
                <w:sz w:val="18"/>
              </w:rPr>
              <w:t>B</w:t>
            </w:r>
          </w:p>
        </w:tc>
        <w:tc>
          <w:tcPr>
            <w:tcW w:w="888" w:type="dxa"/>
            <w:tcBorders>
              <w:top w:val="single" w:sz="4" w:space="0" w:color="000000"/>
              <w:bottom w:val="single" w:sz="4" w:space="0" w:color="000000"/>
            </w:tcBorders>
          </w:tcPr>
          <w:p>
            <w:pPr>
              <w:pStyle w:val="TableParagraph"/>
              <w:spacing w:before="1"/>
              <w:jc w:val="left"/>
              <w:rPr>
                <w:b/>
                <w:sz w:val="26"/>
              </w:rPr>
            </w:pPr>
          </w:p>
          <w:p>
            <w:pPr>
              <w:pStyle w:val="TableParagraph"/>
              <w:spacing w:line="189" w:lineRule="exact"/>
              <w:ind w:right="472"/>
              <w:jc w:val="right"/>
              <w:rPr>
                <w:b/>
                <w:sz w:val="18"/>
              </w:rPr>
            </w:pPr>
            <w:r>
              <w:rPr>
                <w:b/>
                <w:sz w:val="18"/>
              </w:rPr>
              <w:t>C</w:t>
            </w:r>
          </w:p>
        </w:tc>
      </w:tr>
      <w:tr>
        <w:trPr>
          <w:trHeight w:val="288" w:hRule="atLeast"/>
        </w:trPr>
        <w:tc>
          <w:tcPr>
            <w:tcW w:w="1227" w:type="dxa"/>
            <w:tcBorders>
              <w:top w:val="single" w:sz="4" w:space="0" w:color="000000"/>
            </w:tcBorders>
          </w:tcPr>
          <w:p>
            <w:pPr>
              <w:pStyle w:val="TableParagraph"/>
              <w:spacing w:line="190" w:lineRule="exact" w:before="79"/>
              <w:ind w:left="248" w:right="107"/>
              <w:rPr>
                <w:b/>
                <w:sz w:val="18"/>
              </w:rPr>
            </w:pPr>
            <w:r>
              <w:rPr>
                <w:b/>
                <w:sz w:val="18"/>
              </w:rPr>
              <w:t>Altura del</w:t>
            </w:r>
          </w:p>
        </w:tc>
        <w:tc>
          <w:tcPr>
            <w:tcW w:w="858" w:type="dxa"/>
            <w:tcBorders>
              <w:top w:val="single" w:sz="4" w:space="0" w:color="000000"/>
            </w:tcBorders>
          </w:tcPr>
          <w:p>
            <w:pPr>
              <w:pStyle w:val="TableParagraph"/>
              <w:spacing w:before="38"/>
              <w:ind w:left="138"/>
              <w:jc w:val="left"/>
              <w:rPr>
                <w:b/>
                <w:sz w:val="18"/>
              </w:rPr>
            </w:pPr>
            <w:r>
              <w:rPr>
                <w:w w:val="105"/>
                <w:sz w:val="18"/>
              </w:rPr>
              <w:t></w:t>
            </w:r>
            <w:r>
              <w:rPr>
                <w:b/>
                <w:w w:val="105"/>
                <w:sz w:val="18"/>
              </w:rPr>
              <w:t>15</w:t>
            </w:r>
          </w:p>
        </w:tc>
        <w:tc>
          <w:tcPr>
            <w:tcW w:w="488" w:type="dxa"/>
            <w:tcBorders>
              <w:top w:val="single" w:sz="4" w:space="0" w:color="000000"/>
              <w:right w:val="single" w:sz="4" w:space="0" w:color="000000"/>
            </w:tcBorders>
          </w:tcPr>
          <w:p>
            <w:pPr>
              <w:pStyle w:val="TableParagraph"/>
              <w:jc w:val="left"/>
              <w:rPr>
                <w:rFonts w:ascii="Times New Roman"/>
                <w:sz w:val="16"/>
              </w:rPr>
            </w:pPr>
          </w:p>
        </w:tc>
        <w:tc>
          <w:tcPr>
            <w:tcW w:w="876" w:type="dxa"/>
            <w:tcBorders>
              <w:top w:val="single" w:sz="4" w:space="0" w:color="000000"/>
              <w:left w:val="single" w:sz="4" w:space="0" w:color="000000"/>
            </w:tcBorders>
          </w:tcPr>
          <w:p>
            <w:pPr>
              <w:pStyle w:val="TableParagraph"/>
              <w:spacing w:before="47"/>
              <w:ind w:left="423"/>
              <w:jc w:val="left"/>
              <w:rPr>
                <w:sz w:val="18"/>
              </w:rPr>
            </w:pPr>
            <w:r>
              <w:rPr>
                <w:sz w:val="18"/>
              </w:rPr>
              <w:t>V3</w:t>
            </w:r>
          </w:p>
        </w:tc>
        <w:tc>
          <w:tcPr>
            <w:tcW w:w="1459" w:type="dxa"/>
            <w:tcBorders>
              <w:top w:val="single" w:sz="4" w:space="0" w:color="000000"/>
            </w:tcBorders>
          </w:tcPr>
          <w:p>
            <w:pPr>
              <w:pStyle w:val="TableParagraph"/>
              <w:spacing w:before="47"/>
              <w:ind w:left="219" w:right="206"/>
              <w:rPr>
                <w:sz w:val="18"/>
              </w:rPr>
            </w:pPr>
            <w:r>
              <w:rPr>
                <w:sz w:val="18"/>
              </w:rPr>
              <w:t>V3</w:t>
            </w:r>
          </w:p>
        </w:tc>
        <w:tc>
          <w:tcPr>
            <w:tcW w:w="879" w:type="dxa"/>
            <w:tcBorders>
              <w:top w:val="single" w:sz="4" w:space="0" w:color="000000"/>
              <w:right w:val="single" w:sz="4" w:space="0" w:color="000000"/>
            </w:tcBorders>
          </w:tcPr>
          <w:p>
            <w:pPr>
              <w:pStyle w:val="TableParagraph"/>
              <w:spacing w:before="47"/>
              <w:ind w:left="239"/>
              <w:jc w:val="left"/>
              <w:rPr>
                <w:sz w:val="18"/>
              </w:rPr>
            </w:pPr>
            <w:r>
              <w:rPr>
                <w:sz w:val="18"/>
              </w:rPr>
              <w:t>V3</w:t>
            </w:r>
          </w:p>
        </w:tc>
        <w:tc>
          <w:tcPr>
            <w:tcW w:w="885" w:type="dxa"/>
            <w:tcBorders>
              <w:top w:val="single" w:sz="4" w:space="0" w:color="000000"/>
              <w:left w:val="single" w:sz="4" w:space="0" w:color="000000"/>
            </w:tcBorders>
          </w:tcPr>
          <w:p>
            <w:pPr>
              <w:pStyle w:val="TableParagraph"/>
              <w:spacing w:before="47"/>
              <w:ind w:right="234"/>
              <w:jc w:val="right"/>
              <w:rPr>
                <w:sz w:val="18"/>
              </w:rPr>
            </w:pPr>
            <w:r>
              <w:rPr>
                <w:sz w:val="18"/>
              </w:rPr>
              <w:t>V2</w:t>
            </w:r>
          </w:p>
        </w:tc>
        <w:tc>
          <w:tcPr>
            <w:tcW w:w="1466" w:type="dxa"/>
            <w:tcBorders>
              <w:top w:val="single" w:sz="4" w:space="0" w:color="000000"/>
            </w:tcBorders>
          </w:tcPr>
          <w:p>
            <w:pPr>
              <w:pStyle w:val="TableParagraph"/>
              <w:spacing w:before="47"/>
              <w:ind w:left="197" w:right="208"/>
              <w:rPr>
                <w:sz w:val="18"/>
              </w:rPr>
            </w:pPr>
            <w:r>
              <w:rPr>
                <w:sz w:val="18"/>
              </w:rPr>
              <w:t>V2</w:t>
            </w:r>
          </w:p>
        </w:tc>
        <w:tc>
          <w:tcPr>
            <w:tcW w:w="888" w:type="dxa"/>
            <w:tcBorders>
              <w:top w:val="single" w:sz="4" w:space="0" w:color="000000"/>
            </w:tcBorders>
          </w:tcPr>
          <w:p>
            <w:pPr>
              <w:pStyle w:val="TableParagraph"/>
              <w:spacing w:before="47"/>
              <w:ind w:right="427"/>
              <w:jc w:val="right"/>
              <w:rPr>
                <w:sz w:val="18"/>
              </w:rPr>
            </w:pPr>
            <w:r>
              <w:rPr>
                <w:sz w:val="18"/>
              </w:rPr>
              <w:t>V2</w:t>
            </w:r>
          </w:p>
        </w:tc>
      </w:tr>
      <w:tr>
        <w:trPr>
          <w:trHeight w:val="218" w:hRule="atLeast"/>
        </w:trPr>
        <w:tc>
          <w:tcPr>
            <w:tcW w:w="1227" w:type="dxa"/>
          </w:tcPr>
          <w:p>
            <w:pPr>
              <w:pStyle w:val="TableParagraph"/>
              <w:spacing w:line="199" w:lineRule="exact"/>
              <w:ind w:left="248" w:right="105"/>
              <w:rPr>
                <w:b/>
                <w:sz w:val="18"/>
              </w:rPr>
            </w:pPr>
            <w:r>
              <w:rPr>
                <w:b/>
                <w:sz w:val="18"/>
              </w:rPr>
              <w:t>edificio</w:t>
            </w:r>
          </w:p>
        </w:tc>
        <w:tc>
          <w:tcPr>
            <w:tcW w:w="858" w:type="dxa"/>
          </w:tcPr>
          <w:p>
            <w:pPr>
              <w:pStyle w:val="TableParagraph"/>
              <w:spacing w:line="178" w:lineRule="exact" w:before="20"/>
              <w:ind w:left="138"/>
              <w:jc w:val="left"/>
              <w:rPr>
                <w:b/>
                <w:sz w:val="18"/>
              </w:rPr>
            </w:pPr>
            <w:r>
              <w:rPr>
                <w:b/>
                <w:sz w:val="18"/>
              </w:rPr>
              <w:t>16 - 40</w:t>
            </w:r>
          </w:p>
        </w:tc>
        <w:tc>
          <w:tcPr>
            <w:tcW w:w="488" w:type="dxa"/>
            <w:tcBorders>
              <w:right w:val="single" w:sz="4" w:space="0" w:color="000000"/>
            </w:tcBorders>
          </w:tcPr>
          <w:p>
            <w:pPr>
              <w:pStyle w:val="TableParagraph"/>
              <w:jc w:val="left"/>
              <w:rPr>
                <w:rFonts w:ascii="Times New Roman"/>
                <w:sz w:val="14"/>
              </w:rPr>
            </w:pPr>
          </w:p>
        </w:tc>
        <w:tc>
          <w:tcPr>
            <w:tcW w:w="876" w:type="dxa"/>
            <w:tcBorders>
              <w:left w:val="single" w:sz="4" w:space="0" w:color="000000"/>
            </w:tcBorders>
          </w:tcPr>
          <w:p>
            <w:pPr>
              <w:pStyle w:val="TableParagraph"/>
              <w:spacing w:line="177" w:lineRule="exact" w:before="22"/>
              <w:ind w:left="423"/>
              <w:jc w:val="left"/>
              <w:rPr>
                <w:sz w:val="18"/>
              </w:rPr>
            </w:pPr>
            <w:r>
              <w:rPr>
                <w:sz w:val="18"/>
              </w:rPr>
              <w:t>V3</w:t>
            </w:r>
          </w:p>
        </w:tc>
        <w:tc>
          <w:tcPr>
            <w:tcW w:w="1459" w:type="dxa"/>
          </w:tcPr>
          <w:p>
            <w:pPr>
              <w:pStyle w:val="TableParagraph"/>
              <w:spacing w:line="177" w:lineRule="exact" w:before="22"/>
              <w:ind w:left="219" w:right="206"/>
              <w:rPr>
                <w:sz w:val="18"/>
              </w:rPr>
            </w:pPr>
            <w:r>
              <w:rPr>
                <w:sz w:val="18"/>
              </w:rPr>
              <w:t>V2</w:t>
            </w:r>
          </w:p>
        </w:tc>
        <w:tc>
          <w:tcPr>
            <w:tcW w:w="879" w:type="dxa"/>
            <w:tcBorders>
              <w:right w:val="single" w:sz="4" w:space="0" w:color="000000"/>
            </w:tcBorders>
          </w:tcPr>
          <w:p>
            <w:pPr>
              <w:pStyle w:val="TableParagraph"/>
              <w:spacing w:line="177" w:lineRule="exact" w:before="22"/>
              <w:ind w:left="239"/>
              <w:jc w:val="left"/>
              <w:rPr>
                <w:sz w:val="18"/>
              </w:rPr>
            </w:pPr>
            <w:r>
              <w:rPr>
                <w:sz w:val="18"/>
              </w:rPr>
              <w:t>V2</w:t>
            </w:r>
          </w:p>
        </w:tc>
        <w:tc>
          <w:tcPr>
            <w:tcW w:w="885" w:type="dxa"/>
            <w:tcBorders>
              <w:left w:val="single" w:sz="4" w:space="0" w:color="000000"/>
            </w:tcBorders>
          </w:tcPr>
          <w:p>
            <w:pPr>
              <w:pStyle w:val="TableParagraph"/>
              <w:spacing w:line="177" w:lineRule="exact" w:before="22"/>
              <w:ind w:right="234"/>
              <w:jc w:val="right"/>
              <w:rPr>
                <w:sz w:val="18"/>
              </w:rPr>
            </w:pPr>
            <w:r>
              <w:rPr>
                <w:sz w:val="18"/>
              </w:rPr>
              <w:t>V2</w:t>
            </w:r>
          </w:p>
        </w:tc>
        <w:tc>
          <w:tcPr>
            <w:tcW w:w="1466" w:type="dxa"/>
          </w:tcPr>
          <w:p>
            <w:pPr>
              <w:pStyle w:val="TableParagraph"/>
              <w:spacing w:line="177" w:lineRule="exact" w:before="22"/>
              <w:ind w:left="197" w:right="208"/>
              <w:rPr>
                <w:sz w:val="18"/>
              </w:rPr>
            </w:pPr>
            <w:r>
              <w:rPr>
                <w:sz w:val="18"/>
              </w:rPr>
              <w:t>V2</w:t>
            </w:r>
          </w:p>
        </w:tc>
        <w:tc>
          <w:tcPr>
            <w:tcW w:w="888" w:type="dxa"/>
          </w:tcPr>
          <w:p>
            <w:pPr>
              <w:pStyle w:val="TableParagraph"/>
              <w:spacing w:line="177" w:lineRule="exact" w:before="22"/>
              <w:ind w:right="427"/>
              <w:jc w:val="right"/>
              <w:rPr>
                <w:sz w:val="18"/>
              </w:rPr>
            </w:pPr>
            <w:r>
              <w:rPr>
                <w:sz w:val="18"/>
              </w:rPr>
              <w:t>V1</w:t>
            </w:r>
          </w:p>
        </w:tc>
      </w:tr>
      <w:tr>
        <w:trPr>
          <w:trHeight w:val="277" w:hRule="atLeast"/>
        </w:trPr>
        <w:tc>
          <w:tcPr>
            <w:tcW w:w="1227" w:type="dxa"/>
            <w:tcBorders>
              <w:bottom w:val="single" w:sz="4" w:space="0" w:color="000000"/>
            </w:tcBorders>
          </w:tcPr>
          <w:p>
            <w:pPr>
              <w:pStyle w:val="TableParagraph"/>
              <w:spacing w:line="192" w:lineRule="exact"/>
              <w:ind w:left="248" w:right="105"/>
              <w:rPr>
                <w:b/>
                <w:sz w:val="18"/>
              </w:rPr>
            </w:pPr>
            <w:r>
              <w:rPr>
                <w:b/>
                <w:sz w:val="18"/>
              </w:rPr>
              <w:t>en m</w:t>
            </w:r>
          </w:p>
        </w:tc>
        <w:tc>
          <w:tcPr>
            <w:tcW w:w="858" w:type="dxa"/>
            <w:tcBorders>
              <w:bottom w:val="single" w:sz="4" w:space="0" w:color="000000"/>
            </w:tcBorders>
          </w:tcPr>
          <w:p>
            <w:pPr>
              <w:pStyle w:val="TableParagraph"/>
              <w:spacing w:line="191" w:lineRule="exact" w:before="67"/>
              <w:ind w:left="138"/>
              <w:jc w:val="left"/>
              <w:rPr>
                <w:b/>
                <w:sz w:val="18"/>
              </w:rPr>
            </w:pPr>
            <w:r>
              <w:rPr>
                <w:b/>
                <w:sz w:val="18"/>
              </w:rPr>
              <w:t>41 – 100</w:t>
            </w:r>
          </w:p>
        </w:tc>
        <w:tc>
          <w:tcPr>
            <w:tcW w:w="488" w:type="dxa"/>
            <w:tcBorders>
              <w:bottom w:val="single" w:sz="4" w:space="0" w:color="000000"/>
              <w:right w:val="single" w:sz="4" w:space="0" w:color="000000"/>
            </w:tcBorders>
          </w:tcPr>
          <w:p>
            <w:pPr>
              <w:pStyle w:val="TableParagraph"/>
              <w:spacing w:before="63"/>
              <w:ind w:left="30"/>
              <w:jc w:val="left"/>
              <w:rPr>
                <w:sz w:val="12"/>
              </w:rPr>
            </w:pPr>
            <w:r>
              <w:rPr>
                <w:sz w:val="12"/>
              </w:rPr>
              <w:t>(1)</w:t>
            </w:r>
          </w:p>
        </w:tc>
        <w:tc>
          <w:tcPr>
            <w:tcW w:w="876" w:type="dxa"/>
            <w:tcBorders>
              <w:left w:val="single" w:sz="4" w:space="0" w:color="000000"/>
              <w:bottom w:val="single" w:sz="4" w:space="0" w:color="000000"/>
            </w:tcBorders>
          </w:tcPr>
          <w:p>
            <w:pPr>
              <w:pStyle w:val="TableParagraph"/>
              <w:spacing w:line="189" w:lineRule="exact" w:before="68"/>
              <w:ind w:left="423"/>
              <w:jc w:val="left"/>
              <w:rPr>
                <w:sz w:val="18"/>
              </w:rPr>
            </w:pPr>
            <w:r>
              <w:rPr>
                <w:sz w:val="18"/>
              </w:rPr>
              <w:t>V2</w:t>
            </w:r>
          </w:p>
        </w:tc>
        <w:tc>
          <w:tcPr>
            <w:tcW w:w="1459" w:type="dxa"/>
            <w:tcBorders>
              <w:bottom w:val="single" w:sz="4" w:space="0" w:color="000000"/>
            </w:tcBorders>
          </w:tcPr>
          <w:p>
            <w:pPr>
              <w:pStyle w:val="TableParagraph"/>
              <w:spacing w:line="189" w:lineRule="exact" w:before="68"/>
              <w:ind w:left="219" w:right="206"/>
              <w:rPr>
                <w:sz w:val="18"/>
              </w:rPr>
            </w:pPr>
            <w:r>
              <w:rPr>
                <w:sz w:val="18"/>
              </w:rPr>
              <w:t>V2</w:t>
            </w:r>
          </w:p>
        </w:tc>
        <w:tc>
          <w:tcPr>
            <w:tcW w:w="879" w:type="dxa"/>
            <w:tcBorders>
              <w:bottom w:val="single" w:sz="4" w:space="0" w:color="000000"/>
              <w:right w:val="single" w:sz="4" w:space="0" w:color="000000"/>
            </w:tcBorders>
          </w:tcPr>
          <w:p>
            <w:pPr>
              <w:pStyle w:val="TableParagraph"/>
              <w:spacing w:line="189" w:lineRule="exact" w:before="68"/>
              <w:ind w:left="239"/>
              <w:jc w:val="left"/>
              <w:rPr>
                <w:sz w:val="18"/>
              </w:rPr>
            </w:pPr>
            <w:r>
              <w:rPr>
                <w:sz w:val="18"/>
              </w:rPr>
              <w:t>V2</w:t>
            </w:r>
          </w:p>
        </w:tc>
        <w:tc>
          <w:tcPr>
            <w:tcW w:w="885" w:type="dxa"/>
            <w:tcBorders>
              <w:left w:val="single" w:sz="4" w:space="0" w:color="000000"/>
              <w:bottom w:val="single" w:sz="4" w:space="0" w:color="000000"/>
            </w:tcBorders>
          </w:tcPr>
          <w:p>
            <w:pPr>
              <w:pStyle w:val="TableParagraph"/>
              <w:spacing w:line="189" w:lineRule="exact" w:before="68"/>
              <w:ind w:right="234"/>
              <w:jc w:val="right"/>
              <w:rPr>
                <w:sz w:val="18"/>
              </w:rPr>
            </w:pPr>
            <w:r>
              <w:rPr>
                <w:sz w:val="18"/>
              </w:rPr>
              <w:t>V1</w:t>
            </w:r>
          </w:p>
        </w:tc>
        <w:tc>
          <w:tcPr>
            <w:tcW w:w="1466" w:type="dxa"/>
            <w:tcBorders>
              <w:bottom w:val="single" w:sz="4" w:space="0" w:color="000000"/>
            </w:tcBorders>
          </w:tcPr>
          <w:p>
            <w:pPr>
              <w:pStyle w:val="TableParagraph"/>
              <w:spacing w:line="189" w:lineRule="exact" w:before="68"/>
              <w:ind w:left="197" w:right="208"/>
              <w:rPr>
                <w:sz w:val="18"/>
              </w:rPr>
            </w:pPr>
            <w:r>
              <w:rPr>
                <w:sz w:val="18"/>
              </w:rPr>
              <w:t>V1</w:t>
            </w:r>
          </w:p>
        </w:tc>
        <w:tc>
          <w:tcPr>
            <w:tcW w:w="888" w:type="dxa"/>
            <w:tcBorders>
              <w:bottom w:val="single" w:sz="4" w:space="0" w:color="000000"/>
            </w:tcBorders>
          </w:tcPr>
          <w:p>
            <w:pPr>
              <w:pStyle w:val="TableParagraph"/>
              <w:spacing w:line="189" w:lineRule="exact" w:before="68"/>
              <w:ind w:right="427"/>
              <w:jc w:val="right"/>
              <w:rPr>
                <w:sz w:val="18"/>
              </w:rPr>
            </w:pPr>
            <w:r>
              <w:rPr>
                <w:sz w:val="18"/>
              </w:rPr>
              <w:t>V1</w:t>
            </w:r>
          </w:p>
        </w:tc>
      </w:tr>
    </w:tbl>
    <w:p>
      <w:pPr>
        <w:spacing w:before="0"/>
        <w:ind w:left="902" w:right="0" w:hanging="228"/>
        <w:jc w:val="left"/>
        <w:rPr>
          <w:sz w:val="16"/>
        </w:rPr>
      </w:pPr>
      <w:r>
        <w:rPr>
          <w:position w:val="6"/>
          <w:sz w:val="10"/>
        </w:rPr>
        <w:t>(1) </w:t>
      </w:r>
      <w:r>
        <w:rPr>
          <w:sz w:val="16"/>
        </w:rPr>
        <w:t>Para edificios de más de 100 m de altura y para aquellos que están próximos a un desnivel muy pronunciado, el grado de exposición al viento debe ser estudiada según lo dispuesto en el DB-SE-AE.</w:t>
      </w:r>
    </w:p>
    <w:p>
      <w:pPr>
        <w:spacing w:after="0"/>
        <w:jc w:val="left"/>
        <w:rPr>
          <w:sz w:val="16"/>
        </w:rPr>
        <w:sectPr>
          <w:pgSz w:w="11910" w:h="16840"/>
          <w:pgMar w:header="724" w:footer="636" w:top="1320" w:bottom="840" w:left="1200" w:right="738"/>
        </w:sectPr>
      </w:pPr>
    </w:p>
    <w:p>
      <w:pPr>
        <w:pStyle w:val="BodyText"/>
        <w:spacing w:before="4"/>
      </w:pPr>
    </w:p>
    <w:p>
      <w:pPr>
        <w:pStyle w:val="BodyText"/>
        <w:ind w:left="636"/>
      </w:pPr>
      <w:r>
        <w:rPr/>
        <w:drawing>
          <wp:inline distT="0" distB="0" distL="0" distR="0">
            <wp:extent cx="5884045" cy="3777424"/>
            <wp:effectExtent l="0" t="0" r="0" b="0"/>
            <wp:docPr id="1" name="image10.jpeg"/>
            <wp:cNvGraphicFramePr>
              <a:graphicFrameLocks noChangeAspect="1"/>
            </wp:cNvGraphicFramePr>
            <a:graphic>
              <a:graphicData uri="http://schemas.openxmlformats.org/drawingml/2006/picture">
                <pic:pic>
                  <pic:nvPicPr>
                    <pic:cNvPr id="2" name="image10.jpeg"/>
                    <pic:cNvPicPr/>
                  </pic:nvPicPr>
                  <pic:blipFill>
                    <a:blip r:embed="rId18" cstate="print"/>
                    <a:stretch>
                      <a:fillRect/>
                    </a:stretch>
                  </pic:blipFill>
                  <pic:spPr>
                    <a:xfrm>
                      <a:off x="0" y="0"/>
                      <a:ext cx="5884045" cy="3777424"/>
                    </a:xfrm>
                    <a:prstGeom prst="rect">
                      <a:avLst/>
                    </a:prstGeom>
                  </pic:spPr>
                </pic:pic>
              </a:graphicData>
            </a:graphic>
          </wp:inline>
        </w:drawing>
      </w:r>
      <w:r>
        <w:rPr/>
      </w:r>
    </w:p>
    <w:p>
      <w:pPr>
        <w:pStyle w:val="BodyText"/>
        <w:spacing w:before="4"/>
        <w:rPr>
          <w:sz w:val="11"/>
        </w:rPr>
      </w:pPr>
    </w:p>
    <w:p>
      <w:pPr>
        <w:spacing w:before="95"/>
        <w:ind w:left="655" w:right="522" w:firstLine="0"/>
        <w:jc w:val="center"/>
        <w:rPr>
          <w:b/>
          <w:i/>
          <w:sz w:val="18"/>
        </w:rPr>
      </w:pPr>
      <w:r>
        <w:rPr>
          <w:b/>
          <w:sz w:val="18"/>
        </w:rPr>
        <w:t>Figura 2.5 </w:t>
      </w:r>
      <w:r>
        <w:rPr>
          <w:b/>
          <w:i/>
          <w:sz w:val="18"/>
        </w:rPr>
        <w:t>Zonas eólicas</w:t>
      </w:r>
    </w:p>
    <w:p>
      <w:pPr>
        <w:pStyle w:val="BodyText"/>
        <w:spacing w:before="5"/>
        <w:rPr>
          <w:b/>
          <w:i/>
          <w:sz w:val="17"/>
        </w:rPr>
      </w:pPr>
    </w:p>
    <w:p>
      <w:pPr>
        <w:pStyle w:val="ListParagraph"/>
        <w:numPr>
          <w:ilvl w:val="2"/>
          <w:numId w:val="14"/>
        </w:numPr>
        <w:tabs>
          <w:tab w:pos="786" w:val="left" w:leader="none"/>
        </w:tabs>
        <w:spacing w:line="240" w:lineRule="auto" w:before="1" w:after="0"/>
        <w:ind w:left="785" w:right="0" w:hanging="568"/>
        <w:jc w:val="left"/>
        <w:rPr>
          <w:b/>
          <w:i/>
          <w:sz w:val="20"/>
        </w:rPr>
      </w:pPr>
      <w:r>
        <w:rPr>
          <w:b/>
          <w:sz w:val="20"/>
        </w:rPr>
        <w:t>Condiciones de las </w:t>
      </w:r>
      <w:r>
        <w:rPr>
          <w:b/>
          <w:i/>
          <w:sz w:val="20"/>
        </w:rPr>
        <w:t>soluciones</w:t>
      </w:r>
      <w:r>
        <w:rPr>
          <w:b/>
          <w:i/>
          <w:spacing w:val="-4"/>
          <w:sz w:val="20"/>
        </w:rPr>
        <w:t> </w:t>
      </w:r>
      <w:r>
        <w:rPr>
          <w:b/>
          <w:i/>
          <w:sz w:val="20"/>
        </w:rPr>
        <w:t>constructivas</w:t>
      </w:r>
    </w:p>
    <w:p>
      <w:pPr>
        <w:pStyle w:val="ListParagraph"/>
        <w:numPr>
          <w:ilvl w:val="0"/>
          <w:numId w:val="27"/>
        </w:numPr>
        <w:tabs>
          <w:tab w:pos="672" w:val="left" w:leader="none"/>
        </w:tabs>
        <w:spacing w:line="240" w:lineRule="auto" w:before="158" w:after="0"/>
        <w:ind w:left="672" w:right="392" w:hanging="454"/>
        <w:jc w:val="both"/>
        <w:rPr>
          <w:sz w:val="20"/>
        </w:rPr>
      </w:pPr>
      <w:r>
        <w:rPr>
          <w:sz w:val="20"/>
        </w:rPr>
        <w:t>Las condiciones exigidas a cada </w:t>
      </w:r>
      <w:r>
        <w:rPr>
          <w:i/>
          <w:sz w:val="20"/>
        </w:rPr>
        <w:t>solución constructiva </w:t>
      </w:r>
      <w:r>
        <w:rPr>
          <w:sz w:val="20"/>
        </w:rPr>
        <w:t>en función de la existencia o no de </w:t>
      </w:r>
      <w:r>
        <w:rPr>
          <w:i/>
          <w:sz w:val="20"/>
        </w:rPr>
        <w:t>revestimiento exterior </w:t>
      </w:r>
      <w:r>
        <w:rPr>
          <w:sz w:val="20"/>
        </w:rPr>
        <w:t>y del </w:t>
      </w:r>
      <w:r>
        <w:rPr>
          <w:i/>
          <w:sz w:val="20"/>
        </w:rPr>
        <w:t>grado de impermeabilidad </w:t>
      </w:r>
      <w:r>
        <w:rPr>
          <w:sz w:val="20"/>
        </w:rPr>
        <w:t>se obtienen en la tabla 2.7. En algunos casos estas condiciones son únicas y en otros se presentan conjuntos optativos de</w:t>
      </w:r>
      <w:r>
        <w:rPr>
          <w:spacing w:val="-10"/>
          <w:sz w:val="20"/>
        </w:rPr>
        <w:t> </w:t>
      </w:r>
      <w:r>
        <w:rPr>
          <w:sz w:val="20"/>
        </w:rPr>
        <w:t>condiciones.</w:t>
      </w:r>
    </w:p>
    <w:p>
      <w:pPr>
        <w:spacing w:before="60" w:after="3"/>
        <w:ind w:left="2674" w:right="0" w:firstLine="0"/>
        <w:jc w:val="both"/>
        <w:rPr>
          <w:b/>
          <w:sz w:val="18"/>
        </w:rPr>
      </w:pPr>
      <w:r>
        <w:rPr>
          <w:b/>
          <w:sz w:val="18"/>
        </w:rPr>
        <w:t>Tabla 2.7 Condiciones de las soluciones de fachada</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
        <w:gridCol w:w="482"/>
        <w:gridCol w:w="3992"/>
        <w:gridCol w:w="4770"/>
      </w:tblGrid>
      <w:tr>
        <w:trPr>
          <w:trHeight w:val="567" w:hRule="atLeast"/>
        </w:trPr>
        <w:tc>
          <w:tcPr>
            <w:tcW w:w="772" w:type="dxa"/>
            <w:gridSpan w:val="2"/>
            <w:tcBorders>
              <w:top w:val="nil"/>
              <w:left w:val="nil"/>
            </w:tcBorders>
          </w:tcPr>
          <w:p>
            <w:pPr>
              <w:pStyle w:val="TableParagraph"/>
              <w:jc w:val="left"/>
              <w:rPr>
                <w:rFonts w:ascii="Times New Roman"/>
                <w:sz w:val="18"/>
              </w:rPr>
            </w:pPr>
          </w:p>
        </w:tc>
        <w:tc>
          <w:tcPr>
            <w:tcW w:w="3992" w:type="dxa"/>
          </w:tcPr>
          <w:p>
            <w:pPr>
              <w:pStyle w:val="TableParagraph"/>
              <w:spacing w:before="177"/>
              <w:ind w:left="855"/>
              <w:jc w:val="left"/>
              <w:rPr>
                <w:b/>
                <w:i/>
                <w:sz w:val="18"/>
              </w:rPr>
            </w:pPr>
            <w:r>
              <w:rPr>
                <w:b/>
                <w:sz w:val="18"/>
              </w:rPr>
              <w:t>Con </w:t>
            </w:r>
            <w:r>
              <w:rPr>
                <w:b/>
                <w:i/>
                <w:sz w:val="18"/>
              </w:rPr>
              <w:t>revestimiento exterior</w:t>
            </w:r>
          </w:p>
        </w:tc>
        <w:tc>
          <w:tcPr>
            <w:tcW w:w="4770" w:type="dxa"/>
            <w:tcBorders>
              <w:right w:val="nil"/>
            </w:tcBorders>
          </w:tcPr>
          <w:p>
            <w:pPr>
              <w:pStyle w:val="TableParagraph"/>
              <w:spacing w:before="177"/>
              <w:ind w:left="11" w:right="4"/>
              <w:rPr>
                <w:b/>
                <w:i/>
                <w:sz w:val="18"/>
              </w:rPr>
            </w:pPr>
            <w:r>
              <w:rPr>
                <w:b/>
                <w:sz w:val="18"/>
              </w:rPr>
              <w:t>Sin </w:t>
            </w:r>
            <w:r>
              <w:rPr>
                <w:b/>
                <w:i/>
                <w:sz w:val="18"/>
              </w:rPr>
              <w:t>revestimiento exterior</w:t>
            </w:r>
          </w:p>
        </w:tc>
      </w:tr>
      <w:tr>
        <w:trPr>
          <w:trHeight w:val="297" w:hRule="atLeast"/>
        </w:trPr>
        <w:tc>
          <w:tcPr>
            <w:tcW w:w="290" w:type="dxa"/>
            <w:tcBorders>
              <w:left w:val="nil"/>
              <w:bottom w:val="single" w:sz="2" w:space="0" w:color="FFFF00"/>
            </w:tcBorders>
          </w:tcPr>
          <w:p>
            <w:pPr>
              <w:pStyle w:val="TableParagraph"/>
              <w:jc w:val="left"/>
              <w:rPr>
                <w:rFonts w:ascii="Times New Roman"/>
                <w:sz w:val="18"/>
              </w:rPr>
            </w:pPr>
          </w:p>
        </w:tc>
        <w:tc>
          <w:tcPr>
            <w:tcW w:w="482" w:type="dxa"/>
            <w:vMerge w:val="restart"/>
          </w:tcPr>
          <w:p>
            <w:pPr>
              <w:pStyle w:val="TableParagraph"/>
              <w:spacing w:before="177"/>
              <w:ind w:left="140"/>
              <w:jc w:val="left"/>
              <w:rPr>
                <w:b/>
                <w:sz w:val="18"/>
              </w:rPr>
            </w:pPr>
            <w:r>
              <w:rPr>
                <w:b/>
                <w:sz w:val="18"/>
              </w:rPr>
              <w:t>≤1</w:t>
            </w:r>
          </w:p>
        </w:tc>
        <w:tc>
          <w:tcPr>
            <w:tcW w:w="3992" w:type="dxa"/>
            <w:vMerge w:val="restart"/>
          </w:tcPr>
          <w:p>
            <w:pPr>
              <w:pStyle w:val="TableParagraph"/>
              <w:jc w:val="left"/>
              <w:rPr>
                <w:b/>
                <w:sz w:val="20"/>
              </w:rPr>
            </w:pPr>
          </w:p>
          <w:p>
            <w:pPr>
              <w:pStyle w:val="TableParagraph"/>
              <w:spacing w:before="3"/>
              <w:jc w:val="left"/>
              <w:rPr>
                <w:b/>
                <w:sz w:val="20"/>
              </w:rPr>
            </w:pPr>
          </w:p>
          <w:p>
            <w:pPr>
              <w:pStyle w:val="TableParagraph"/>
              <w:ind w:left="1619" w:right="1611"/>
              <w:rPr>
                <w:sz w:val="12"/>
              </w:rPr>
            </w:pPr>
            <w:r>
              <w:rPr>
                <w:sz w:val="18"/>
              </w:rPr>
              <w:t>R1+C1</w:t>
            </w:r>
            <w:r>
              <w:rPr>
                <w:position w:val="6"/>
                <w:sz w:val="12"/>
              </w:rPr>
              <w:t>(1)</w:t>
            </w:r>
          </w:p>
        </w:tc>
        <w:tc>
          <w:tcPr>
            <w:tcW w:w="4770" w:type="dxa"/>
            <w:vMerge w:val="restart"/>
            <w:tcBorders>
              <w:right w:val="nil"/>
            </w:tcBorders>
          </w:tcPr>
          <w:p>
            <w:pPr>
              <w:pStyle w:val="TableParagraph"/>
              <w:spacing w:before="175"/>
              <w:ind w:left="11" w:right="5"/>
              <w:rPr>
                <w:sz w:val="18"/>
              </w:rPr>
            </w:pPr>
            <w:r>
              <w:rPr>
                <w:sz w:val="18"/>
              </w:rPr>
              <w:t>C1</w:t>
            </w:r>
            <w:r>
              <w:rPr>
                <w:position w:val="6"/>
                <w:sz w:val="12"/>
              </w:rPr>
              <w:t>(1)</w:t>
            </w:r>
            <w:r>
              <w:rPr>
                <w:sz w:val="18"/>
              </w:rPr>
              <w:t>+J1+N1</w:t>
            </w:r>
          </w:p>
        </w:tc>
      </w:tr>
      <w:tr>
        <w:trPr>
          <w:trHeight w:val="259" w:hRule="atLeast"/>
        </w:trPr>
        <w:tc>
          <w:tcPr>
            <w:tcW w:w="290" w:type="dxa"/>
            <w:vMerge w:val="restart"/>
            <w:tcBorders>
              <w:top w:val="single" w:sz="2" w:space="0" w:color="FFFF00"/>
              <w:left w:val="nil"/>
            </w:tcBorders>
            <w:textDirection w:val="btLr"/>
          </w:tcPr>
          <w:p>
            <w:pPr>
              <w:pStyle w:val="TableParagraph"/>
              <w:spacing w:line="151" w:lineRule="exact" w:before="114"/>
              <w:ind w:left="303" w:right="-15"/>
              <w:jc w:val="left"/>
              <w:rPr>
                <w:b/>
                <w:i/>
                <w:sz w:val="18"/>
              </w:rPr>
            </w:pPr>
            <w:r>
              <w:rPr>
                <w:b/>
                <w:i/>
                <w:sz w:val="18"/>
              </w:rPr>
              <w:t>Grado de</w:t>
            </w:r>
            <w:r>
              <w:rPr>
                <w:b/>
                <w:i/>
                <w:spacing w:val="-13"/>
                <w:sz w:val="18"/>
              </w:rPr>
              <w:t> </w:t>
            </w:r>
            <w:r>
              <w:rPr>
                <w:b/>
                <w:i/>
                <w:sz w:val="18"/>
              </w:rPr>
              <w:t>impermeabilidad</w:t>
            </w:r>
          </w:p>
        </w:tc>
        <w:tc>
          <w:tcPr>
            <w:tcW w:w="482" w:type="dxa"/>
            <w:vMerge/>
            <w:tcBorders>
              <w:top w:val="nil"/>
            </w:tcBorders>
          </w:tcPr>
          <w:p>
            <w:pPr>
              <w:rPr>
                <w:sz w:val="2"/>
                <w:szCs w:val="2"/>
              </w:rPr>
            </w:pPr>
          </w:p>
        </w:tc>
        <w:tc>
          <w:tcPr>
            <w:tcW w:w="3992" w:type="dxa"/>
            <w:vMerge/>
            <w:tcBorders>
              <w:top w:val="nil"/>
            </w:tcBorders>
          </w:tcPr>
          <w:p>
            <w:pPr>
              <w:rPr>
                <w:sz w:val="2"/>
                <w:szCs w:val="2"/>
              </w:rPr>
            </w:pPr>
          </w:p>
        </w:tc>
        <w:tc>
          <w:tcPr>
            <w:tcW w:w="4770" w:type="dxa"/>
            <w:vMerge/>
            <w:tcBorders>
              <w:top w:val="nil"/>
              <w:right w:val="nil"/>
            </w:tcBorders>
          </w:tcPr>
          <w:p>
            <w:pPr>
              <w:rPr>
                <w:sz w:val="2"/>
                <w:szCs w:val="2"/>
              </w:rPr>
            </w:pPr>
          </w:p>
        </w:tc>
      </w:tr>
      <w:tr>
        <w:trPr>
          <w:trHeight w:val="567" w:hRule="atLeast"/>
        </w:trPr>
        <w:tc>
          <w:tcPr>
            <w:tcW w:w="290" w:type="dxa"/>
            <w:vMerge/>
            <w:tcBorders>
              <w:top w:val="nil"/>
              <w:left w:val="nil"/>
            </w:tcBorders>
            <w:textDirection w:val="btLr"/>
          </w:tcPr>
          <w:p>
            <w:pPr>
              <w:rPr>
                <w:sz w:val="2"/>
                <w:szCs w:val="2"/>
              </w:rPr>
            </w:pPr>
          </w:p>
        </w:tc>
        <w:tc>
          <w:tcPr>
            <w:tcW w:w="482" w:type="dxa"/>
          </w:tcPr>
          <w:p>
            <w:pPr>
              <w:pStyle w:val="TableParagraph"/>
              <w:spacing w:before="176"/>
              <w:ind w:left="120" w:right="113"/>
              <w:rPr>
                <w:b/>
                <w:sz w:val="18"/>
              </w:rPr>
            </w:pPr>
            <w:r>
              <w:rPr>
                <w:b/>
                <w:sz w:val="18"/>
              </w:rPr>
              <w:t>≤2</w:t>
            </w:r>
          </w:p>
        </w:tc>
        <w:tc>
          <w:tcPr>
            <w:tcW w:w="3992" w:type="dxa"/>
            <w:vMerge/>
            <w:tcBorders>
              <w:top w:val="nil"/>
            </w:tcBorders>
          </w:tcPr>
          <w:p>
            <w:pPr>
              <w:rPr>
                <w:sz w:val="2"/>
                <w:szCs w:val="2"/>
              </w:rPr>
            </w:pPr>
          </w:p>
        </w:tc>
        <w:tc>
          <w:tcPr>
            <w:tcW w:w="4770" w:type="dxa"/>
            <w:tcBorders>
              <w:right w:val="nil"/>
            </w:tcBorders>
          </w:tcPr>
          <w:p>
            <w:pPr>
              <w:pStyle w:val="TableParagraph"/>
              <w:tabs>
                <w:tab w:pos="1149" w:val="left" w:leader="none"/>
                <w:tab w:pos="2407" w:val="left" w:leader="none"/>
                <w:tab w:pos="3561" w:val="left" w:leader="none"/>
              </w:tabs>
              <w:spacing w:line="153" w:lineRule="auto" w:before="95"/>
              <w:ind w:right="7"/>
              <w:rPr>
                <w:sz w:val="18"/>
              </w:rPr>
            </w:pPr>
            <w:r>
              <w:rPr>
                <w:sz w:val="18"/>
              </w:rPr>
              <w:t>B1+C1+J1</w:t>
              <w:tab/>
              <w:t>C2+H1+J1+</w:t>
              <w:tab/>
            </w:r>
            <w:r>
              <w:rPr>
                <w:position w:val="-9"/>
                <w:sz w:val="18"/>
              </w:rPr>
              <w:t>C2+J2+N2</w:t>
              <w:tab/>
            </w:r>
            <w:r>
              <w:rPr>
                <w:sz w:val="18"/>
              </w:rPr>
              <w:t>C1</w:t>
            </w:r>
            <w:r>
              <w:rPr>
                <w:position w:val="6"/>
                <w:sz w:val="12"/>
              </w:rPr>
              <w:t>(1)</w:t>
            </w:r>
            <w:r>
              <w:rPr>
                <w:sz w:val="18"/>
              </w:rPr>
              <w:t>+H1+J</w:t>
            </w:r>
          </w:p>
          <w:p>
            <w:pPr>
              <w:pStyle w:val="TableParagraph"/>
              <w:tabs>
                <w:tab w:pos="1270" w:val="left" w:leader="none"/>
                <w:tab w:pos="3550" w:val="left" w:leader="none"/>
              </w:tabs>
              <w:spacing w:line="157" w:lineRule="exact"/>
              <w:ind w:left="11"/>
              <w:rPr>
                <w:sz w:val="18"/>
              </w:rPr>
            </w:pPr>
            <w:r>
              <w:rPr>
                <w:sz w:val="18"/>
              </w:rPr>
              <w:t>+N1</w:t>
              <w:tab/>
              <w:t>N1</w:t>
              <w:tab/>
              <w:t>2+N2</w:t>
            </w:r>
          </w:p>
        </w:tc>
      </w:tr>
      <w:tr>
        <w:trPr>
          <w:trHeight w:val="567" w:hRule="atLeast"/>
        </w:trPr>
        <w:tc>
          <w:tcPr>
            <w:tcW w:w="290" w:type="dxa"/>
            <w:vMerge/>
            <w:tcBorders>
              <w:top w:val="nil"/>
              <w:left w:val="nil"/>
            </w:tcBorders>
            <w:textDirection w:val="btLr"/>
          </w:tcPr>
          <w:p>
            <w:pPr>
              <w:rPr>
                <w:sz w:val="2"/>
                <w:szCs w:val="2"/>
              </w:rPr>
            </w:pPr>
          </w:p>
        </w:tc>
        <w:tc>
          <w:tcPr>
            <w:tcW w:w="482" w:type="dxa"/>
          </w:tcPr>
          <w:p>
            <w:pPr>
              <w:pStyle w:val="TableParagraph"/>
              <w:spacing w:before="176"/>
              <w:ind w:left="120" w:right="113"/>
              <w:rPr>
                <w:b/>
                <w:sz w:val="18"/>
              </w:rPr>
            </w:pPr>
            <w:r>
              <w:rPr>
                <w:b/>
                <w:sz w:val="18"/>
              </w:rPr>
              <w:t>≤3</w:t>
            </w:r>
          </w:p>
        </w:tc>
        <w:tc>
          <w:tcPr>
            <w:tcW w:w="3992" w:type="dxa"/>
          </w:tcPr>
          <w:p>
            <w:pPr>
              <w:pStyle w:val="TableParagraph"/>
              <w:tabs>
                <w:tab w:pos="2567" w:val="left" w:leader="none"/>
              </w:tabs>
              <w:spacing w:before="177"/>
              <w:ind w:left="408"/>
              <w:jc w:val="left"/>
              <w:rPr>
                <w:sz w:val="18"/>
              </w:rPr>
            </w:pPr>
            <w:r>
              <w:rPr>
                <w:sz w:val="18"/>
              </w:rPr>
              <w:t>R1+B1+C1</w:t>
              <w:tab/>
              <w:t>R1+C2</w:t>
            </w:r>
          </w:p>
        </w:tc>
        <w:tc>
          <w:tcPr>
            <w:tcW w:w="4770" w:type="dxa"/>
            <w:tcBorders>
              <w:right w:val="nil"/>
            </w:tcBorders>
          </w:tcPr>
          <w:p>
            <w:pPr>
              <w:pStyle w:val="TableParagraph"/>
              <w:tabs>
                <w:tab w:pos="1126" w:val="left" w:leader="none"/>
                <w:tab w:pos="1257" w:val="left" w:leader="none"/>
                <w:tab w:pos="2326" w:val="left" w:leader="none"/>
                <w:tab w:pos="3800" w:val="left" w:leader="none"/>
                <w:tab w:pos="3900" w:val="left" w:leader="none"/>
              </w:tabs>
              <w:spacing w:line="163" w:lineRule="auto" w:before="96"/>
              <w:ind w:left="236" w:right="103" w:hanging="68"/>
              <w:jc w:val="left"/>
              <w:rPr>
                <w:sz w:val="18"/>
              </w:rPr>
            </w:pPr>
            <w:r>
              <w:rPr>
                <w:sz w:val="18"/>
              </w:rPr>
              <w:t>B2+C1+</w:t>
              <w:tab/>
              <w:t>B1+C2+H1</w:t>
              <w:tab/>
            </w:r>
            <w:r>
              <w:rPr>
                <w:position w:val="-9"/>
                <w:sz w:val="18"/>
              </w:rPr>
              <w:t>B1+C2+J2+N2</w:t>
              <w:tab/>
              <w:tab/>
            </w:r>
            <w:r>
              <w:rPr>
                <w:sz w:val="18"/>
              </w:rPr>
              <w:t>B1+C1+ J1+N1</w:t>
              <w:tab/>
              <w:tab/>
              <w:t>+J1+N1</w:t>
              <w:tab/>
              <w:tab/>
            </w:r>
            <w:r>
              <w:rPr>
                <w:spacing w:val="-3"/>
                <w:sz w:val="18"/>
              </w:rPr>
              <w:t>H1+J2+N2</w:t>
            </w:r>
          </w:p>
        </w:tc>
      </w:tr>
      <w:tr>
        <w:trPr>
          <w:trHeight w:val="567" w:hRule="atLeast"/>
        </w:trPr>
        <w:tc>
          <w:tcPr>
            <w:tcW w:w="290" w:type="dxa"/>
            <w:vMerge/>
            <w:tcBorders>
              <w:top w:val="nil"/>
              <w:left w:val="nil"/>
            </w:tcBorders>
            <w:textDirection w:val="btLr"/>
          </w:tcPr>
          <w:p>
            <w:pPr>
              <w:rPr>
                <w:sz w:val="2"/>
                <w:szCs w:val="2"/>
              </w:rPr>
            </w:pPr>
          </w:p>
        </w:tc>
        <w:tc>
          <w:tcPr>
            <w:tcW w:w="482" w:type="dxa"/>
          </w:tcPr>
          <w:p>
            <w:pPr>
              <w:pStyle w:val="TableParagraph"/>
              <w:spacing w:before="176"/>
              <w:ind w:left="120" w:right="113"/>
              <w:rPr>
                <w:b/>
                <w:sz w:val="18"/>
              </w:rPr>
            </w:pPr>
            <w:r>
              <w:rPr>
                <w:b/>
                <w:sz w:val="18"/>
              </w:rPr>
              <w:t>≤4</w:t>
            </w:r>
          </w:p>
        </w:tc>
        <w:tc>
          <w:tcPr>
            <w:tcW w:w="3992" w:type="dxa"/>
          </w:tcPr>
          <w:p>
            <w:pPr>
              <w:pStyle w:val="TableParagraph"/>
              <w:tabs>
                <w:tab w:pos="1292" w:val="left" w:leader="none"/>
                <w:tab w:pos="2807" w:val="left" w:leader="none"/>
              </w:tabs>
              <w:spacing w:before="174"/>
              <w:ind w:left="124"/>
              <w:jc w:val="left"/>
              <w:rPr>
                <w:sz w:val="12"/>
              </w:rPr>
            </w:pPr>
            <w:r>
              <w:rPr>
                <w:sz w:val="18"/>
              </w:rPr>
              <w:t>R1+B2+C1</w:t>
              <w:tab/>
              <w:t>R1+B1+C2</w:t>
              <w:tab/>
              <w:t>R2+C1</w:t>
            </w:r>
            <w:r>
              <w:rPr>
                <w:position w:val="6"/>
                <w:sz w:val="12"/>
              </w:rPr>
              <w:t>(1)</w:t>
            </w:r>
          </w:p>
        </w:tc>
        <w:tc>
          <w:tcPr>
            <w:tcW w:w="4770" w:type="dxa"/>
            <w:tcBorders>
              <w:right w:val="nil"/>
            </w:tcBorders>
          </w:tcPr>
          <w:p>
            <w:pPr>
              <w:pStyle w:val="TableParagraph"/>
              <w:tabs>
                <w:tab w:pos="1821" w:val="left" w:leader="none"/>
                <w:tab w:pos="3424" w:val="left" w:leader="none"/>
                <w:tab w:pos="3850" w:val="left" w:leader="none"/>
              </w:tabs>
              <w:spacing w:line="160" w:lineRule="auto" w:before="97"/>
              <w:ind w:left="667" w:right="153" w:hanging="531"/>
              <w:jc w:val="left"/>
              <w:rPr>
                <w:sz w:val="18"/>
              </w:rPr>
            </w:pPr>
            <w:r>
              <w:rPr>
                <w:sz w:val="18"/>
              </w:rPr>
              <w:t>B2+C2+H1+J1+</w:t>
              <w:tab/>
            </w:r>
            <w:r>
              <w:rPr>
                <w:position w:val="-9"/>
                <w:sz w:val="18"/>
              </w:rPr>
              <w:t>B2+C2+J2+N2</w:t>
              <w:tab/>
            </w:r>
            <w:r>
              <w:rPr>
                <w:spacing w:val="-1"/>
                <w:sz w:val="18"/>
              </w:rPr>
              <w:t>B2+C1+H1+J2 </w:t>
            </w:r>
            <w:r>
              <w:rPr>
                <w:sz w:val="18"/>
              </w:rPr>
              <w:t>N1</w:t>
              <w:tab/>
              <w:tab/>
              <w:tab/>
              <w:t>+N2</w:t>
            </w:r>
          </w:p>
        </w:tc>
      </w:tr>
      <w:tr>
        <w:trPr>
          <w:trHeight w:val="567" w:hRule="atLeast"/>
        </w:trPr>
        <w:tc>
          <w:tcPr>
            <w:tcW w:w="290" w:type="dxa"/>
            <w:vMerge/>
            <w:tcBorders>
              <w:top w:val="nil"/>
              <w:left w:val="nil"/>
            </w:tcBorders>
            <w:textDirection w:val="btLr"/>
          </w:tcPr>
          <w:p>
            <w:pPr>
              <w:rPr>
                <w:sz w:val="2"/>
                <w:szCs w:val="2"/>
              </w:rPr>
            </w:pPr>
          </w:p>
        </w:tc>
        <w:tc>
          <w:tcPr>
            <w:tcW w:w="482" w:type="dxa"/>
          </w:tcPr>
          <w:p>
            <w:pPr>
              <w:pStyle w:val="TableParagraph"/>
              <w:spacing w:before="176"/>
              <w:ind w:left="120" w:right="113"/>
              <w:rPr>
                <w:b/>
                <w:sz w:val="18"/>
              </w:rPr>
            </w:pPr>
            <w:r>
              <w:rPr>
                <w:b/>
                <w:sz w:val="18"/>
              </w:rPr>
              <w:t>≤5</w:t>
            </w:r>
          </w:p>
        </w:tc>
        <w:tc>
          <w:tcPr>
            <w:tcW w:w="3992" w:type="dxa"/>
          </w:tcPr>
          <w:p>
            <w:pPr>
              <w:pStyle w:val="TableParagraph"/>
              <w:tabs>
                <w:tab w:pos="1024" w:val="left" w:leader="none"/>
                <w:tab w:pos="1846" w:val="left" w:leader="none"/>
                <w:tab w:pos="2980" w:val="left" w:leader="none"/>
              </w:tabs>
              <w:spacing w:before="177"/>
              <w:ind w:left="155"/>
              <w:jc w:val="left"/>
              <w:rPr>
                <w:sz w:val="18"/>
              </w:rPr>
            </w:pPr>
            <w:r>
              <w:rPr>
                <w:sz w:val="18"/>
              </w:rPr>
              <w:t>R3+C1</w:t>
              <w:tab/>
              <w:t>B3+C1</w:t>
              <w:tab/>
              <w:t>R1+B2+C2</w:t>
              <w:tab/>
              <w:t>R2+B1+C1</w:t>
            </w:r>
          </w:p>
        </w:tc>
        <w:tc>
          <w:tcPr>
            <w:tcW w:w="4770" w:type="dxa"/>
            <w:tcBorders>
              <w:right w:val="nil"/>
            </w:tcBorders>
          </w:tcPr>
          <w:p>
            <w:pPr>
              <w:pStyle w:val="TableParagraph"/>
              <w:spacing w:before="177"/>
              <w:ind w:left="11" w:right="4"/>
              <w:rPr>
                <w:sz w:val="18"/>
              </w:rPr>
            </w:pPr>
            <w:r>
              <w:rPr>
                <w:sz w:val="18"/>
              </w:rPr>
              <w:t>B3+C1</w:t>
            </w:r>
          </w:p>
        </w:tc>
      </w:tr>
    </w:tbl>
    <w:p>
      <w:pPr>
        <w:tabs>
          <w:tab w:pos="4264" w:val="left" w:leader="none"/>
        </w:tabs>
        <w:spacing w:before="0"/>
        <w:ind w:left="3904" w:right="0" w:firstLine="0"/>
        <w:jc w:val="left"/>
        <w:rPr>
          <w:b/>
          <w:sz w:val="16"/>
        </w:rPr>
      </w:pPr>
      <w:r>
        <w:rPr>
          <w:b/>
          <w:sz w:val="16"/>
        </w:rPr>
        <w:t>d.</w:t>
        <w:tab/>
      </w:r>
      <w:r>
        <w:rPr>
          <w:b/>
          <w:position w:val="6"/>
          <w:sz w:val="10"/>
        </w:rPr>
        <w:t>(1) </w:t>
      </w:r>
      <w:r>
        <w:rPr>
          <w:b/>
          <w:sz w:val="16"/>
        </w:rPr>
        <w:t>Cuando la fachada sea de una sóla hoja, debe utilizarse</w:t>
      </w:r>
      <w:r>
        <w:rPr>
          <w:b/>
          <w:spacing w:val="-2"/>
          <w:sz w:val="16"/>
        </w:rPr>
        <w:t> </w:t>
      </w:r>
      <w:r>
        <w:rPr>
          <w:b/>
          <w:sz w:val="16"/>
        </w:rPr>
        <w:t>C2.</w:t>
      </w:r>
    </w:p>
    <w:p>
      <w:pPr>
        <w:pStyle w:val="ListParagraph"/>
        <w:numPr>
          <w:ilvl w:val="0"/>
          <w:numId w:val="27"/>
        </w:numPr>
        <w:tabs>
          <w:tab w:pos="673" w:val="left" w:leader="none"/>
        </w:tabs>
        <w:spacing w:line="240" w:lineRule="auto" w:before="59" w:after="0"/>
        <w:ind w:left="672" w:right="390" w:hanging="454"/>
        <w:jc w:val="both"/>
        <w:rPr>
          <w:sz w:val="20"/>
        </w:rPr>
      </w:pPr>
      <w:r>
        <w:rPr>
          <w:sz w:val="20"/>
        </w:rPr>
        <w:t>A continuación se describen las condiciones agrupadas en bloques homogéneos. En cada bloque el número de la denominación de la condición indica el nivel de prestación de tal forma que un número mayor corresponde a una prestación mejor, por lo que cualquier condición puede sustituir en la tabla a las que tengan el número de denominación más pequeño de su mismo</w:t>
      </w:r>
      <w:r>
        <w:rPr>
          <w:spacing w:val="-20"/>
          <w:sz w:val="20"/>
        </w:rPr>
        <w:t> </w:t>
      </w:r>
      <w:r>
        <w:rPr>
          <w:sz w:val="20"/>
        </w:rPr>
        <w:t>bloque.</w:t>
      </w:r>
    </w:p>
    <w:p>
      <w:pPr>
        <w:pStyle w:val="ListParagraph"/>
        <w:numPr>
          <w:ilvl w:val="1"/>
          <w:numId w:val="24"/>
        </w:numPr>
        <w:tabs>
          <w:tab w:pos="1074" w:val="left" w:leader="none"/>
        </w:tabs>
        <w:spacing w:line="240" w:lineRule="auto" w:before="160" w:after="0"/>
        <w:ind w:left="1073" w:right="0" w:hanging="400"/>
        <w:jc w:val="left"/>
        <w:rPr>
          <w:sz w:val="20"/>
        </w:rPr>
      </w:pPr>
      <w:r>
        <w:rPr>
          <w:sz w:val="20"/>
        </w:rPr>
        <w:t>Resistencia a la filtración del </w:t>
      </w:r>
      <w:r>
        <w:rPr>
          <w:i/>
          <w:sz w:val="20"/>
        </w:rPr>
        <w:t>revestimiento</w:t>
      </w:r>
      <w:r>
        <w:rPr>
          <w:i/>
          <w:spacing w:val="-7"/>
          <w:sz w:val="20"/>
        </w:rPr>
        <w:t> </w:t>
      </w:r>
      <w:r>
        <w:rPr>
          <w:i/>
          <w:sz w:val="20"/>
        </w:rPr>
        <w:t>exterior</w:t>
      </w:r>
      <w:r>
        <w:rPr>
          <w:sz w:val="20"/>
        </w:rPr>
        <w:t>:</w:t>
      </w:r>
    </w:p>
    <w:p>
      <w:pPr>
        <w:pStyle w:val="BodyText"/>
        <w:tabs>
          <w:tab w:pos="1578" w:val="left" w:leader="none"/>
        </w:tabs>
        <w:spacing w:before="60"/>
        <w:ind w:left="1579" w:right="418" w:hanging="506"/>
      </w:pPr>
      <w:r>
        <w:rPr/>
        <w:t>R1</w:t>
        <w:tab/>
        <w:t>El </w:t>
      </w:r>
      <w:r>
        <w:rPr>
          <w:i/>
        </w:rPr>
        <w:t>revestimiento exterior </w:t>
      </w:r>
      <w:r>
        <w:rPr/>
        <w:t>debe tener al menos una resistencia media a la filtración. Se considera que proporcionan esta resistencia los</w:t>
      </w:r>
      <w:r>
        <w:rPr>
          <w:spacing w:val="-3"/>
        </w:rPr>
        <w:t> </w:t>
      </w:r>
      <w:r>
        <w:rPr/>
        <w:t>siguientes:</w:t>
      </w:r>
    </w:p>
    <w:p>
      <w:pPr>
        <w:pStyle w:val="ListParagraph"/>
        <w:numPr>
          <w:ilvl w:val="2"/>
          <w:numId w:val="24"/>
        </w:numPr>
        <w:tabs>
          <w:tab w:pos="2032" w:val="left" w:leader="none"/>
          <w:tab w:pos="2033" w:val="left" w:leader="none"/>
        </w:tabs>
        <w:spacing w:line="240" w:lineRule="auto" w:before="120" w:after="0"/>
        <w:ind w:left="2032" w:right="0" w:hanging="454"/>
        <w:jc w:val="left"/>
        <w:rPr>
          <w:sz w:val="20"/>
        </w:rPr>
      </w:pPr>
      <w:r>
        <w:rPr>
          <w:i/>
          <w:sz w:val="20"/>
        </w:rPr>
        <w:t>revestimientos continuos </w:t>
      </w:r>
      <w:r>
        <w:rPr>
          <w:sz w:val="20"/>
        </w:rPr>
        <w:t>de las siguientes</w:t>
      </w:r>
      <w:r>
        <w:rPr>
          <w:spacing w:val="-2"/>
          <w:sz w:val="20"/>
        </w:rPr>
        <w:t> </w:t>
      </w:r>
      <w:r>
        <w:rPr>
          <w:sz w:val="20"/>
        </w:rPr>
        <w:t>características:</w:t>
      </w:r>
    </w:p>
    <w:p>
      <w:pPr>
        <w:spacing w:after="0" w:line="240" w:lineRule="auto"/>
        <w:jc w:val="left"/>
        <w:rPr>
          <w:sz w:val="20"/>
        </w:rPr>
        <w:sectPr>
          <w:pgSz w:w="11910" w:h="16840"/>
          <w:pgMar w:header="724" w:footer="636" w:top="1320" w:bottom="840" w:left="1200" w:right="738"/>
        </w:sectPr>
      </w:pPr>
    </w:p>
    <w:p>
      <w:pPr>
        <w:pStyle w:val="ListParagraph"/>
        <w:numPr>
          <w:ilvl w:val="3"/>
          <w:numId w:val="24"/>
        </w:numPr>
        <w:tabs>
          <w:tab w:pos="2488" w:val="left" w:leader="none"/>
        </w:tabs>
        <w:spacing w:line="240" w:lineRule="auto" w:before="89" w:after="0"/>
        <w:ind w:left="2486" w:right="389" w:hanging="454"/>
        <w:jc w:val="both"/>
        <w:rPr>
          <w:sz w:val="20"/>
        </w:rPr>
      </w:pPr>
      <w:r>
        <w:rPr>
          <w:sz w:val="20"/>
        </w:rPr>
        <w:t>espesor comprendido entre 10 y 15 mm, salvo los acabados con una capa plástica</w:t>
      </w:r>
      <w:r>
        <w:rPr>
          <w:spacing w:val="-1"/>
          <w:sz w:val="20"/>
        </w:rPr>
        <w:t> </w:t>
      </w:r>
      <w:r>
        <w:rPr>
          <w:sz w:val="20"/>
        </w:rPr>
        <w:t>delgada;</w:t>
      </w:r>
    </w:p>
    <w:p>
      <w:pPr>
        <w:pStyle w:val="ListParagraph"/>
        <w:numPr>
          <w:ilvl w:val="3"/>
          <w:numId w:val="24"/>
        </w:numPr>
        <w:tabs>
          <w:tab w:pos="2486" w:val="left" w:leader="none"/>
          <w:tab w:pos="2487" w:val="left" w:leader="none"/>
        </w:tabs>
        <w:spacing w:line="240" w:lineRule="auto" w:before="120" w:after="0"/>
        <w:ind w:left="2486" w:right="0" w:hanging="455"/>
        <w:jc w:val="left"/>
        <w:rPr>
          <w:sz w:val="20"/>
        </w:rPr>
      </w:pPr>
      <w:r>
        <w:rPr>
          <w:sz w:val="20"/>
        </w:rPr>
        <w:t>adherencia al soporte suficiente para garantizar su</w:t>
      </w:r>
      <w:r>
        <w:rPr>
          <w:spacing w:val="-12"/>
          <w:sz w:val="20"/>
        </w:rPr>
        <w:t> </w:t>
      </w:r>
      <w:r>
        <w:rPr>
          <w:sz w:val="20"/>
        </w:rPr>
        <w:t>estabilidad;</w:t>
      </w:r>
    </w:p>
    <w:p>
      <w:pPr>
        <w:pStyle w:val="ListParagraph"/>
        <w:numPr>
          <w:ilvl w:val="3"/>
          <w:numId w:val="24"/>
        </w:numPr>
        <w:tabs>
          <w:tab w:pos="2487" w:val="left" w:leader="none"/>
        </w:tabs>
        <w:spacing w:line="240" w:lineRule="auto" w:before="121" w:after="0"/>
        <w:ind w:left="2486" w:right="392" w:hanging="454"/>
        <w:jc w:val="both"/>
        <w:rPr>
          <w:sz w:val="20"/>
        </w:rPr>
      </w:pPr>
      <w:r>
        <w:rPr>
          <w:i/>
          <w:sz w:val="20"/>
        </w:rPr>
        <w:t>permeabilidad al vapor </w:t>
      </w:r>
      <w:r>
        <w:rPr>
          <w:sz w:val="20"/>
        </w:rPr>
        <w:t>suficiente para evitar su deterioro como consecuencia de una acumulación de vapor entre él y la </w:t>
      </w:r>
      <w:r>
        <w:rPr>
          <w:i/>
          <w:sz w:val="20"/>
        </w:rPr>
        <w:t>hoja</w:t>
      </w:r>
      <w:r>
        <w:rPr>
          <w:i/>
          <w:spacing w:val="-6"/>
          <w:sz w:val="20"/>
        </w:rPr>
        <w:t> </w:t>
      </w:r>
      <w:r>
        <w:rPr>
          <w:i/>
          <w:sz w:val="20"/>
        </w:rPr>
        <w:t>principal</w:t>
      </w:r>
      <w:r>
        <w:rPr>
          <w:sz w:val="20"/>
        </w:rPr>
        <w:t>;</w:t>
      </w:r>
    </w:p>
    <w:p>
      <w:pPr>
        <w:pStyle w:val="ListParagraph"/>
        <w:numPr>
          <w:ilvl w:val="3"/>
          <w:numId w:val="24"/>
        </w:numPr>
        <w:tabs>
          <w:tab w:pos="2488" w:val="left" w:leader="none"/>
        </w:tabs>
        <w:spacing w:line="240" w:lineRule="auto" w:before="119" w:after="0"/>
        <w:ind w:left="2486" w:right="390" w:hanging="454"/>
        <w:jc w:val="both"/>
        <w:rPr>
          <w:sz w:val="20"/>
        </w:rPr>
      </w:pPr>
      <w:r>
        <w:rPr>
          <w:sz w:val="20"/>
        </w:rPr>
        <w:t>adaptación a los movimientos del soporte y comportamiento aceptable frente a la</w:t>
      </w:r>
      <w:r>
        <w:rPr>
          <w:spacing w:val="-2"/>
          <w:sz w:val="20"/>
        </w:rPr>
        <w:t> </w:t>
      </w:r>
      <w:r>
        <w:rPr>
          <w:sz w:val="20"/>
        </w:rPr>
        <w:t>fisuración;</w:t>
      </w:r>
    </w:p>
    <w:p>
      <w:pPr>
        <w:pStyle w:val="ListParagraph"/>
        <w:numPr>
          <w:ilvl w:val="3"/>
          <w:numId w:val="24"/>
        </w:numPr>
        <w:tabs>
          <w:tab w:pos="2488" w:val="left" w:leader="none"/>
        </w:tabs>
        <w:spacing w:line="240" w:lineRule="auto" w:before="120" w:after="0"/>
        <w:ind w:left="2486" w:right="390" w:hanging="454"/>
        <w:jc w:val="both"/>
        <w:rPr>
          <w:sz w:val="20"/>
        </w:rPr>
      </w:pPr>
      <w:r>
        <w:rPr>
          <w:sz w:val="20"/>
        </w:rPr>
        <w:t>cuando se dispone en fachadas con el aislante por el exterior de la </w:t>
      </w:r>
      <w:r>
        <w:rPr>
          <w:i/>
          <w:sz w:val="20"/>
        </w:rPr>
        <w:t>hoja princi- </w:t>
      </w:r>
      <w:r>
        <w:rPr>
          <w:i/>
          <w:sz w:val="20"/>
        </w:rPr>
        <w:t>pal</w:t>
      </w:r>
      <w:r>
        <w:rPr>
          <w:sz w:val="20"/>
        </w:rPr>
        <w:t>, compatibilidad química con el aislante y disposición de una armadura cons- tituida por una malla de fibra de vidrio o de</w:t>
      </w:r>
      <w:r>
        <w:rPr>
          <w:spacing w:val="-13"/>
          <w:sz w:val="20"/>
        </w:rPr>
        <w:t> </w:t>
      </w:r>
      <w:r>
        <w:rPr>
          <w:sz w:val="20"/>
        </w:rPr>
        <w:t>poliéster.</w:t>
      </w:r>
    </w:p>
    <w:p>
      <w:pPr>
        <w:pStyle w:val="ListParagraph"/>
        <w:numPr>
          <w:ilvl w:val="2"/>
          <w:numId w:val="24"/>
        </w:numPr>
        <w:tabs>
          <w:tab w:pos="2032" w:val="left" w:leader="none"/>
          <w:tab w:pos="2033" w:val="left" w:leader="none"/>
        </w:tabs>
        <w:spacing w:line="240" w:lineRule="auto" w:before="120" w:after="0"/>
        <w:ind w:left="2032" w:right="0" w:hanging="454"/>
        <w:jc w:val="left"/>
        <w:rPr>
          <w:sz w:val="20"/>
        </w:rPr>
      </w:pPr>
      <w:r>
        <w:rPr>
          <w:i/>
          <w:sz w:val="20"/>
        </w:rPr>
        <w:t>revestimientos discontinuos </w:t>
      </w:r>
      <w:r>
        <w:rPr>
          <w:sz w:val="20"/>
        </w:rPr>
        <w:t>rígidos pegados de las siguientes</w:t>
      </w:r>
      <w:r>
        <w:rPr>
          <w:spacing w:val="-9"/>
          <w:sz w:val="20"/>
        </w:rPr>
        <w:t> </w:t>
      </w:r>
      <w:r>
        <w:rPr>
          <w:sz w:val="20"/>
        </w:rPr>
        <w:t>características:</w:t>
      </w:r>
    </w:p>
    <w:p>
      <w:pPr>
        <w:pStyle w:val="ListParagraph"/>
        <w:numPr>
          <w:ilvl w:val="3"/>
          <w:numId w:val="24"/>
        </w:numPr>
        <w:tabs>
          <w:tab w:pos="2486" w:val="left" w:leader="none"/>
          <w:tab w:pos="2487" w:val="left" w:leader="none"/>
        </w:tabs>
        <w:spacing w:line="240" w:lineRule="auto" w:before="120" w:after="0"/>
        <w:ind w:left="2486" w:right="0" w:hanging="455"/>
        <w:jc w:val="left"/>
        <w:rPr>
          <w:sz w:val="20"/>
        </w:rPr>
      </w:pPr>
      <w:r>
        <w:rPr>
          <w:sz w:val="20"/>
        </w:rPr>
        <w:t>de piezas menores de 300 mm de</w:t>
      </w:r>
      <w:r>
        <w:rPr>
          <w:spacing w:val="-7"/>
          <w:sz w:val="20"/>
        </w:rPr>
        <w:t> </w:t>
      </w:r>
      <w:r>
        <w:rPr>
          <w:sz w:val="20"/>
        </w:rPr>
        <w:t>lado;</w:t>
      </w:r>
    </w:p>
    <w:p>
      <w:pPr>
        <w:pStyle w:val="ListParagraph"/>
        <w:numPr>
          <w:ilvl w:val="3"/>
          <w:numId w:val="24"/>
        </w:numPr>
        <w:tabs>
          <w:tab w:pos="2486" w:val="left" w:leader="none"/>
          <w:tab w:pos="2487" w:val="left" w:leader="none"/>
        </w:tabs>
        <w:spacing w:line="240" w:lineRule="auto" w:before="119" w:after="0"/>
        <w:ind w:left="2486" w:right="0" w:hanging="455"/>
        <w:jc w:val="left"/>
        <w:rPr>
          <w:sz w:val="20"/>
        </w:rPr>
      </w:pPr>
      <w:r>
        <w:rPr>
          <w:sz w:val="20"/>
        </w:rPr>
        <w:t>fijación al soporte suficiente para garantizar su</w:t>
      </w:r>
      <w:r>
        <w:rPr>
          <w:spacing w:val="-8"/>
          <w:sz w:val="20"/>
        </w:rPr>
        <w:t> </w:t>
      </w:r>
      <w:r>
        <w:rPr>
          <w:sz w:val="20"/>
        </w:rPr>
        <w:t>estabilidad;</w:t>
      </w:r>
    </w:p>
    <w:p>
      <w:pPr>
        <w:pStyle w:val="ListParagraph"/>
        <w:numPr>
          <w:ilvl w:val="3"/>
          <w:numId w:val="24"/>
        </w:numPr>
        <w:tabs>
          <w:tab w:pos="2486" w:val="left" w:leader="none"/>
          <w:tab w:pos="2487" w:val="left" w:leader="none"/>
        </w:tabs>
        <w:spacing w:line="240" w:lineRule="auto" w:before="121" w:after="0"/>
        <w:ind w:left="2486" w:right="0" w:hanging="455"/>
        <w:jc w:val="left"/>
        <w:rPr>
          <w:sz w:val="20"/>
        </w:rPr>
      </w:pPr>
      <w:r>
        <w:rPr>
          <w:sz w:val="20"/>
        </w:rPr>
        <w:t>disposición en la cara exterior de la </w:t>
      </w:r>
      <w:r>
        <w:rPr>
          <w:i/>
          <w:sz w:val="20"/>
        </w:rPr>
        <w:t>hoja principal </w:t>
      </w:r>
      <w:r>
        <w:rPr>
          <w:sz w:val="20"/>
        </w:rPr>
        <w:t>de un enfoscado de</w:t>
      </w:r>
      <w:r>
        <w:rPr>
          <w:spacing w:val="-26"/>
          <w:sz w:val="20"/>
        </w:rPr>
        <w:t> </w:t>
      </w:r>
      <w:r>
        <w:rPr>
          <w:sz w:val="20"/>
        </w:rPr>
        <w:t>mortero;</w:t>
      </w:r>
    </w:p>
    <w:p>
      <w:pPr>
        <w:pStyle w:val="ListParagraph"/>
        <w:numPr>
          <w:ilvl w:val="3"/>
          <w:numId w:val="24"/>
        </w:numPr>
        <w:tabs>
          <w:tab w:pos="2486" w:val="left" w:leader="none"/>
          <w:tab w:pos="2487" w:val="left" w:leader="none"/>
        </w:tabs>
        <w:spacing w:line="240" w:lineRule="auto" w:before="120" w:after="0"/>
        <w:ind w:left="2486" w:right="0" w:hanging="455"/>
        <w:jc w:val="left"/>
        <w:rPr>
          <w:sz w:val="20"/>
        </w:rPr>
      </w:pPr>
      <w:r>
        <w:rPr>
          <w:sz w:val="20"/>
        </w:rPr>
        <w:t>adaptación a los movimientos del</w:t>
      </w:r>
      <w:r>
        <w:rPr>
          <w:spacing w:val="-7"/>
          <w:sz w:val="20"/>
        </w:rPr>
        <w:t> </w:t>
      </w:r>
      <w:r>
        <w:rPr>
          <w:sz w:val="20"/>
        </w:rPr>
        <w:t>soporte.</w:t>
      </w:r>
    </w:p>
    <w:p>
      <w:pPr>
        <w:pStyle w:val="BodyText"/>
        <w:spacing w:before="120"/>
        <w:ind w:left="1579" w:right="390" w:hanging="506"/>
        <w:jc w:val="both"/>
      </w:pPr>
      <w:r>
        <w:rPr/>
        <w:t>R2 El </w:t>
      </w:r>
      <w:r>
        <w:rPr>
          <w:i/>
        </w:rPr>
        <w:t>revestimiento exterior </w:t>
      </w:r>
      <w:r>
        <w:rPr/>
        <w:t>debe tener al menos una resistencia alta a la filtración. Se consi- dera que proporcionan esta resistencia los </w:t>
      </w:r>
      <w:r>
        <w:rPr>
          <w:i/>
        </w:rPr>
        <w:t>revestimientos discontinuos </w:t>
      </w:r>
      <w:r>
        <w:rPr/>
        <w:t>rígidos fijados mecánicamente dispuestos de tal manera que tengan las mismas características estable- cidas para los discontinuos de R1, salvo la del tamaño de las piezas.</w:t>
      </w:r>
    </w:p>
    <w:p>
      <w:pPr>
        <w:pStyle w:val="BodyText"/>
        <w:spacing w:before="120"/>
        <w:ind w:left="1579" w:right="390" w:hanging="506"/>
        <w:jc w:val="both"/>
      </w:pPr>
      <w:r>
        <w:rPr/>
        <w:t>R3 El </w:t>
      </w:r>
      <w:r>
        <w:rPr>
          <w:i/>
        </w:rPr>
        <w:t>revestimiento exterior </w:t>
      </w:r>
      <w:r>
        <w:rPr/>
        <w:t>debe tener una resistencia muy alta a la filtración. Se considera que proporcionan esta resistencia los</w:t>
      </w:r>
      <w:r>
        <w:rPr>
          <w:spacing w:val="-6"/>
        </w:rPr>
        <w:t> </w:t>
      </w:r>
      <w:r>
        <w:rPr/>
        <w:t>siguientes:</w:t>
      </w:r>
    </w:p>
    <w:p>
      <w:pPr>
        <w:pStyle w:val="ListParagraph"/>
        <w:numPr>
          <w:ilvl w:val="2"/>
          <w:numId w:val="24"/>
        </w:numPr>
        <w:tabs>
          <w:tab w:pos="2032" w:val="left" w:leader="none"/>
          <w:tab w:pos="2033" w:val="left" w:leader="none"/>
        </w:tabs>
        <w:spacing w:line="240" w:lineRule="auto" w:before="120" w:after="0"/>
        <w:ind w:left="2032" w:right="0" w:hanging="454"/>
        <w:jc w:val="left"/>
        <w:rPr>
          <w:sz w:val="20"/>
        </w:rPr>
      </w:pPr>
      <w:r>
        <w:rPr>
          <w:i/>
          <w:sz w:val="20"/>
        </w:rPr>
        <w:t>revestimientos continuos </w:t>
      </w:r>
      <w:r>
        <w:rPr>
          <w:sz w:val="20"/>
        </w:rPr>
        <w:t>de las siguientes</w:t>
      </w:r>
      <w:r>
        <w:rPr>
          <w:spacing w:val="-2"/>
          <w:sz w:val="20"/>
        </w:rPr>
        <w:t> </w:t>
      </w:r>
      <w:r>
        <w:rPr>
          <w:sz w:val="20"/>
        </w:rPr>
        <w:t>características:</w:t>
      </w:r>
    </w:p>
    <w:p>
      <w:pPr>
        <w:pStyle w:val="ListParagraph"/>
        <w:numPr>
          <w:ilvl w:val="3"/>
          <w:numId w:val="24"/>
        </w:numPr>
        <w:tabs>
          <w:tab w:pos="2488" w:val="left" w:leader="none"/>
        </w:tabs>
        <w:spacing w:line="240" w:lineRule="auto" w:before="120" w:after="0"/>
        <w:ind w:left="2486" w:right="390" w:hanging="454"/>
        <w:jc w:val="both"/>
        <w:rPr>
          <w:sz w:val="20"/>
        </w:rPr>
      </w:pPr>
      <w:r>
        <w:rPr>
          <w:sz w:val="20"/>
        </w:rPr>
        <w:t>estanquidad al agua suficiente para que el agua de filtración no entre en con- tacto con la hoja del cerramiento dispuesta inmediatamente por el interior del mismo;</w:t>
      </w:r>
    </w:p>
    <w:p>
      <w:pPr>
        <w:pStyle w:val="ListParagraph"/>
        <w:numPr>
          <w:ilvl w:val="3"/>
          <w:numId w:val="24"/>
        </w:numPr>
        <w:tabs>
          <w:tab w:pos="2486" w:val="left" w:leader="none"/>
          <w:tab w:pos="2487" w:val="left" w:leader="none"/>
        </w:tabs>
        <w:spacing w:line="240" w:lineRule="auto" w:before="120" w:after="0"/>
        <w:ind w:left="2486" w:right="0" w:hanging="455"/>
        <w:jc w:val="left"/>
        <w:rPr>
          <w:sz w:val="20"/>
        </w:rPr>
      </w:pPr>
      <w:r>
        <w:rPr>
          <w:sz w:val="20"/>
        </w:rPr>
        <w:t>adherencia al soporte suficiente para garantizar su</w:t>
      </w:r>
      <w:r>
        <w:rPr>
          <w:spacing w:val="-12"/>
          <w:sz w:val="20"/>
        </w:rPr>
        <w:t> </w:t>
      </w:r>
      <w:r>
        <w:rPr>
          <w:sz w:val="20"/>
        </w:rPr>
        <w:t>estabilidad;</w:t>
      </w:r>
    </w:p>
    <w:p>
      <w:pPr>
        <w:pStyle w:val="ListParagraph"/>
        <w:numPr>
          <w:ilvl w:val="3"/>
          <w:numId w:val="24"/>
        </w:numPr>
        <w:tabs>
          <w:tab w:pos="2487" w:val="left" w:leader="none"/>
        </w:tabs>
        <w:spacing w:line="240" w:lineRule="auto" w:before="121" w:after="0"/>
        <w:ind w:left="2486" w:right="392" w:hanging="454"/>
        <w:jc w:val="both"/>
        <w:rPr>
          <w:sz w:val="20"/>
        </w:rPr>
      </w:pPr>
      <w:r>
        <w:rPr>
          <w:i/>
          <w:sz w:val="20"/>
        </w:rPr>
        <w:t>permeabilidad al vapor </w:t>
      </w:r>
      <w:r>
        <w:rPr>
          <w:sz w:val="20"/>
        </w:rPr>
        <w:t>suficiente para evitar su deterioro como consecuencia de una acumulación de vapor entre él y la </w:t>
      </w:r>
      <w:r>
        <w:rPr>
          <w:i/>
          <w:sz w:val="20"/>
        </w:rPr>
        <w:t>hoja</w:t>
      </w:r>
      <w:r>
        <w:rPr>
          <w:i/>
          <w:spacing w:val="-6"/>
          <w:sz w:val="20"/>
        </w:rPr>
        <w:t> </w:t>
      </w:r>
      <w:r>
        <w:rPr>
          <w:i/>
          <w:sz w:val="20"/>
        </w:rPr>
        <w:t>principal</w:t>
      </w:r>
      <w:r>
        <w:rPr>
          <w:sz w:val="20"/>
        </w:rPr>
        <w:t>;</w:t>
      </w:r>
    </w:p>
    <w:p>
      <w:pPr>
        <w:pStyle w:val="ListParagraph"/>
        <w:numPr>
          <w:ilvl w:val="3"/>
          <w:numId w:val="24"/>
        </w:numPr>
        <w:tabs>
          <w:tab w:pos="2487" w:val="left" w:leader="none"/>
        </w:tabs>
        <w:spacing w:line="240" w:lineRule="auto" w:before="119" w:after="0"/>
        <w:ind w:left="2486" w:right="391" w:hanging="454"/>
        <w:jc w:val="both"/>
        <w:rPr>
          <w:sz w:val="20"/>
        </w:rPr>
      </w:pPr>
      <w:r>
        <w:rPr>
          <w:sz w:val="20"/>
        </w:rPr>
        <w:t>adaptación a los movimientos del soporte y comportamiento muy bueno frente a la fisuración, de forma que no se fisure debido a los esfuerzos mecánicos producidos por el movimiento de la estructura, por los esfuerzos térmicos relacionados con el clima y con la alternancia día-noche, ni por la retracción propia del material constituyente del</w:t>
      </w:r>
      <w:r>
        <w:rPr>
          <w:spacing w:val="-7"/>
          <w:sz w:val="20"/>
        </w:rPr>
        <w:t> </w:t>
      </w:r>
      <w:r>
        <w:rPr>
          <w:sz w:val="20"/>
        </w:rPr>
        <w:t>mismo;</w:t>
      </w:r>
    </w:p>
    <w:p>
      <w:pPr>
        <w:pStyle w:val="ListParagraph"/>
        <w:numPr>
          <w:ilvl w:val="3"/>
          <w:numId w:val="24"/>
        </w:numPr>
        <w:tabs>
          <w:tab w:pos="2487" w:val="left" w:leader="none"/>
        </w:tabs>
        <w:spacing w:line="240" w:lineRule="auto" w:before="120" w:after="0"/>
        <w:ind w:left="2486" w:right="391" w:hanging="454"/>
        <w:jc w:val="both"/>
        <w:rPr>
          <w:sz w:val="20"/>
        </w:rPr>
      </w:pPr>
      <w:r>
        <w:rPr>
          <w:sz w:val="20"/>
        </w:rPr>
        <w:t>estabilidad frente a los ataques físicos, químicos y biológicos que evite la degradación de su</w:t>
      </w:r>
      <w:r>
        <w:rPr>
          <w:spacing w:val="-1"/>
          <w:sz w:val="20"/>
        </w:rPr>
        <w:t> </w:t>
      </w:r>
      <w:r>
        <w:rPr>
          <w:sz w:val="20"/>
        </w:rPr>
        <w:t>masa.</w:t>
      </w:r>
    </w:p>
    <w:p>
      <w:pPr>
        <w:pStyle w:val="ListParagraph"/>
        <w:numPr>
          <w:ilvl w:val="2"/>
          <w:numId w:val="24"/>
        </w:numPr>
        <w:tabs>
          <w:tab w:pos="2033" w:val="left" w:leader="none"/>
        </w:tabs>
        <w:spacing w:line="240" w:lineRule="auto" w:before="120" w:after="0"/>
        <w:ind w:left="2032" w:right="391" w:hanging="454"/>
        <w:jc w:val="both"/>
        <w:rPr>
          <w:sz w:val="20"/>
        </w:rPr>
      </w:pPr>
      <w:r>
        <w:rPr>
          <w:i/>
          <w:sz w:val="20"/>
        </w:rPr>
        <w:t>revestimientos discontinuos </w:t>
      </w:r>
      <w:r>
        <w:rPr>
          <w:sz w:val="20"/>
        </w:rPr>
        <w:t>fijados mecánicamente de alguno de los siguientes elementos dispuestos de tal manera que tengan las mismas características establecidas para los discontinuos de R1, salvo la del tamaño de las</w:t>
      </w:r>
      <w:r>
        <w:rPr>
          <w:spacing w:val="-13"/>
          <w:sz w:val="20"/>
        </w:rPr>
        <w:t> </w:t>
      </w:r>
      <w:r>
        <w:rPr>
          <w:sz w:val="20"/>
        </w:rPr>
        <w:t>piezas:</w:t>
      </w:r>
    </w:p>
    <w:p>
      <w:pPr>
        <w:pStyle w:val="ListParagraph"/>
        <w:numPr>
          <w:ilvl w:val="3"/>
          <w:numId w:val="24"/>
        </w:numPr>
        <w:tabs>
          <w:tab w:pos="2487" w:val="left" w:leader="none"/>
        </w:tabs>
        <w:spacing w:line="240" w:lineRule="auto" w:before="120" w:after="0"/>
        <w:ind w:left="2486" w:right="392" w:hanging="454"/>
        <w:jc w:val="both"/>
        <w:rPr>
          <w:sz w:val="20"/>
        </w:rPr>
      </w:pPr>
      <w:r>
        <w:rPr>
          <w:sz w:val="20"/>
        </w:rPr>
        <w:t>escamas: elementos manufacturados de pequeñas dimensiones (pizarra, pie- zas de fibrocemento, madera, productos de</w:t>
      </w:r>
      <w:r>
        <w:rPr>
          <w:spacing w:val="-4"/>
          <w:sz w:val="20"/>
        </w:rPr>
        <w:t> </w:t>
      </w:r>
      <w:r>
        <w:rPr>
          <w:sz w:val="20"/>
        </w:rPr>
        <w:t>barro);</w:t>
      </w:r>
    </w:p>
    <w:p>
      <w:pPr>
        <w:pStyle w:val="ListParagraph"/>
        <w:numPr>
          <w:ilvl w:val="3"/>
          <w:numId w:val="24"/>
        </w:numPr>
        <w:tabs>
          <w:tab w:pos="2487" w:val="left" w:leader="none"/>
        </w:tabs>
        <w:spacing w:line="240" w:lineRule="auto" w:before="120" w:after="0"/>
        <w:ind w:left="2486" w:right="392" w:hanging="454"/>
        <w:jc w:val="both"/>
        <w:rPr>
          <w:sz w:val="20"/>
        </w:rPr>
      </w:pPr>
      <w:r>
        <w:rPr>
          <w:sz w:val="20"/>
        </w:rPr>
        <w:t>lamas: elementos que tienen una dimensión pequeña y la otra grande (lamas de madera,</w:t>
      </w:r>
      <w:r>
        <w:rPr>
          <w:spacing w:val="-3"/>
          <w:sz w:val="20"/>
        </w:rPr>
        <w:t> </w:t>
      </w:r>
      <w:r>
        <w:rPr>
          <w:sz w:val="20"/>
        </w:rPr>
        <w:t>metal);</w:t>
      </w:r>
    </w:p>
    <w:p>
      <w:pPr>
        <w:pStyle w:val="ListParagraph"/>
        <w:numPr>
          <w:ilvl w:val="3"/>
          <w:numId w:val="24"/>
        </w:numPr>
        <w:tabs>
          <w:tab w:pos="2486" w:val="left" w:leader="none"/>
          <w:tab w:pos="2487" w:val="left" w:leader="none"/>
        </w:tabs>
        <w:spacing w:line="240" w:lineRule="auto" w:before="120" w:after="0"/>
        <w:ind w:left="2486" w:right="0" w:hanging="455"/>
        <w:jc w:val="left"/>
        <w:rPr>
          <w:sz w:val="20"/>
        </w:rPr>
      </w:pPr>
      <w:r>
        <w:rPr>
          <w:sz w:val="20"/>
        </w:rPr>
        <w:t>placas: elementos de grandes dimensiones (fibrocemento,</w:t>
      </w:r>
      <w:r>
        <w:rPr>
          <w:spacing w:val="-10"/>
          <w:sz w:val="20"/>
        </w:rPr>
        <w:t> </w:t>
      </w:r>
      <w:r>
        <w:rPr>
          <w:sz w:val="20"/>
        </w:rPr>
        <w:t>metal);</w:t>
      </w:r>
    </w:p>
    <w:p>
      <w:pPr>
        <w:pStyle w:val="ListParagraph"/>
        <w:numPr>
          <w:ilvl w:val="3"/>
          <w:numId w:val="24"/>
        </w:numPr>
        <w:tabs>
          <w:tab w:pos="2488" w:val="left" w:leader="none"/>
        </w:tabs>
        <w:spacing w:line="240" w:lineRule="auto" w:before="120" w:after="0"/>
        <w:ind w:left="2486" w:right="392" w:hanging="454"/>
        <w:jc w:val="both"/>
        <w:rPr>
          <w:sz w:val="20"/>
        </w:rPr>
      </w:pPr>
      <w:r>
        <w:rPr>
          <w:sz w:val="20"/>
        </w:rPr>
        <w:t>sistemas derivados: sistemas formados por cualquiera de los elementos dis- continuos anteriores y un aislamiento</w:t>
      </w:r>
      <w:r>
        <w:rPr>
          <w:spacing w:val="-2"/>
          <w:sz w:val="20"/>
        </w:rPr>
        <w:t> </w:t>
      </w:r>
      <w:r>
        <w:rPr>
          <w:sz w:val="20"/>
        </w:rPr>
        <w:t>térmico.</w:t>
      </w:r>
    </w:p>
    <w:p>
      <w:pPr>
        <w:pStyle w:val="ListParagraph"/>
        <w:numPr>
          <w:ilvl w:val="0"/>
          <w:numId w:val="28"/>
        </w:numPr>
        <w:tabs>
          <w:tab w:pos="1071" w:val="left" w:leader="none"/>
        </w:tabs>
        <w:spacing w:line="240" w:lineRule="auto" w:before="120" w:after="0"/>
        <w:ind w:left="1070" w:right="0" w:hanging="400"/>
        <w:jc w:val="left"/>
        <w:rPr>
          <w:sz w:val="20"/>
        </w:rPr>
      </w:pPr>
      <w:r>
        <w:rPr>
          <w:sz w:val="20"/>
        </w:rPr>
        <w:t>Resistencia a la filtración de la barrera contra la penetración de</w:t>
      </w:r>
      <w:r>
        <w:rPr>
          <w:spacing w:val="-13"/>
          <w:sz w:val="20"/>
        </w:rPr>
        <w:t> </w:t>
      </w:r>
      <w:r>
        <w:rPr>
          <w:sz w:val="20"/>
        </w:rPr>
        <w:t>agua:</w:t>
      </w:r>
    </w:p>
    <w:p>
      <w:pPr>
        <w:pStyle w:val="BodyText"/>
        <w:spacing w:before="121"/>
        <w:ind w:left="1579" w:right="391" w:hanging="506"/>
        <w:jc w:val="both"/>
      </w:pPr>
      <w:r>
        <w:rPr/>
        <w:t>B1 Debe disponerse al menos una barrera de resistencia media a la filtración. Se consideran como tal los siguientes elementos:</w:t>
      </w:r>
    </w:p>
    <w:p>
      <w:pPr>
        <w:spacing w:after="0"/>
        <w:jc w:val="both"/>
        <w:sectPr>
          <w:pgSz w:w="11910" w:h="16840"/>
          <w:pgMar w:header="724" w:footer="636" w:top="1320" w:bottom="840" w:left="1200" w:right="738"/>
        </w:sectPr>
      </w:pPr>
    </w:p>
    <w:p>
      <w:pPr>
        <w:pStyle w:val="ListParagraph"/>
        <w:numPr>
          <w:ilvl w:val="1"/>
          <w:numId w:val="28"/>
        </w:numPr>
        <w:tabs>
          <w:tab w:pos="2032" w:val="left" w:leader="none"/>
          <w:tab w:pos="2033" w:val="left" w:leader="none"/>
        </w:tabs>
        <w:spacing w:line="240" w:lineRule="auto" w:before="89" w:after="0"/>
        <w:ind w:left="2032" w:right="0" w:hanging="454"/>
        <w:jc w:val="left"/>
        <w:rPr>
          <w:sz w:val="20"/>
        </w:rPr>
      </w:pPr>
      <w:r>
        <w:rPr>
          <w:sz w:val="20"/>
        </w:rPr>
        <w:t>cámara de aire sin</w:t>
      </w:r>
      <w:r>
        <w:rPr>
          <w:spacing w:val="-1"/>
          <w:sz w:val="20"/>
        </w:rPr>
        <w:t> </w:t>
      </w:r>
      <w:r>
        <w:rPr>
          <w:sz w:val="20"/>
        </w:rPr>
        <w:t>ventilar;</w:t>
      </w:r>
    </w:p>
    <w:p>
      <w:pPr>
        <w:pStyle w:val="ListParagraph"/>
        <w:numPr>
          <w:ilvl w:val="1"/>
          <w:numId w:val="28"/>
        </w:numPr>
        <w:tabs>
          <w:tab w:pos="2032" w:val="left" w:leader="none"/>
          <w:tab w:pos="2033" w:val="left" w:leader="none"/>
        </w:tabs>
        <w:spacing w:line="240" w:lineRule="auto" w:before="120" w:after="0"/>
        <w:ind w:left="2032" w:right="0" w:hanging="454"/>
        <w:jc w:val="left"/>
        <w:rPr>
          <w:sz w:val="20"/>
        </w:rPr>
      </w:pPr>
      <w:r>
        <w:rPr>
          <w:i/>
          <w:sz w:val="20"/>
        </w:rPr>
        <w:t>aislante no hidrófilo </w:t>
      </w:r>
      <w:r>
        <w:rPr>
          <w:sz w:val="20"/>
        </w:rPr>
        <w:t>colocado en la cara interior de la </w:t>
      </w:r>
      <w:r>
        <w:rPr>
          <w:i/>
          <w:sz w:val="20"/>
        </w:rPr>
        <w:t>hoja</w:t>
      </w:r>
      <w:r>
        <w:rPr>
          <w:i/>
          <w:spacing w:val="-16"/>
          <w:sz w:val="20"/>
        </w:rPr>
        <w:t> </w:t>
      </w:r>
      <w:r>
        <w:rPr>
          <w:i/>
          <w:sz w:val="20"/>
        </w:rPr>
        <w:t>principal</w:t>
      </w:r>
      <w:r>
        <w:rPr>
          <w:sz w:val="20"/>
        </w:rPr>
        <w:t>.</w:t>
      </w:r>
    </w:p>
    <w:p>
      <w:pPr>
        <w:pStyle w:val="BodyText"/>
        <w:tabs>
          <w:tab w:pos="1579" w:val="left" w:leader="none"/>
        </w:tabs>
        <w:spacing w:before="120"/>
        <w:ind w:left="1579" w:right="418" w:hanging="506"/>
      </w:pPr>
      <w:r>
        <w:rPr/>
        <w:t>B2</w:t>
        <w:tab/>
        <w:t>Debe disponerse al menos una barrera de resistencia alta a la filtración. Se consideran como tal los siguientes</w:t>
      </w:r>
      <w:r>
        <w:rPr>
          <w:spacing w:val="-1"/>
        </w:rPr>
        <w:t> </w:t>
      </w:r>
      <w:r>
        <w:rPr/>
        <w:t>elementos:</w:t>
      </w:r>
    </w:p>
    <w:p>
      <w:pPr>
        <w:pStyle w:val="ListParagraph"/>
        <w:numPr>
          <w:ilvl w:val="1"/>
          <w:numId w:val="28"/>
        </w:numPr>
        <w:tabs>
          <w:tab w:pos="2033" w:val="left" w:leader="none"/>
        </w:tabs>
        <w:spacing w:line="240" w:lineRule="auto" w:before="120" w:after="0"/>
        <w:ind w:left="2032" w:right="391" w:hanging="454"/>
        <w:jc w:val="both"/>
        <w:rPr>
          <w:sz w:val="20"/>
        </w:rPr>
      </w:pPr>
      <w:r>
        <w:rPr>
          <w:sz w:val="20"/>
        </w:rPr>
        <w:t>cámara de aire sin ventilar y </w:t>
      </w:r>
      <w:r>
        <w:rPr>
          <w:i/>
          <w:sz w:val="20"/>
        </w:rPr>
        <w:t>aislante no hidrófilo </w:t>
      </w:r>
      <w:r>
        <w:rPr>
          <w:sz w:val="20"/>
        </w:rPr>
        <w:t>dispuestos por el interior de la </w:t>
      </w:r>
      <w:r>
        <w:rPr>
          <w:i/>
          <w:sz w:val="20"/>
        </w:rPr>
        <w:t>hoja </w:t>
      </w:r>
      <w:r>
        <w:rPr>
          <w:i/>
          <w:sz w:val="20"/>
        </w:rPr>
        <w:t>principal</w:t>
      </w:r>
      <w:r>
        <w:rPr>
          <w:sz w:val="20"/>
        </w:rPr>
        <w:t>, estando la cámara por el lado exterior del</w:t>
      </w:r>
      <w:r>
        <w:rPr>
          <w:spacing w:val="-14"/>
          <w:sz w:val="20"/>
        </w:rPr>
        <w:t> </w:t>
      </w:r>
      <w:r>
        <w:rPr>
          <w:sz w:val="20"/>
        </w:rPr>
        <w:t>aislante;</w:t>
      </w:r>
    </w:p>
    <w:p>
      <w:pPr>
        <w:pStyle w:val="ListParagraph"/>
        <w:numPr>
          <w:ilvl w:val="1"/>
          <w:numId w:val="28"/>
        </w:numPr>
        <w:tabs>
          <w:tab w:pos="2032" w:val="left" w:leader="none"/>
          <w:tab w:pos="2033" w:val="left" w:leader="none"/>
        </w:tabs>
        <w:spacing w:line="240" w:lineRule="auto" w:before="121" w:after="0"/>
        <w:ind w:left="2032" w:right="0" w:hanging="454"/>
        <w:jc w:val="left"/>
        <w:rPr>
          <w:sz w:val="20"/>
        </w:rPr>
      </w:pPr>
      <w:r>
        <w:rPr>
          <w:sz w:val="20"/>
        </w:rPr>
        <w:t>aislante no hidrófilo dispuesto por el exterior de la hoja</w:t>
      </w:r>
      <w:r>
        <w:rPr>
          <w:spacing w:val="-12"/>
          <w:sz w:val="20"/>
        </w:rPr>
        <w:t> </w:t>
      </w:r>
      <w:r>
        <w:rPr>
          <w:sz w:val="20"/>
        </w:rPr>
        <w:t>principal.</w:t>
      </w:r>
    </w:p>
    <w:p>
      <w:pPr>
        <w:pStyle w:val="BodyText"/>
        <w:tabs>
          <w:tab w:pos="1579" w:val="left" w:leader="none"/>
        </w:tabs>
        <w:spacing w:before="119"/>
        <w:ind w:left="1579" w:right="418" w:hanging="506"/>
      </w:pPr>
      <w:r>
        <w:rPr/>
        <w:t>B3</w:t>
        <w:tab/>
        <w:t>Debe disponerse una barrera de resistencia muy alta a la filtración. Se consideran como tal los</w:t>
      </w:r>
      <w:r>
        <w:rPr>
          <w:spacing w:val="-3"/>
        </w:rPr>
        <w:t> </w:t>
      </w:r>
      <w:r>
        <w:rPr/>
        <w:t>siguientes:</w:t>
      </w:r>
    </w:p>
    <w:p>
      <w:pPr>
        <w:pStyle w:val="ListParagraph"/>
        <w:numPr>
          <w:ilvl w:val="1"/>
          <w:numId w:val="28"/>
        </w:numPr>
        <w:tabs>
          <w:tab w:pos="2033" w:val="left" w:leader="none"/>
        </w:tabs>
        <w:spacing w:line="240" w:lineRule="auto" w:before="121" w:after="0"/>
        <w:ind w:left="2032" w:right="391" w:hanging="454"/>
        <w:jc w:val="both"/>
        <w:rPr>
          <w:sz w:val="20"/>
        </w:rPr>
      </w:pPr>
      <w:r>
        <w:rPr>
          <w:sz w:val="20"/>
        </w:rPr>
        <w:t>una cámara de aire ventilada y un aislante no hidrófilo de las siguientes características:</w:t>
      </w:r>
    </w:p>
    <w:p>
      <w:pPr>
        <w:pStyle w:val="ListParagraph"/>
        <w:numPr>
          <w:ilvl w:val="2"/>
          <w:numId w:val="28"/>
        </w:numPr>
        <w:tabs>
          <w:tab w:pos="2486" w:val="left" w:leader="none"/>
          <w:tab w:pos="2487" w:val="left" w:leader="none"/>
        </w:tabs>
        <w:spacing w:line="240" w:lineRule="auto" w:before="119" w:after="0"/>
        <w:ind w:left="2486" w:right="0" w:hanging="455"/>
        <w:jc w:val="left"/>
        <w:rPr>
          <w:sz w:val="20"/>
        </w:rPr>
      </w:pPr>
      <w:r>
        <w:rPr>
          <w:sz w:val="20"/>
        </w:rPr>
        <w:t>la cámara debe disponerse por el lado exterior del</w:t>
      </w:r>
      <w:r>
        <w:rPr>
          <w:spacing w:val="-12"/>
          <w:sz w:val="20"/>
        </w:rPr>
        <w:t> </w:t>
      </w:r>
      <w:r>
        <w:rPr>
          <w:sz w:val="20"/>
        </w:rPr>
        <w:t>aislante;</w:t>
      </w:r>
    </w:p>
    <w:p>
      <w:pPr>
        <w:pStyle w:val="ListParagraph"/>
        <w:numPr>
          <w:ilvl w:val="2"/>
          <w:numId w:val="28"/>
        </w:numPr>
        <w:tabs>
          <w:tab w:pos="2488" w:val="left" w:leader="none"/>
        </w:tabs>
        <w:spacing w:line="240" w:lineRule="auto" w:before="119" w:after="0"/>
        <w:ind w:left="2486" w:right="392" w:hanging="454"/>
        <w:jc w:val="both"/>
        <w:rPr>
          <w:sz w:val="20"/>
        </w:rPr>
      </w:pPr>
      <w:r>
        <w:rPr>
          <w:sz w:val="20"/>
        </w:rPr>
        <w:t>debe disponerse en la parte inferior de la cámara y cuando ésta quede inte- rrumpida, un sistema de recogida y evacuación del agua filtrada a la misma (véase el apartado</w:t>
      </w:r>
      <w:r>
        <w:rPr>
          <w:spacing w:val="-4"/>
          <w:sz w:val="20"/>
        </w:rPr>
        <w:t> </w:t>
      </w:r>
      <w:r>
        <w:rPr>
          <w:sz w:val="20"/>
        </w:rPr>
        <w:t>2.3.3.5);</w:t>
      </w:r>
    </w:p>
    <w:p>
      <w:pPr>
        <w:pStyle w:val="ListParagraph"/>
        <w:numPr>
          <w:ilvl w:val="2"/>
          <w:numId w:val="28"/>
        </w:numPr>
        <w:tabs>
          <w:tab w:pos="2486" w:val="left" w:leader="none"/>
          <w:tab w:pos="2487" w:val="left" w:leader="none"/>
        </w:tabs>
        <w:spacing w:line="240" w:lineRule="auto" w:before="121" w:after="0"/>
        <w:ind w:left="2487" w:right="0" w:hanging="455"/>
        <w:jc w:val="left"/>
        <w:rPr>
          <w:sz w:val="20"/>
        </w:rPr>
      </w:pPr>
      <w:r>
        <w:rPr>
          <w:sz w:val="20"/>
        </w:rPr>
        <w:t>el espesor de la cámara debe estar comprendido entre 3 y 10</w:t>
      </w:r>
      <w:r>
        <w:rPr>
          <w:spacing w:val="-16"/>
          <w:sz w:val="20"/>
        </w:rPr>
        <w:t> </w:t>
      </w:r>
      <w:r>
        <w:rPr>
          <w:sz w:val="20"/>
        </w:rPr>
        <w:t>cm;</w:t>
      </w:r>
    </w:p>
    <w:p>
      <w:pPr>
        <w:pStyle w:val="ListParagraph"/>
        <w:numPr>
          <w:ilvl w:val="2"/>
          <w:numId w:val="28"/>
        </w:numPr>
        <w:tabs>
          <w:tab w:pos="2488" w:val="left" w:leader="none"/>
        </w:tabs>
        <w:spacing w:line="240" w:lineRule="auto" w:before="120" w:after="0"/>
        <w:ind w:left="2486" w:right="389" w:hanging="454"/>
        <w:jc w:val="both"/>
        <w:rPr>
          <w:sz w:val="20"/>
        </w:rPr>
      </w:pPr>
      <w:r>
        <w:rPr>
          <w:sz w:val="20"/>
        </w:rPr>
        <w:t>deben disponerse aberturas de ventilación cuya </w:t>
      </w:r>
      <w:r>
        <w:rPr>
          <w:i/>
          <w:sz w:val="20"/>
        </w:rPr>
        <w:t>área efectiva </w:t>
      </w:r>
      <w:r>
        <w:rPr>
          <w:sz w:val="20"/>
        </w:rPr>
        <w:t>total sea como mínimo igual a 120 cm</w:t>
      </w:r>
      <w:r>
        <w:rPr>
          <w:position w:val="7"/>
          <w:sz w:val="13"/>
        </w:rPr>
        <w:t>2 </w:t>
      </w:r>
      <w:r>
        <w:rPr>
          <w:sz w:val="20"/>
        </w:rPr>
        <w:t>por cada 10 m</w:t>
      </w:r>
      <w:r>
        <w:rPr>
          <w:position w:val="7"/>
          <w:sz w:val="13"/>
        </w:rPr>
        <w:t>2 </w:t>
      </w:r>
      <w:r>
        <w:rPr>
          <w:sz w:val="20"/>
        </w:rPr>
        <w:t>de paño de fachada entre forjados re- partidas al 50% entre la parte superior y la inferior. Pueden utilizarse como aberturas rejillas, </w:t>
      </w:r>
      <w:r>
        <w:rPr>
          <w:i/>
          <w:sz w:val="20"/>
        </w:rPr>
        <w:t>llagas </w:t>
      </w:r>
      <w:r>
        <w:rPr>
          <w:sz w:val="20"/>
        </w:rPr>
        <w:t>desprovistas de mortero, juntas abiertas en los </w:t>
      </w:r>
      <w:r>
        <w:rPr>
          <w:i/>
          <w:sz w:val="20"/>
        </w:rPr>
        <w:t>reves- </w:t>
      </w:r>
      <w:r>
        <w:rPr>
          <w:i/>
          <w:sz w:val="20"/>
        </w:rPr>
        <w:t>timientos discontinuos </w:t>
      </w:r>
      <w:r>
        <w:rPr>
          <w:sz w:val="20"/>
        </w:rPr>
        <w:t>que tengan una anchura mayor que 5 mm u otra solu- ción que produzca el mismo</w:t>
      </w:r>
      <w:r>
        <w:rPr>
          <w:spacing w:val="-7"/>
          <w:sz w:val="20"/>
        </w:rPr>
        <w:t> </w:t>
      </w:r>
      <w:r>
        <w:rPr>
          <w:sz w:val="20"/>
        </w:rPr>
        <w:t>efecto.</w:t>
      </w:r>
    </w:p>
    <w:p>
      <w:pPr>
        <w:pStyle w:val="ListParagraph"/>
        <w:numPr>
          <w:ilvl w:val="1"/>
          <w:numId w:val="28"/>
        </w:numPr>
        <w:tabs>
          <w:tab w:pos="2033" w:val="left" w:leader="none"/>
        </w:tabs>
        <w:spacing w:line="240" w:lineRule="auto" w:before="116" w:after="0"/>
        <w:ind w:left="2032" w:right="392" w:hanging="454"/>
        <w:jc w:val="both"/>
        <w:rPr>
          <w:sz w:val="20"/>
        </w:rPr>
      </w:pPr>
      <w:r>
        <w:rPr>
          <w:i/>
          <w:sz w:val="20"/>
        </w:rPr>
        <w:t>revestimiento continuo </w:t>
      </w:r>
      <w:r>
        <w:rPr>
          <w:sz w:val="20"/>
        </w:rPr>
        <w:t>intermedio en la cara interior de la </w:t>
      </w:r>
      <w:r>
        <w:rPr>
          <w:i/>
          <w:sz w:val="20"/>
        </w:rPr>
        <w:t>hoja principal</w:t>
      </w:r>
      <w:r>
        <w:rPr>
          <w:sz w:val="20"/>
        </w:rPr>
        <w:t>, de las si- guientes</w:t>
      </w:r>
      <w:r>
        <w:rPr>
          <w:spacing w:val="-1"/>
          <w:sz w:val="20"/>
        </w:rPr>
        <w:t> </w:t>
      </w:r>
      <w:r>
        <w:rPr>
          <w:sz w:val="20"/>
        </w:rPr>
        <w:t>características:</w:t>
      </w:r>
    </w:p>
    <w:p>
      <w:pPr>
        <w:pStyle w:val="ListParagraph"/>
        <w:numPr>
          <w:ilvl w:val="2"/>
          <w:numId w:val="28"/>
        </w:numPr>
        <w:tabs>
          <w:tab w:pos="2488" w:val="left" w:leader="none"/>
        </w:tabs>
        <w:spacing w:line="240" w:lineRule="auto" w:before="119" w:after="0"/>
        <w:ind w:left="2486" w:right="390" w:hanging="454"/>
        <w:jc w:val="both"/>
        <w:rPr>
          <w:sz w:val="20"/>
        </w:rPr>
      </w:pPr>
      <w:r>
        <w:rPr>
          <w:sz w:val="20"/>
        </w:rPr>
        <w:t>estanquidad al agua suficiente para que el agua de filtración no entre en con- tacto con la hoja del cerramiento dispuesta inmediatamente por el interior del mismo;</w:t>
      </w:r>
    </w:p>
    <w:p>
      <w:pPr>
        <w:pStyle w:val="ListParagraph"/>
        <w:numPr>
          <w:ilvl w:val="2"/>
          <w:numId w:val="28"/>
        </w:numPr>
        <w:tabs>
          <w:tab w:pos="2486" w:val="left" w:leader="none"/>
          <w:tab w:pos="2487" w:val="left" w:leader="none"/>
        </w:tabs>
        <w:spacing w:line="240" w:lineRule="auto" w:before="120" w:after="0"/>
        <w:ind w:left="2486" w:right="0" w:hanging="455"/>
        <w:jc w:val="left"/>
        <w:rPr>
          <w:sz w:val="20"/>
        </w:rPr>
      </w:pPr>
      <w:r>
        <w:rPr>
          <w:sz w:val="20"/>
        </w:rPr>
        <w:t>adherencia al soporte suficiente para garantizar su</w:t>
      </w:r>
      <w:r>
        <w:rPr>
          <w:spacing w:val="-12"/>
          <w:sz w:val="20"/>
        </w:rPr>
        <w:t> </w:t>
      </w:r>
      <w:r>
        <w:rPr>
          <w:sz w:val="20"/>
        </w:rPr>
        <w:t>estabilidad;</w:t>
      </w:r>
    </w:p>
    <w:p>
      <w:pPr>
        <w:pStyle w:val="ListParagraph"/>
        <w:numPr>
          <w:ilvl w:val="2"/>
          <w:numId w:val="28"/>
        </w:numPr>
        <w:tabs>
          <w:tab w:pos="2487" w:val="left" w:leader="none"/>
        </w:tabs>
        <w:spacing w:line="240" w:lineRule="auto" w:before="121" w:after="0"/>
        <w:ind w:left="2486" w:right="393" w:hanging="454"/>
        <w:jc w:val="both"/>
        <w:rPr>
          <w:sz w:val="20"/>
        </w:rPr>
      </w:pPr>
      <w:r>
        <w:rPr>
          <w:i/>
          <w:sz w:val="20"/>
        </w:rPr>
        <w:t>permeabilidad </w:t>
      </w:r>
      <w:r>
        <w:rPr>
          <w:sz w:val="20"/>
        </w:rPr>
        <w:t>suficiente al vapor para evitar su deterioro como consecuencia de una acumulación de vapor entre él y la </w:t>
      </w:r>
      <w:r>
        <w:rPr>
          <w:i/>
          <w:sz w:val="20"/>
        </w:rPr>
        <w:t>hoja</w:t>
      </w:r>
      <w:r>
        <w:rPr>
          <w:i/>
          <w:spacing w:val="-6"/>
          <w:sz w:val="20"/>
        </w:rPr>
        <w:t> </w:t>
      </w:r>
      <w:r>
        <w:rPr>
          <w:i/>
          <w:sz w:val="20"/>
        </w:rPr>
        <w:t>principal</w:t>
      </w:r>
      <w:r>
        <w:rPr>
          <w:sz w:val="20"/>
        </w:rPr>
        <w:t>;</w:t>
      </w:r>
    </w:p>
    <w:p>
      <w:pPr>
        <w:pStyle w:val="ListParagraph"/>
        <w:numPr>
          <w:ilvl w:val="2"/>
          <w:numId w:val="28"/>
        </w:numPr>
        <w:tabs>
          <w:tab w:pos="2487" w:val="left" w:leader="none"/>
        </w:tabs>
        <w:spacing w:line="240" w:lineRule="auto" w:before="119" w:after="0"/>
        <w:ind w:left="2486" w:right="391" w:hanging="454"/>
        <w:jc w:val="both"/>
        <w:rPr>
          <w:sz w:val="20"/>
        </w:rPr>
      </w:pPr>
      <w:r>
        <w:rPr>
          <w:sz w:val="20"/>
        </w:rPr>
        <w:t>adaptación a los movimientos del soporte y comportamiento muy bueno frente a la fisuración, de forma que no se fisure debido a los esfuerzos mecánicos producidos por el movimiento de la estructura, por los esfuerzos térmicos relacionados con el clima y con la alternancia día-noche, ni por la retracción propia del material constituyente del</w:t>
      </w:r>
      <w:r>
        <w:rPr>
          <w:spacing w:val="-7"/>
          <w:sz w:val="20"/>
        </w:rPr>
        <w:t> </w:t>
      </w:r>
      <w:r>
        <w:rPr>
          <w:sz w:val="20"/>
        </w:rPr>
        <w:t>mismo;</w:t>
      </w:r>
    </w:p>
    <w:p>
      <w:pPr>
        <w:pStyle w:val="ListParagraph"/>
        <w:numPr>
          <w:ilvl w:val="2"/>
          <w:numId w:val="28"/>
        </w:numPr>
        <w:tabs>
          <w:tab w:pos="2487" w:val="left" w:leader="none"/>
        </w:tabs>
        <w:spacing w:line="240" w:lineRule="auto" w:before="120" w:after="0"/>
        <w:ind w:left="2486" w:right="391" w:hanging="454"/>
        <w:jc w:val="both"/>
        <w:rPr>
          <w:sz w:val="20"/>
        </w:rPr>
      </w:pPr>
      <w:r>
        <w:rPr>
          <w:sz w:val="20"/>
        </w:rPr>
        <w:t>estabilidad frente a los ataques físicos, químicos y biológicos que evite la degradación de su</w:t>
      </w:r>
      <w:r>
        <w:rPr>
          <w:spacing w:val="-1"/>
          <w:sz w:val="20"/>
        </w:rPr>
        <w:t> </w:t>
      </w:r>
      <w:r>
        <w:rPr>
          <w:sz w:val="20"/>
        </w:rPr>
        <w:t>masa.</w:t>
      </w:r>
    </w:p>
    <w:p>
      <w:pPr>
        <w:pStyle w:val="ListParagraph"/>
        <w:numPr>
          <w:ilvl w:val="0"/>
          <w:numId w:val="28"/>
        </w:numPr>
        <w:tabs>
          <w:tab w:pos="1071" w:val="left" w:leader="none"/>
        </w:tabs>
        <w:spacing w:line="240" w:lineRule="auto" w:before="121" w:after="0"/>
        <w:ind w:left="1070" w:right="0" w:hanging="400"/>
        <w:jc w:val="left"/>
        <w:rPr>
          <w:sz w:val="20"/>
        </w:rPr>
      </w:pPr>
      <w:r>
        <w:rPr>
          <w:sz w:val="20"/>
        </w:rPr>
        <w:t>Composición de la </w:t>
      </w:r>
      <w:r>
        <w:rPr>
          <w:i/>
          <w:sz w:val="20"/>
        </w:rPr>
        <w:t>hoja</w:t>
      </w:r>
      <w:r>
        <w:rPr>
          <w:i/>
          <w:spacing w:val="-3"/>
          <w:sz w:val="20"/>
        </w:rPr>
        <w:t> </w:t>
      </w:r>
      <w:r>
        <w:rPr>
          <w:i/>
          <w:sz w:val="20"/>
        </w:rPr>
        <w:t>principal</w:t>
      </w:r>
      <w:r>
        <w:rPr>
          <w:sz w:val="20"/>
        </w:rPr>
        <w:t>:</w:t>
      </w:r>
    </w:p>
    <w:p>
      <w:pPr>
        <w:pStyle w:val="BodyText"/>
        <w:tabs>
          <w:tab w:pos="1586" w:val="left" w:leader="none"/>
        </w:tabs>
        <w:spacing w:before="119"/>
        <w:ind w:left="1586" w:right="393" w:hanging="513"/>
      </w:pPr>
      <w:r>
        <w:rPr/>
        <w:t>C1</w:t>
        <w:tab/>
        <w:t>Debe utilizarse al menos una </w:t>
      </w:r>
      <w:r>
        <w:rPr>
          <w:i/>
        </w:rPr>
        <w:t>hoja principal </w:t>
      </w:r>
      <w:r>
        <w:rPr/>
        <w:t>de espesor medio. Se considera como tal una fábrica cogida con mortero</w:t>
      </w:r>
      <w:r>
        <w:rPr>
          <w:spacing w:val="-1"/>
        </w:rPr>
        <w:t> </w:t>
      </w:r>
      <w:r>
        <w:rPr/>
        <w:t>de:</w:t>
      </w:r>
    </w:p>
    <w:p>
      <w:pPr>
        <w:pStyle w:val="ListParagraph"/>
        <w:numPr>
          <w:ilvl w:val="1"/>
          <w:numId w:val="28"/>
        </w:numPr>
        <w:tabs>
          <w:tab w:pos="2033" w:val="left" w:leader="none"/>
        </w:tabs>
        <w:spacing w:line="240" w:lineRule="auto" w:before="121" w:after="0"/>
        <w:ind w:left="2032" w:right="390" w:hanging="454"/>
        <w:jc w:val="both"/>
        <w:rPr>
          <w:sz w:val="20"/>
        </w:rPr>
      </w:pPr>
      <w:r>
        <w:rPr>
          <w:sz w:val="20"/>
        </w:rPr>
        <w:t>½ pie de ladrillo cerámico, que debe ser perforado o macizo cuando no exista </w:t>
      </w:r>
      <w:r>
        <w:rPr>
          <w:i/>
          <w:sz w:val="20"/>
        </w:rPr>
        <w:t>revestimiento exterior </w:t>
      </w:r>
      <w:r>
        <w:rPr>
          <w:sz w:val="20"/>
        </w:rPr>
        <w:t>o cuando exista un </w:t>
      </w:r>
      <w:r>
        <w:rPr>
          <w:i/>
          <w:sz w:val="20"/>
        </w:rPr>
        <w:t>revestimiento exterior discontinuo </w:t>
      </w:r>
      <w:r>
        <w:rPr>
          <w:sz w:val="20"/>
        </w:rPr>
        <w:t>o un aislante exterior fijados</w:t>
      </w:r>
      <w:r>
        <w:rPr>
          <w:spacing w:val="-1"/>
          <w:sz w:val="20"/>
        </w:rPr>
        <w:t> </w:t>
      </w:r>
      <w:r>
        <w:rPr>
          <w:sz w:val="20"/>
        </w:rPr>
        <w:t>mecánicamente;</w:t>
      </w:r>
    </w:p>
    <w:p>
      <w:pPr>
        <w:pStyle w:val="ListParagraph"/>
        <w:numPr>
          <w:ilvl w:val="1"/>
          <w:numId w:val="28"/>
        </w:numPr>
        <w:tabs>
          <w:tab w:pos="2032" w:val="left" w:leader="none"/>
          <w:tab w:pos="2033" w:val="left" w:leader="none"/>
        </w:tabs>
        <w:spacing w:line="240" w:lineRule="auto" w:before="120" w:after="0"/>
        <w:ind w:left="2032" w:right="0" w:hanging="454"/>
        <w:jc w:val="left"/>
        <w:rPr>
          <w:sz w:val="20"/>
        </w:rPr>
      </w:pPr>
      <w:r>
        <w:rPr>
          <w:sz w:val="20"/>
        </w:rPr>
        <w:t>12 cm de bloque cerámico, bloque de hormigón o piedra</w:t>
      </w:r>
      <w:r>
        <w:rPr>
          <w:spacing w:val="-7"/>
          <w:sz w:val="20"/>
        </w:rPr>
        <w:t> </w:t>
      </w:r>
      <w:r>
        <w:rPr>
          <w:sz w:val="20"/>
        </w:rPr>
        <w:t>natural.</w:t>
      </w:r>
    </w:p>
    <w:p>
      <w:pPr>
        <w:pStyle w:val="BodyText"/>
        <w:tabs>
          <w:tab w:pos="1585" w:val="left" w:leader="none"/>
        </w:tabs>
        <w:spacing w:before="119"/>
        <w:ind w:left="1586" w:right="418" w:hanging="513"/>
      </w:pPr>
      <w:r>
        <w:rPr/>
        <w:t>C2</w:t>
        <w:tab/>
        <w:t>Debe utilizarse una </w:t>
      </w:r>
      <w:r>
        <w:rPr>
          <w:i/>
        </w:rPr>
        <w:t>hoja principal </w:t>
      </w:r>
      <w:r>
        <w:rPr/>
        <w:t>de espesor alto. Se considera como tal una fábrica co- gida con mortero</w:t>
      </w:r>
      <w:r>
        <w:rPr>
          <w:spacing w:val="-1"/>
        </w:rPr>
        <w:t> </w:t>
      </w:r>
      <w:r>
        <w:rPr/>
        <w:t>de:</w:t>
      </w:r>
    </w:p>
    <w:p>
      <w:pPr>
        <w:pStyle w:val="ListParagraph"/>
        <w:numPr>
          <w:ilvl w:val="1"/>
          <w:numId w:val="28"/>
        </w:numPr>
        <w:tabs>
          <w:tab w:pos="2033" w:val="left" w:leader="none"/>
        </w:tabs>
        <w:spacing w:line="240" w:lineRule="auto" w:before="121" w:after="0"/>
        <w:ind w:left="2032" w:right="390" w:hanging="454"/>
        <w:jc w:val="both"/>
        <w:rPr>
          <w:sz w:val="20"/>
        </w:rPr>
      </w:pPr>
      <w:r>
        <w:rPr>
          <w:sz w:val="20"/>
        </w:rPr>
        <w:t>1 pie de ladrillo cerámico, que debe ser perforado o macizo cuando no</w:t>
      </w:r>
      <w:r>
        <w:rPr>
          <w:spacing w:val="27"/>
          <w:sz w:val="20"/>
        </w:rPr>
        <w:t> </w:t>
      </w:r>
      <w:r>
        <w:rPr>
          <w:sz w:val="20"/>
        </w:rPr>
        <w:t>exista </w:t>
      </w:r>
      <w:r>
        <w:rPr>
          <w:i/>
          <w:sz w:val="20"/>
        </w:rPr>
        <w:t>revestimiento exterior </w:t>
      </w:r>
      <w:r>
        <w:rPr>
          <w:sz w:val="20"/>
        </w:rPr>
        <w:t>o cuando exista un </w:t>
      </w:r>
      <w:r>
        <w:rPr>
          <w:i/>
          <w:sz w:val="20"/>
        </w:rPr>
        <w:t>revestimiento exterior discontinuo </w:t>
      </w:r>
      <w:r>
        <w:rPr>
          <w:sz w:val="20"/>
        </w:rPr>
        <w:t>o un aislante exterior fijados</w:t>
      </w:r>
      <w:r>
        <w:rPr>
          <w:spacing w:val="-1"/>
          <w:sz w:val="20"/>
        </w:rPr>
        <w:t> </w:t>
      </w:r>
      <w:r>
        <w:rPr>
          <w:sz w:val="20"/>
        </w:rPr>
        <w:t>mecánicamente;</w:t>
      </w:r>
    </w:p>
    <w:p>
      <w:pPr>
        <w:spacing w:after="0" w:line="240" w:lineRule="auto"/>
        <w:jc w:val="both"/>
        <w:rPr>
          <w:sz w:val="20"/>
        </w:rPr>
        <w:sectPr>
          <w:pgSz w:w="11910" w:h="16840"/>
          <w:pgMar w:header="724" w:footer="636" w:top="1320" w:bottom="840" w:left="1200" w:right="738"/>
        </w:sectPr>
      </w:pPr>
    </w:p>
    <w:p>
      <w:pPr>
        <w:pStyle w:val="ListParagraph"/>
        <w:numPr>
          <w:ilvl w:val="1"/>
          <w:numId w:val="28"/>
        </w:numPr>
        <w:tabs>
          <w:tab w:pos="2032" w:val="left" w:leader="none"/>
          <w:tab w:pos="2033" w:val="left" w:leader="none"/>
        </w:tabs>
        <w:spacing w:line="240" w:lineRule="auto" w:before="89" w:after="0"/>
        <w:ind w:left="2032" w:right="0" w:hanging="454"/>
        <w:jc w:val="left"/>
        <w:rPr>
          <w:sz w:val="20"/>
        </w:rPr>
      </w:pPr>
      <w:r>
        <w:rPr>
          <w:sz w:val="20"/>
        </w:rPr>
        <w:t>24 cm de bloque cerámico, bloque de hormigón o piedra</w:t>
      </w:r>
      <w:r>
        <w:rPr>
          <w:spacing w:val="-7"/>
          <w:sz w:val="20"/>
        </w:rPr>
        <w:t> </w:t>
      </w:r>
      <w:r>
        <w:rPr>
          <w:sz w:val="20"/>
        </w:rPr>
        <w:t>natural.</w:t>
      </w:r>
    </w:p>
    <w:p>
      <w:pPr>
        <w:pStyle w:val="ListParagraph"/>
        <w:numPr>
          <w:ilvl w:val="0"/>
          <w:numId w:val="29"/>
        </w:numPr>
        <w:tabs>
          <w:tab w:pos="1071" w:val="left" w:leader="none"/>
        </w:tabs>
        <w:spacing w:line="240" w:lineRule="auto" w:before="120" w:after="0"/>
        <w:ind w:left="1070" w:right="0" w:hanging="399"/>
        <w:jc w:val="left"/>
        <w:rPr>
          <w:sz w:val="20"/>
        </w:rPr>
      </w:pPr>
      <w:r>
        <w:rPr>
          <w:sz w:val="20"/>
        </w:rPr>
        <w:t>Higroscopicidad del material componente de la hoja</w:t>
      </w:r>
      <w:r>
        <w:rPr>
          <w:spacing w:val="-5"/>
          <w:sz w:val="20"/>
        </w:rPr>
        <w:t> </w:t>
      </w:r>
      <w:r>
        <w:rPr>
          <w:sz w:val="20"/>
        </w:rPr>
        <w:t>principal:</w:t>
      </w:r>
    </w:p>
    <w:p>
      <w:pPr>
        <w:pStyle w:val="BodyText"/>
        <w:tabs>
          <w:tab w:pos="1586" w:val="left" w:leader="none"/>
        </w:tabs>
        <w:spacing w:before="120"/>
        <w:ind w:left="1074"/>
      </w:pPr>
      <w:r>
        <w:rPr/>
        <w:t>H1</w:t>
        <w:tab/>
        <w:t>Debe utilizarse un material de </w:t>
      </w:r>
      <w:r>
        <w:rPr>
          <w:i/>
        </w:rPr>
        <w:t>higroscopicidad </w:t>
      </w:r>
      <w:r>
        <w:rPr/>
        <w:t>baja, que corresponde a una fábrica</w:t>
      </w:r>
      <w:r>
        <w:rPr>
          <w:spacing w:val="-31"/>
        </w:rPr>
        <w:t> </w:t>
      </w:r>
      <w:r>
        <w:rPr/>
        <w:t>de:</w:t>
      </w:r>
    </w:p>
    <w:p>
      <w:pPr>
        <w:pStyle w:val="ListParagraph"/>
        <w:numPr>
          <w:ilvl w:val="1"/>
          <w:numId w:val="29"/>
        </w:numPr>
        <w:tabs>
          <w:tab w:pos="2032" w:val="left" w:leader="none"/>
          <w:tab w:pos="2033" w:val="left" w:leader="none"/>
        </w:tabs>
        <w:spacing w:line="240" w:lineRule="auto" w:before="116" w:after="0"/>
        <w:ind w:left="2032" w:right="392" w:hanging="454"/>
        <w:jc w:val="left"/>
        <w:rPr>
          <w:sz w:val="20"/>
        </w:rPr>
      </w:pPr>
      <w:r>
        <w:rPr>
          <w:sz w:val="20"/>
        </w:rPr>
        <w:t>ladrillo cerámico de </w:t>
      </w:r>
      <w:r>
        <w:rPr>
          <w:i/>
          <w:sz w:val="20"/>
        </w:rPr>
        <w:t>succión </w:t>
      </w:r>
      <w:r>
        <w:rPr>
          <w:sz w:val="20"/>
        </w:rPr>
        <w:t>≤ 4,5 kg/m</w:t>
      </w:r>
      <w:r>
        <w:rPr>
          <w:position w:val="7"/>
          <w:sz w:val="13"/>
        </w:rPr>
        <w:t>2</w:t>
      </w:r>
      <w:r>
        <w:rPr>
          <w:sz w:val="20"/>
        </w:rPr>
        <w:t>.min, según el ensayo descrito en UNE EN 772-11:2001 y UNE EN</w:t>
      </w:r>
      <w:r>
        <w:rPr>
          <w:spacing w:val="-4"/>
          <w:sz w:val="20"/>
        </w:rPr>
        <w:t> </w:t>
      </w:r>
      <w:r>
        <w:rPr>
          <w:sz w:val="20"/>
        </w:rPr>
        <w:t>772-11:2001/A1:2006;</w:t>
      </w:r>
    </w:p>
    <w:p>
      <w:pPr>
        <w:pStyle w:val="BodyText"/>
        <w:rPr>
          <w:sz w:val="22"/>
        </w:rPr>
      </w:pPr>
    </w:p>
    <w:p>
      <w:pPr>
        <w:pStyle w:val="BodyText"/>
        <w:spacing w:before="10"/>
        <w:rPr>
          <w:sz w:val="18"/>
        </w:rPr>
      </w:pPr>
    </w:p>
    <w:p>
      <w:pPr>
        <w:spacing w:before="1"/>
        <w:ind w:left="1958" w:right="0" w:firstLine="0"/>
        <w:jc w:val="left"/>
        <w:rPr>
          <w:sz w:val="16"/>
        </w:rPr>
      </w:pPr>
      <w:r>
        <w:rPr/>
        <w:pict>
          <v:line style="position:absolute;mso-position-horizontal-relative:page;mso-position-vertical-relative:paragraph;z-index:251701248" from="152.520004pt,-2.825776pt" to="152.520004pt,36.774224pt" stroked="true" strokeweight=".48pt" strokecolor="#000000">
            <v:stroke dashstyle="solid"/>
            <w10:wrap type="none"/>
          </v:line>
        </w:pict>
      </w:r>
      <w:r>
        <w:rPr>
          <w:sz w:val="16"/>
        </w:rPr>
        <w:t>Cuando dice succión se refiere a tasa de absorción de agua inicial.</w:t>
      </w:r>
    </w:p>
    <w:p>
      <w:pPr>
        <w:spacing w:before="119"/>
        <w:ind w:left="1958" w:right="0" w:firstLine="0"/>
        <w:jc w:val="left"/>
        <w:rPr>
          <w:sz w:val="16"/>
        </w:rPr>
      </w:pPr>
      <w:r>
        <w:rPr>
          <w:sz w:val="16"/>
        </w:rPr>
        <w:t>También serían válidos los ladrillos o bloques de hormigón con un coeficiente de absorción de agua por capilaridad equivalente, según el ensayo descrito en UNE EN 772-11.</w:t>
      </w:r>
    </w:p>
    <w:p>
      <w:pPr>
        <w:pStyle w:val="BodyText"/>
      </w:pPr>
    </w:p>
    <w:p>
      <w:pPr>
        <w:pStyle w:val="BodyText"/>
        <w:spacing w:before="9"/>
      </w:pPr>
    </w:p>
    <w:p>
      <w:pPr>
        <w:pStyle w:val="ListParagraph"/>
        <w:numPr>
          <w:ilvl w:val="1"/>
          <w:numId w:val="29"/>
        </w:numPr>
        <w:tabs>
          <w:tab w:pos="2032" w:val="left" w:leader="none"/>
          <w:tab w:pos="2033" w:val="left" w:leader="none"/>
        </w:tabs>
        <w:spacing w:line="240" w:lineRule="auto" w:before="1" w:after="0"/>
        <w:ind w:left="2032" w:right="0" w:hanging="454"/>
        <w:jc w:val="left"/>
        <w:rPr>
          <w:sz w:val="20"/>
        </w:rPr>
      </w:pPr>
      <w:r>
        <w:rPr>
          <w:sz w:val="20"/>
        </w:rPr>
        <w:t>piedra natural de </w:t>
      </w:r>
      <w:r>
        <w:rPr>
          <w:i/>
          <w:sz w:val="20"/>
        </w:rPr>
        <w:t>absorción </w:t>
      </w:r>
      <w:r>
        <w:rPr>
          <w:sz w:val="20"/>
        </w:rPr>
        <w:t>≤ 2%, según el ensayo descrito en UNE EN</w:t>
      </w:r>
      <w:r>
        <w:rPr>
          <w:spacing w:val="-38"/>
          <w:sz w:val="20"/>
        </w:rPr>
        <w:t> </w:t>
      </w:r>
      <w:r>
        <w:rPr>
          <w:sz w:val="20"/>
        </w:rPr>
        <w:t>13755:2002.</w:t>
      </w:r>
    </w:p>
    <w:p>
      <w:pPr>
        <w:pStyle w:val="ListParagraph"/>
        <w:numPr>
          <w:ilvl w:val="0"/>
          <w:numId w:val="30"/>
        </w:numPr>
        <w:tabs>
          <w:tab w:pos="1070" w:val="left" w:leader="none"/>
          <w:tab w:pos="1071" w:val="left" w:leader="none"/>
        </w:tabs>
        <w:spacing w:line="240" w:lineRule="auto" w:before="120" w:after="0"/>
        <w:ind w:left="1070" w:right="0" w:hanging="400"/>
        <w:jc w:val="left"/>
        <w:rPr>
          <w:sz w:val="20"/>
        </w:rPr>
      </w:pPr>
      <w:r>
        <w:rPr>
          <w:sz w:val="20"/>
        </w:rPr>
        <w:t>Resistencia a la filtración de las juntas entre las piezas que componen la </w:t>
      </w:r>
      <w:r>
        <w:rPr>
          <w:i/>
          <w:sz w:val="20"/>
        </w:rPr>
        <w:t>hoja</w:t>
      </w:r>
      <w:r>
        <w:rPr>
          <w:i/>
          <w:spacing w:val="-20"/>
          <w:sz w:val="20"/>
        </w:rPr>
        <w:t> </w:t>
      </w:r>
      <w:r>
        <w:rPr>
          <w:i/>
          <w:sz w:val="20"/>
        </w:rPr>
        <w:t>principal</w:t>
      </w:r>
      <w:r>
        <w:rPr>
          <w:sz w:val="20"/>
        </w:rPr>
        <w:t>:</w:t>
      </w:r>
    </w:p>
    <w:p>
      <w:pPr>
        <w:pStyle w:val="BodyText"/>
        <w:spacing w:before="119"/>
        <w:ind w:left="1586" w:right="392" w:hanging="513"/>
        <w:jc w:val="both"/>
      </w:pPr>
      <w:r>
        <w:rPr/>
        <w:t>J1 Las juntas deben ser al menos de resistencia media a la filtración. Se consideran como  tales las juntas de mortero sin interrupción excepto, en el caso de las juntas de los blo- ques de hormigón, que se interrumpen en la parte intermedia de la</w:t>
      </w:r>
      <w:r>
        <w:rPr>
          <w:spacing w:val="-14"/>
        </w:rPr>
        <w:t> </w:t>
      </w:r>
      <w:r>
        <w:rPr/>
        <w:t>hoja;</w:t>
      </w:r>
    </w:p>
    <w:p>
      <w:pPr>
        <w:pStyle w:val="BodyText"/>
        <w:spacing w:before="120"/>
        <w:ind w:left="1586" w:right="393" w:hanging="513"/>
        <w:jc w:val="both"/>
      </w:pPr>
      <w:r>
        <w:rPr/>
        <w:t>J2  Las juntas deben ser de resistencia alta a la filtración. Se consideran como tales las jun-  tas de mortero con adición de un producto hidrófugo, de las siguientes</w:t>
      </w:r>
      <w:r>
        <w:rPr>
          <w:spacing w:val="-31"/>
        </w:rPr>
        <w:t> </w:t>
      </w:r>
      <w:r>
        <w:rPr/>
        <w:t>características:</w:t>
      </w:r>
    </w:p>
    <w:p>
      <w:pPr>
        <w:pStyle w:val="ListParagraph"/>
        <w:numPr>
          <w:ilvl w:val="1"/>
          <w:numId w:val="30"/>
        </w:numPr>
        <w:tabs>
          <w:tab w:pos="2032" w:val="left" w:leader="none"/>
          <w:tab w:pos="2033" w:val="left" w:leader="none"/>
        </w:tabs>
        <w:spacing w:line="240" w:lineRule="auto" w:before="121" w:after="0"/>
        <w:ind w:left="2032" w:right="393" w:hanging="454"/>
        <w:jc w:val="left"/>
        <w:rPr>
          <w:sz w:val="20"/>
        </w:rPr>
      </w:pPr>
      <w:r>
        <w:rPr>
          <w:sz w:val="20"/>
        </w:rPr>
        <w:t>sin interrupción excepto, en el caso de las juntas de los bloques de hormigón, que se interrumpen en la parte intermedia de la</w:t>
      </w:r>
      <w:r>
        <w:rPr>
          <w:spacing w:val="-11"/>
          <w:sz w:val="20"/>
        </w:rPr>
        <w:t> </w:t>
      </w:r>
      <w:r>
        <w:rPr>
          <w:sz w:val="20"/>
        </w:rPr>
        <w:t>hoja;</w:t>
      </w:r>
    </w:p>
    <w:p>
      <w:pPr>
        <w:pStyle w:val="ListParagraph"/>
        <w:numPr>
          <w:ilvl w:val="1"/>
          <w:numId w:val="30"/>
        </w:numPr>
        <w:tabs>
          <w:tab w:pos="2032" w:val="left" w:leader="none"/>
          <w:tab w:pos="2033" w:val="left" w:leader="none"/>
        </w:tabs>
        <w:spacing w:line="240" w:lineRule="auto" w:before="120" w:after="0"/>
        <w:ind w:left="2032" w:right="0" w:hanging="454"/>
        <w:jc w:val="left"/>
        <w:rPr>
          <w:sz w:val="20"/>
        </w:rPr>
      </w:pPr>
      <w:r>
        <w:rPr>
          <w:sz w:val="20"/>
        </w:rPr>
        <w:t>juntas horizontales llagueadas o de pico de</w:t>
      </w:r>
      <w:r>
        <w:rPr>
          <w:spacing w:val="-3"/>
          <w:sz w:val="20"/>
        </w:rPr>
        <w:t> </w:t>
      </w:r>
      <w:r>
        <w:rPr>
          <w:sz w:val="20"/>
        </w:rPr>
        <w:t>flauta;</w:t>
      </w:r>
    </w:p>
    <w:p>
      <w:pPr>
        <w:pStyle w:val="ListParagraph"/>
        <w:numPr>
          <w:ilvl w:val="1"/>
          <w:numId w:val="30"/>
        </w:numPr>
        <w:tabs>
          <w:tab w:pos="2032" w:val="left" w:leader="none"/>
          <w:tab w:pos="2033" w:val="left" w:leader="none"/>
        </w:tabs>
        <w:spacing w:line="240" w:lineRule="auto" w:before="120" w:after="0"/>
        <w:ind w:left="2032" w:right="391" w:hanging="454"/>
        <w:jc w:val="left"/>
        <w:rPr>
          <w:sz w:val="20"/>
        </w:rPr>
      </w:pPr>
      <w:r>
        <w:rPr>
          <w:sz w:val="20"/>
        </w:rPr>
        <w:t>cuando el sistema constructivo así lo permita, con un rejuntado de un mortero más rico.</w:t>
      </w:r>
    </w:p>
    <w:p>
      <w:pPr>
        <w:pStyle w:val="BodyText"/>
        <w:spacing w:before="120"/>
        <w:ind w:left="1579"/>
      </w:pPr>
      <w:r>
        <w:rPr/>
        <w:t>Véase apartado 5.1.3.1 para condiciones de ejecución relativas a las juntas.</w:t>
      </w:r>
    </w:p>
    <w:p>
      <w:pPr>
        <w:pStyle w:val="BodyText"/>
        <w:spacing w:before="120"/>
        <w:ind w:left="671"/>
      </w:pPr>
      <w:r>
        <w:rPr/>
        <w:t>N) Resistencia a la filtración del revestimiento intermedio en la cara interior de la </w:t>
      </w:r>
      <w:r>
        <w:rPr>
          <w:i/>
        </w:rPr>
        <w:t>hoja principal</w:t>
      </w:r>
      <w:r>
        <w:rPr/>
        <w:t>:</w:t>
      </w:r>
    </w:p>
    <w:p>
      <w:pPr>
        <w:pStyle w:val="BodyText"/>
        <w:spacing w:before="119"/>
        <w:ind w:left="1586" w:right="392" w:hanging="513"/>
        <w:jc w:val="both"/>
        <w:rPr>
          <w:sz w:val="22"/>
        </w:rPr>
      </w:pPr>
      <w:r>
        <w:rPr/>
        <w:t>N1  Debe utilizarse al menos un revestimiento de resistencia media a la filtración. Se conside- ra como tal un enfoscado de mortero con un espesor mínimo de 10</w:t>
      </w:r>
      <w:r>
        <w:rPr>
          <w:spacing w:val="-12"/>
        </w:rPr>
        <w:t> </w:t>
      </w:r>
      <w:r>
        <w:rPr/>
        <w:t>mm</w:t>
      </w:r>
      <w:r>
        <w:rPr>
          <w:sz w:val="22"/>
        </w:rPr>
        <w:t>.</w:t>
      </w:r>
    </w:p>
    <w:p>
      <w:pPr>
        <w:pStyle w:val="BodyText"/>
        <w:spacing w:before="121"/>
        <w:ind w:left="1586" w:right="391" w:hanging="513"/>
        <w:jc w:val="both"/>
      </w:pPr>
      <w:r>
        <w:rPr/>
        <w:t>N2  Debe utilizarse un revestimiento de resistencia alta a la filtración. Se considera como tal   un enfoscado de mortero con aditivos hidrofugantes con un espesor mínimo de 15 mm o un material adherido, continuo, sin juntas e impermeable al agua del mismo</w:t>
      </w:r>
      <w:r>
        <w:rPr>
          <w:spacing w:val="-26"/>
        </w:rPr>
        <w:t> </w:t>
      </w:r>
      <w:r>
        <w:rPr/>
        <w:t>espesor.</w:t>
      </w:r>
    </w:p>
    <w:p>
      <w:pPr>
        <w:pStyle w:val="BodyText"/>
        <w:spacing w:before="9"/>
        <w:rPr>
          <w:sz w:val="22"/>
        </w:rPr>
      </w:pPr>
    </w:p>
    <w:p>
      <w:pPr>
        <w:pStyle w:val="Heading5"/>
        <w:numPr>
          <w:ilvl w:val="2"/>
          <w:numId w:val="14"/>
        </w:numPr>
        <w:tabs>
          <w:tab w:pos="786" w:val="left" w:leader="none"/>
        </w:tabs>
        <w:spacing w:line="240" w:lineRule="auto" w:before="0" w:after="0"/>
        <w:ind w:left="785" w:right="0" w:hanging="568"/>
        <w:jc w:val="left"/>
      </w:pPr>
      <w:r>
        <w:rPr/>
        <w:t>Condiciones de los puntos</w:t>
      </w:r>
      <w:r>
        <w:rPr>
          <w:spacing w:val="-3"/>
        </w:rPr>
        <w:t> </w:t>
      </w:r>
      <w:r>
        <w:rPr/>
        <w:t>singulares</w:t>
      </w:r>
    </w:p>
    <w:p>
      <w:pPr>
        <w:pStyle w:val="BodyText"/>
        <w:spacing w:before="157"/>
        <w:ind w:left="672" w:right="392" w:hanging="454"/>
        <w:jc w:val="both"/>
      </w:pPr>
      <w:r>
        <w:rPr/>
        <w:t>1  Deben respetarse las condiciones de disposición de bandas de refuerzo y de terminación, así como las de continuidad o discontinuidad relativas al sistema de </w:t>
      </w:r>
      <w:r>
        <w:rPr>
          <w:i/>
        </w:rPr>
        <w:t>impermeabilización </w:t>
      </w:r>
      <w:r>
        <w:rPr/>
        <w:t>que se</w:t>
      </w:r>
      <w:r>
        <w:rPr>
          <w:spacing w:val="-30"/>
        </w:rPr>
        <w:t> </w:t>
      </w:r>
      <w:r>
        <w:rPr/>
        <w:t>emplee.</w:t>
      </w:r>
    </w:p>
    <w:p>
      <w:pPr>
        <w:pStyle w:val="BodyText"/>
        <w:spacing w:before="10"/>
        <w:rPr>
          <w:sz w:val="22"/>
        </w:rPr>
      </w:pPr>
    </w:p>
    <w:p>
      <w:pPr>
        <w:pStyle w:val="Heading5"/>
        <w:numPr>
          <w:ilvl w:val="3"/>
          <w:numId w:val="14"/>
        </w:numPr>
        <w:tabs>
          <w:tab w:pos="928" w:val="left" w:leader="none"/>
        </w:tabs>
        <w:spacing w:line="240" w:lineRule="auto" w:before="0" w:after="0"/>
        <w:ind w:left="927" w:right="0" w:hanging="710"/>
        <w:jc w:val="left"/>
      </w:pPr>
      <w:r>
        <w:rPr/>
        <w:t>Juntas de</w:t>
      </w:r>
      <w:r>
        <w:rPr>
          <w:spacing w:val="-2"/>
        </w:rPr>
        <w:t> </w:t>
      </w:r>
      <w:r>
        <w:rPr/>
        <w:t>dilatación</w:t>
      </w:r>
    </w:p>
    <w:p>
      <w:pPr>
        <w:pStyle w:val="ListParagraph"/>
        <w:numPr>
          <w:ilvl w:val="0"/>
          <w:numId w:val="31"/>
        </w:numPr>
        <w:tabs>
          <w:tab w:pos="672" w:val="left" w:leader="none"/>
        </w:tabs>
        <w:spacing w:line="240" w:lineRule="auto" w:before="157" w:after="0"/>
        <w:ind w:left="671" w:right="391" w:hanging="454"/>
        <w:jc w:val="both"/>
        <w:rPr>
          <w:sz w:val="20"/>
        </w:rPr>
      </w:pPr>
      <w:r>
        <w:rPr>
          <w:sz w:val="20"/>
        </w:rPr>
        <w:t>Deben disponerse juntas de dilatación en la </w:t>
      </w:r>
      <w:r>
        <w:rPr>
          <w:i/>
          <w:sz w:val="20"/>
        </w:rPr>
        <w:t>hoja principal </w:t>
      </w:r>
      <w:r>
        <w:rPr>
          <w:sz w:val="20"/>
        </w:rPr>
        <w:t>de tal forma que cada junta estructural coincida con una de ellas y que la distancia entre juntas de dilatación contiguas sea como máximo la que figura en la tabla 2.1 Distancia entre juntas de movimiento de fábricas sustentadas del DB- SE-F Seguridad estructural:</w:t>
      </w:r>
      <w:r>
        <w:rPr>
          <w:spacing w:val="-2"/>
          <w:sz w:val="20"/>
        </w:rPr>
        <w:t> </w:t>
      </w:r>
      <w:r>
        <w:rPr>
          <w:sz w:val="20"/>
        </w:rPr>
        <w:t>Fábrica.</w:t>
      </w:r>
    </w:p>
    <w:p>
      <w:pPr>
        <w:pStyle w:val="BodyText"/>
        <w:rPr>
          <w:sz w:val="22"/>
        </w:rPr>
      </w:pPr>
    </w:p>
    <w:p>
      <w:pPr>
        <w:pStyle w:val="BodyText"/>
        <w:rPr>
          <w:sz w:val="19"/>
        </w:rPr>
      </w:pPr>
    </w:p>
    <w:p>
      <w:pPr>
        <w:spacing w:before="0"/>
        <w:ind w:left="1958" w:right="418" w:firstLine="0"/>
        <w:jc w:val="left"/>
        <w:rPr>
          <w:sz w:val="16"/>
        </w:rPr>
      </w:pPr>
      <w:r>
        <w:rPr/>
        <w:pict>
          <v:line style="position:absolute;mso-position-horizontal-relative:page;mso-position-vertical-relative:paragraph;z-index:251702272" from="152.520004pt,-2.875793pt" to="152.520004pt,21.484207pt" stroked="true" strokeweight=".48pt" strokecolor="#000000">
            <v:stroke dashstyle="solid"/>
            <w10:wrap type="none"/>
          </v:line>
        </w:pict>
      </w:r>
      <w:r>
        <w:rPr>
          <w:sz w:val="16"/>
        </w:rPr>
        <w:t>Se pretende limitar el riesgo de filtración de agua por las discontinuidades que se producirían en la hoja principal a causa de movimientos debidos a diferencias térmicas.</w:t>
      </w:r>
    </w:p>
    <w:p>
      <w:pPr>
        <w:pStyle w:val="BodyText"/>
      </w:pPr>
    </w:p>
    <w:p>
      <w:pPr>
        <w:pStyle w:val="BodyText"/>
        <w:spacing w:before="9"/>
      </w:pPr>
    </w:p>
    <w:p>
      <w:pPr>
        <w:pStyle w:val="ListParagraph"/>
        <w:numPr>
          <w:ilvl w:val="0"/>
          <w:numId w:val="31"/>
        </w:numPr>
        <w:tabs>
          <w:tab w:pos="672" w:val="left" w:leader="none"/>
        </w:tabs>
        <w:spacing w:line="240" w:lineRule="auto" w:before="1" w:after="0"/>
        <w:ind w:left="671" w:right="390" w:hanging="454"/>
        <w:jc w:val="both"/>
        <w:rPr>
          <w:sz w:val="20"/>
        </w:rPr>
      </w:pPr>
      <w:r>
        <w:rPr>
          <w:sz w:val="20"/>
        </w:rPr>
        <w:t>En las juntas de dilatación de la </w:t>
      </w:r>
      <w:r>
        <w:rPr>
          <w:i/>
          <w:sz w:val="20"/>
        </w:rPr>
        <w:t>hoja principal </w:t>
      </w:r>
      <w:r>
        <w:rPr>
          <w:sz w:val="20"/>
        </w:rPr>
        <w:t>debe colocarse un sellante sobre un relleno introducido en la junta. Deben emplearse rellenos y sellantes de materiales que tengan una elasticidad y una adherencia suficientes para absorber los movimientos de la hoja previstos y que sean impermeables y resistentes a los agentes atmosféricos. La profundidad del sellante debe ser mayor</w:t>
      </w:r>
      <w:r>
        <w:rPr>
          <w:spacing w:val="12"/>
          <w:sz w:val="20"/>
        </w:rPr>
        <w:t> </w:t>
      </w:r>
      <w:r>
        <w:rPr>
          <w:sz w:val="20"/>
        </w:rPr>
        <w:t>o</w:t>
      </w:r>
      <w:r>
        <w:rPr>
          <w:spacing w:val="10"/>
          <w:sz w:val="20"/>
        </w:rPr>
        <w:t> </w:t>
      </w:r>
      <w:r>
        <w:rPr>
          <w:sz w:val="20"/>
        </w:rPr>
        <w:t>igual</w:t>
      </w:r>
      <w:r>
        <w:rPr>
          <w:spacing w:val="11"/>
          <w:sz w:val="20"/>
        </w:rPr>
        <w:t> </w:t>
      </w:r>
      <w:r>
        <w:rPr>
          <w:sz w:val="20"/>
        </w:rPr>
        <w:t>que</w:t>
      </w:r>
      <w:r>
        <w:rPr>
          <w:spacing w:val="11"/>
          <w:sz w:val="20"/>
        </w:rPr>
        <w:t> </w:t>
      </w:r>
      <w:r>
        <w:rPr>
          <w:sz w:val="20"/>
        </w:rPr>
        <w:t>1</w:t>
      </w:r>
      <w:r>
        <w:rPr>
          <w:spacing w:val="10"/>
          <w:sz w:val="20"/>
        </w:rPr>
        <w:t> </w:t>
      </w:r>
      <w:r>
        <w:rPr>
          <w:sz w:val="20"/>
        </w:rPr>
        <w:t>cm</w:t>
      </w:r>
      <w:r>
        <w:rPr>
          <w:spacing w:val="11"/>
          <w:sz w:val="20"/>
        </w:rPr>
        <w:t> </w:t>
      </w:r>
      <w:r>
        <w:rPr>
          <w:sz w:val="20"/>
        </w:rPr>
        <w:t>y</w:t>
      </w:r>
      <w:r>
        <w:rPr>
          <w:spacing w:val="11"/>
          <w:sz w:val="20"/>
        </w:rPr>
        <w:t> </w:t>
      </w:r>
      <w:r>
        <w:rPr>
          <w:sz w:val="20"/>
        </w:rPr>
        <w:t>la</w:t>
      </w:r>
      <w:r>
        <w:rPr>
          <w:spacing w:val="12"/>
          <w:sz w:val="20"/>
        </w:rPr>
        <w:t> </w:t>
      </w:r>
      <w:r>
        <w:rPr>
          <w:sz w:val="20"/>
        </w:rPr>
        <w:t>relación</w:t>
      </w:r>
      <w:r>
        <w:rPr>
          <w:spacing w:val="12"/>
          <w:sz w:val="20"/>
        </w:rPr>
        <w:t> </w:t>
      </w:r>
      <w:r>
        <w:rPr>
          <w:sz w:val="20"/>
        </w:rPr>
        <w:t>entre</w:t>
      </w:r>
      <w:r>
        <w:rPr>
          <w:spacing w:val="10"/>
          <w:sz w:val="20"/>
        </w:rPr>
        <w:t> </w:t>
      </w:r>
      <w:r>
        <w:rPr>
          <w:sz w:val="20"/>
        </w:rPr>
        <w:t>su</w:t>
      </w:r>
      <w:r>
        <w:rPr>
          <w:spacing w:val="12"/>
          <w:sz w:val="20"/>
        </w:rPr>
        <w:t> </w:t>
      </w:r>
      <w:r>
        <w:rPr>
          <w:sz w:val="20"/>
        </w:rPr>
        <w:t>espesor</w:t>
      </w:r>
      <w:r>
        <w:rPr>
          <w:spacing w:val="12"/>
          <w:sz w:val="20"/>
        </w:rPr>
        <w:t> </w:t>
      </w:r>
      <w:r>
        <w:rPr>
          <w:sz w:val="20"/>
        </w:rPr>
        <w:t>y</w:t>
      </w:r>
      <w:r>
        <w:rPr>
          <w:spacing w:val="12"/>
          <w:sz w:val="20"/>
        </w:rPr>
        <w:t> </w:t>
      </w:r>
      <w:r>
        <w:rPr>
          <w:sz w:val="20"/>
        </w:rPr>
        <w:t>su</w:t>
      </w:r>
      <w:r>
        <w:rPr>
          <w:spacing w:val="11"/>
          <w:sz w:val="20"/>
        </w:rPr>
        <w:t> </w:t>
      </w:r>
      <w:r>
        <w:rPr>
          <w:sz w:val="20"/>
        </w:rPr>
        <w:t>anchura</w:t>
      </w:r>
      <w:r>
        <w:rPr>
          <w:spacing w:val="11"/>
          <w:sz w:val="20"/>
        </w:rPr>
        <w:t> </w:t>
      </w:r>
      <w:r>
        <w:rPr>
          <w:sz w:val="20"/>
        </w:rPr>
        <w:t>debe</w:t>
      </w:r>
      <w:r>
        <w:rPr>
          <w:spacing w:val="11"/>
          <w:sz w:val="20"/>
        </w:rPr>
        <w:t> </w:t>
      </w:r>
      <w:r>
        <w:rPr>
          <w:sz w:val="20"/>
        </w:rPr>
        <w:t>estar</w:t>
      </w:r>
      <w:r>
        <w:rPr>
          <w:spacing w:val="11"/>
          <w:sz w:val="20"/>
        </w:rPr>
        <w:t> </w:t>
      </w:r>
      <w:r>
        <w:rPr>
          <w:sz w:val="20"/>
        </w:rPr>
        <w:t>comprendida</w:t>
      </w:r>
      <w:r>
        <w:rPr>
          <w:spacing w:val="9"/>
          <w:sz w:val="20"/>
        </w:rPr>
        <w:t> </w:t>
      </w:r>
      <w:r>
        <w:rPr>
          <w:sz w:val="20"/>
        </w:rPr>
        <w:t>entre</w:t>
      </w:r>
    </w:p>
    <w:p>
      <w:pPr>
        <w:spacing w:after="0" w:line="240" w:lineRule="auto"/>
        <w:jc w:val="both"/>
        <w:rPr>
          <w:sz w:val="20"/>
        </w:rPr>
        <w:sectPr>
          <w:pgSz w:w="11910" w:h="16840"/>
          <w:pgMar w:header="724" w:footer="636" w:top="1320" w:bottom="840" w:left="1200" w:right="738"/>
        </w:sectPr>
      </w:pPr>
    </w:p>
    <w:p>
      <w:pPr>
        <w:pStyle w:val="BodyText"/>
        <w:spacing w:before="89"/>
        <w:ind w:left="672" w:right="390"/>
        <w:jc w:val="both"/>
      </w:pPr>
      <w:r>
        <w:rPr/>
        <w:t>0,5 y 2. En fachadas enfoscadas debe enrasarse con el paramento de la </w:t>
      </w:r>
      <w:r>
        <w:rPr>
          <w:i/>
        </w:rPr>
        <w:t>hoja principal </w:t>
      </w:r>
      <w:r>
        <w:rPr/>
        <w:t>sin enfoscar. Cuando se utilicen chapas metálicas en las juntas de dilatación, deben disponerse las mismas de  tal forma que éstas cubran a ambos lados de la junta una banda de muro de 5 cm como mínimo y cada chapa debe fijarse mecánicamente en dicha banda y sellarse su extremo correspondiente (Véase la figura</w:t>
      </w:r>
      <w:r>
        <w:rPr>
          <w:spacing w:val="-3"/>
        </w:rPr>
        <w:t> </w:t>
      </w:r>
      <w:r>
        <w:rPr/>
        <w:t>2.6).</w:t>
      </w:r>
    </w:p>
    <w:p>
      <w:pPr>
        <w:pStyle w:val="BodyText"/>
        <w:rPr>
          <w:sz w:val="22"/>
        </w:rPr>
      </w:pPr>
    </w:p>
    <w:p>
      <w:pPr>
        <w:pStyle w:val="BodyText"/>
        <w:spacing w:before="11"/>
        <w:rPr>
          <w:sz w:val="18"/>
        </w:rPr>
      </w:pPr>
    </w:p>
    <w:p>
      <w:pPr>
        <w:spacing w:before="0"/>
        <w:ind w:left="1958" w:right="0" w:firstLine="0"/>
        <w:jc w:val="left"/>
        <w:rPr>
          <w:sz w:val="16"/>
        </w:rPr>
      </w:pPr>
      <w:r>
        <w:rPr/>
        <w:pict>
          <v:line style="position:absolute;mso-position-horizontal-relative:page;mso-position-vertical-relative:paragraph;z-index:251707392" from="152.520004pt,-2.875776pt" to="152.520004pt,12.304224pt" stroked="true" strokeweight=".48pt" strokecolor="#000000">
            <v:stroke dashstyle="solid"/>
            <w10:wrap type="none"/>
          </v:line>
        </w:pict>
      </w:r>
      <w:r>
        <w:rPr>
          <w:sz w:val="16"/>
        </w:rPr>
        <w:t>Se pretende limitar el riesgo de filtración de agua por la discontinuidad de la fachada en las juntas.</w:t>
      </w:r>
    </w:p>
    <w:p>
      <w:pPr>
        <w:pStyle w:val="BodyText"/>
      </w:pPr>
    </w:p>
    <w:p>
      <w:pPr>
        <w:pStyle w:val="BodyText"/>
        <w:spacing w:before="9"/>
      </w:pPr>
    </w:p>
    <w:p>
      <w:pPr>
        <w:pStyle w:val="ListParagraph"/>
        <w:numPr>
          <w:ilvl w:val="0"/>
          <w:numId w:val="31"/>
        </w:numPr>
        <w:tabs>
          <w:tab w:pos="671" w:val="left" w:leader="none"/>
          <w:tab w:pos="672" w:val="left" w:leader="none"/>
        </w:tabs>
        <w:spacing w:line="240" w:lineRule="auto" w:before="1" w:after="0"/>
        <w:ind w:left="671" w:right="390" w:hanging="454"/>
        <w:jc w:val="left"/>
        <w:rPr>
          <w:sz w:val="20"/>
        </w:rPr>
      </w:pPr>
      <w:r>
        <w:rPr>
          <w:sz w:val="20"/>
        </w:rPr>
        <w:t>El </w:t>
      </w:r>
      <w:r>
        <w:rPr>
          <w:i/>
          <w:sz w:val="20"/>
        </w:rPr>
        <w:t>revestimiento exterior </w:t>
      </w:r>
      <w:r>
        <w:rPr>
          <w:sz w:val="20"/>
        </w:rPr>
        <w:t>debe estar provisto de juntas de dilatación de tal forma que la distancia entre juntas contiguas sea suficiente para evitar su</w:t>
      </w:r>
      <w:r>
        <w:rPr>
          <w:spacing w:val="-9"/>
          <w:sz w:val="20"/>
        </w:rPr>
        <w:t> </w:t>
      </w:r>
      <w:r>
        <w:rPr>
          <w:sz w:val="20"/>
        </w:rPr>
        <w:t>agrietamiento.</w:t>
      </w:r>
    </w:p>
    <w:p>
      <w:pPr>
        <w:pStyle w:val="BodyText"/>
        <w:rPr>
          <w:sz w:val="22"/>
        </w:rPr>
      </w:pPr>
    </w:p>
    <w:p>
      <w:pPr>
        <w:pStyle w:val="BodyText"/>
        <w:spacing w:before="9"/>
        <w:rPr>
          <w:sz w:val="18"/>
        </w:rPr>
      </w:pPr>
    </w:p>
    <w:p>
      <w:pPr>
        <w:spacing w:before="0"/>
        <w:ind w:left="1958" w:right="0" w:firstLine="0"/>
        <w:jc w:val="left"/>
        <w:rPr>
          <w:sz w:val="16"/>
        </w:rPr>
      </w:pPr>
      <w:r>
        <w:rPr/>
        <w:pict>
          <v:line style="position:absolute;mso-position-horizontal-relative:page;mso-position-vertical-relative:paragraph;z-index:251708416" from="152.520004pt,-2.875791pt" to="152.520004pt,21.544209pt" stroked="true" strokeweight=".48pt" strokecolor="#000000">
            <v:stroke dashstyle="solid"/>
            <w10:wrap type="none"/>
          </v:line>
        </w:pict>
      </w:r>
      <w:r>
        <w:rPr>
          <w:sz w:val="16"/>
        </w:rPr>
        <w:t>Se pretende limitar el riesgo de filtración de agua por las discontinuidades que se producirían en el reves- timiento exterior a causa de movimientos debidos a diferencias térmicas.</w:t>
      </w:r>
    </w:p>
    <w:p>
      <w:pPr>
        <w:pStyle w:val="BodyText"/>
      </w:pPr>
    </w:p>
    <w:p>
      <w:pPr>
        <w:pStyle w:val="BodyText"/>
        <w:spacing w:before="2"/>
        <w:rPr>
          <w:sz w:val="15"/>
        </w:rPr>
      </w:pPr>
      <w:r>
        <w:rPr/>
        <w:pict>
          <v:group style="position:absolute;margin-left:88.9095pt;margin-top:37.965076pt;width:187pt;height:89.3pt;mso-position-horizontal-relative:page;mso-position-vertical-relative:paragraph;z-index:-251613184;mso-wrap-distance-left:0;mso-wrap-distance-right:0" coordorigin="1778,759" coordsize="3740,1786">
            <v:line style="position:absolute" from="1779,1109" to="2583,1109" stroked="true" strokeweight=".411pt" strokecolor="#000000">
              <v:stroke dashstyle="solid"/>
            </v:line>
            <v:line style="position:absolute" from="3165,1164" to="3165,1620" stroked="true" strokeweight=".411pt" strokecolor="#000000">
              <v:stroke dashstyle="solid"/>
            </v:line>
            <v:line style="position:absolute" from="2583,1109" to="3110,1109" stroked="true" strokeweight=".411pt" strokecolor="#000000">
              <v:stroke dashstyle="solid"/>
            </v:line>
            <v:line style="position:absolute" from="3165,1597" to="3166,2541" stroked="true" strokeweight=".411pt" strokecolor="#000000">
              <v:stroke dashstyle="solid"/>
            </v:line>
            <v:line style="position:absolute" from="1779,1207" to="1831,1155" stroked="true" strokeweight=".117pt" strokecolor="#000000">
              <v:stroke dashstyle="solid"/>
            </v:line>
            <v:line style="position:absolute" from="1779,1285" to="1910,1155" stroked="true" strokeweight=".117pt" strokecolor="#000000">
              <v:stroke dashstyle="solid"/>
            </v:line>
            <v:line style="position:absolute" from="1835,1309" to="1988,1155" stroked="true" strokeweight=".117pt" strokecolor="#000000">
              <v:stroke dashstyle="solid"/>
            </v:line>
            <v:line style="position:absolute" from="1913,1309" to="2067,1155" stroked="true" strokeweight=".117pt" strokecolor="#000000">
              <v:stroke dashstyle="solid"/>
            </v:line>
            <v:line style="position:absolute" from="1992,1309" to="2144,1155" stroked="true" strokeweight=".117pt" strokecolor="#000000">
              <v:stroke dashstyle="solid"/>
            </v:line>
            <v:line style="position:absolute" from="2069,1309" to="2223,1155" stroked="true" strokeweight=".117pt" strokecolor="#000000">
              <v:stroke dashstyle="solid"/>
            </v:line>
            <v:shape style="position:absolute;left:2147;top:1155;width:154;height:154" coordorigin="2148,1155" coordsize="154,154" path="m2148,1309l2238,1218,2302,1155e" filled="false" stroked="true" strokeweight=".117pt" strokecolor="#000000">
              <v:path arrowok="t"/>
              <v:stroke dashstyle="solid"/>
            </v:shape>
            <v:shape style="position:absolute;left:2226;top:1155;width:154;height:154" coordorigin="2226,1155" coordsize="154,154" path="m2226,1309l2238,1297,2380,1155e" filled="false" stroked="true" strokeweight=".117pt" strokecolor="#000000">
              <v:path arrowok="t"/>
              <v:stroke dashstyle="solid"/>
            </v:shape>
            <v:line style="position:absolute" from="2305,1309" to="2459,1155" stroked="true" strokeweight=".117pt" strokecolor="#000000">
              <v:stroke dashstyle="solid"/>
            </v:line>
            <v:line style="position:absolute" from="2384,1309" to="2537,1155" stroked="true" strokeweight=".117pt" strokecolor="#000000">
              <v:stroke dashstyle="solid"/>
            </v:line>
            <v:line style="position:absolute" from="2461,1309" to="2615,1155" stroked="true" strokeweight=".117pt" strokecolor="#000000">
              <v:stroke dashstyle="solid"/>
            </v:line>
            <v:line style="position:absolute" from="2540,1309" to="2693,1155" stroked="true" strokeweight=".117pt" strokecolor="#000000">
              <v:stroke dashstyle="solid"/>
            </v:line>
            <v:line style="position:absolute" from="2618,1309" to="2772,1155" stroked="true" strokeweight=".117pt" strokecolor="#000000">
              <v:stroke dashstyle="solid"/>
            </v:line>
            <v:line style="position:absolute" from="2697,1309" to="2851,1155" stroked="true" strokeweight=".117pt" strokecolor="#000000">
              <v:stroke dashstyle="solid"/>
            </v:line>
            <v:line style="position:absolute" from="2776,1309" to="2929,1155" stroked="true" strokeweight=".117pt" strokecolor="#000000">
              <v:stroke dashstyle="solid"/>
            </v:line>
            <v:line style="position:absolute" from="2854,1309" to="3007,1155" stroked="true" strokeweight=".117pt" strokecolor="#000000">
              <v:stroke dashstyle="solid"/>
            </v:line>
            <v:line style="position:absolute" from="2932,1309" to="3085,1155" stroked="true" strokeweight=".117pt" strokecolor="#000000">
              <v:stroke dashstyle="solid"/>
            </v:line>
            <v:line style="position:absolute" from="3010,1309" to="3164,1155" stroked="true" strokeweight=".117pt" strokecolor="#000000">
              <v:stroke dashstyle="solid"/>
            </v:line>
            <v:line style="position:absolute" from="3011,1386" to="3165,1233" stroked="true" strokeweight=".117pt" strokecolor="#000000">
              <v:stroke dashstyle="solid"/>
            </v:line>
            <v:line style="position:absolute" from="3011,1465" to="3165,1311" stroked="true" strokeweight=".117pt" strokecolor="#000000">
              <v:stroke dashstyle="solid"/>
            </v:line>
            <v:line style="position:absolute" from="3011,1543" to="3165,1390" stroked="true" strokeweight=".117pt" strokecolor="#000000">
              <v:stroke dashstyle="solid"/>
            </v:line>
            <v:line style="position:absolute" from="3011,1621" to="3165,1467" stroked="true" strokeweight=".117pt" strokecolor="#000000">
              <v:stroke dashstyle="solid"/>
            </v:line>
            <v:line style="position:absolute" from="3011,1700" to="3165,1546" stroked="true" strokeweight=".117pt" strokecolor="#000000">
              <v:stroke dashstyle="solid"/>
            </v:line>
            <v:line style="position:absolute" from="3011,1779" to="3165,1625" stroked="true" strokeweight=".117pt" strokecolor="#000000">
              <v:stroke dashstyle="solid"/>
            </v:line>
            <v:line style="position:absolute" from="3011,1857" to="3165,1704" stroked="true" strokeweight=".117pt" strokecolor="#000000">
              <v:stroke dashstyle="solid"/>
            </v:line>
            <v:line style="position:absolute" from="3011,1935" to="3165,1782" stroked="true" strokeweight=".117pt" strokecolor="#000000">
              <v:stroke dashstyle="solid"/>
            </v:line>
            <v:line style="position:absolute" from="3011,2014" to="3165,1860" stroked="true" strokeweight=".117pt" strokecolor="#000000">
              <v:stroke dashstyle="solid"/>
            </v:line>
            <v:line style="position:absolute" from="3011,2092" to="3165,1938" stroked="true" strokeweight=".117pt" strokecolor="#000000">
              <v:stroke dashstyle="solid"/>
            </v:line>
            <v:line style="position:absolute" from="3011,2171" to="3165,2017" stroked="true" strokeweight=".117pt" strokecolor="#000000">
              <v:stroke dashstyle="solid"/>
            </v:line>
            <v:line style="position:absolute" from="3011,2250" to="3165,2096" stroked="true" strokeweight=".117pt" strokecolor="#000000">
              <v:stroke dashstyle="solid"/>
            </v:line>
            <v:line style="position:absolute" from="3011,2327" to="3165,2175" stroked="true" strokeweight=".117pt" strokecolor="#000000">
              <v:stroke dashstyle="solid"/>
            </v:line>
            <v:line style="position:absolute" from="3011,2406" to="3165,2252" stroked="true" strokeweight=".117pt" strokecolor="#000000">
              <v:stroke dashstyle="solid"/>
            </v:line>
            <v:line style="position:absolute" from="3011,2485" to="3165,2331" stroked="true" strokeweight=".117pt" strokecolor="#000000">
              <v:stroke dashstyle="solid"/>
            </v:line>
            <v:line style="position:absolute" from="3033,2542" to="3165,2409" stroked="true" strokeweight=".117pt" strokecolor="#000000">
              <v:stroke dashstyle="solid"/>
            </v:line>
            <v:line style="position:absolute" from="3111,2542" to="3165,2488" stroked="true" strokeweight=".117pt" strokecolor="#000000">
              <v:stroke dashstyle="solid"/>
            </v:line>
            <v:shape style="position:absolute;left:3327;top:760;width:2191;height:1783" type="#_x0000_t75" stroked="false">
              <v:imagedata r:id="rId19" o:title=""/>
            </v:shape>
            <v:line style="position:absolute" from="4890,1155" to="1779,1155" stroked="true" strokeweight=".411pt" strokecolor="#000000">
              <v:stroke dashstyle="solid"/>
            </v:line>
            <v:shape style="position:absolute;left:3504;top:1109;width:56;height:56" coordorigin="3504,1109" coordsize="56,56" path="m3559,1109l3506,1150,3504,1164e" filled="false" stroked="true" strokeweight=".411pt" strokecolor="#000000">
              <v:path arrowok="t"/>
              <v:stroke dashstyle="solid"/>
            </v:shape>
            <v:shape style="position:absolute;left:3110;top:1109;width:56;height:56" coordorigin="3110,1109" coordsize="56,56" path="m3165,1164l3124,1110,3110,1109e" filled="false" stroked="true" strokeweight=".411pt" strokecolor="#000000">
              <v:path arrowok="t"/>
              <v:stroke dashstyle="solid"/>
            </v:shape>
            <v:shape style="position:absolute;left:4358;top:759;width:971;height:380" type="#_x0000_t75" stroked="false">
              <v:imagedata r:id="rId20" o:title=""/>
            </v:shape>
            <v:shape style="position:absolute;left:3162;top:1153;width:343;height:778" type="#_x0000_t75" stroked="false">
              <v:imagedata r:id="rId21" o:title=""/>
            </v:shape>
            <v:line style="position:absolute" from="3358,1715" to="3859,2202" stroked="true" strokeweight=".117pt" strokecolor="#000000">
              <v:stroke dashstyle="solid"/>
            </v:line>
            <w10:wrap type="topAndBottom"/>
          </v:group>
        </w:pict>
      </w:r>
      <w:r>
        <w:rPr/>
        <w:drawing>
          <wp:anchor distT="0" distB="0" distL="0" distR="0" allowOverlap="1" layoutInCell="1" locked="0" behindDoc="0" simplePos="0" relativeHeight="45">
            <wp:simplePos x="0" y="0"/>
            <wp:positionH relativeFrom="page">
              <wp:posOffset>3584378</wp:posOffset>
            </wp:positionH>
            <wp:positionV relativeFrom="paragraph">
              <wp:posOffset>806565</wp:posOffset>
            </wp:positionV>
            <wp:extent cx="529272" cy="145732"/>
            <wp:effectExtent l="0" t="0" r="0" b="0"/>
            <wp:wrapTopAndBottom/>
            <wp:docPr id="3" name="image14.png"/>
            <wp:cNvGraphicFramePr>
              <a:graphicFrameLocks noChangeAspect="1"/>
            </wp:cNvGraphicFramePr>
            <a:graphic>
              <a:graphicData uri="http://schemas.openxmlformats.org/drawingml/2006/picture">
                <pic:pic>
                  <pic:nvPicPr>
                    <pic:cNvPr id="4" name="image14.png"/>
                    <pic:cNvPicPr/>
                  </pic:nvPicPr>
                  <pic:blipFill>
                    <a:blip r:embed="rId22" cstate="print"/>
                    <a:stretch>
                      <a:fillRect/>
                    </a:stretch>
                  </pic:blipFill>
                  <pic:spPr>
                    <a:xfrm>
                      <a:off x="0" y="0"/>
                      <a:ext cx="529272" cy="145732"/>
                    </a:xfrm>
                    <a:prstGeom prst="rect">
                      <a:avLst/>
                    </a:prstGeom>
                  </pic:spPr>
                </pic:pic>
              </a:graphicData>
            </a:graphic>
          </wp:anchor>
        </w:drawing>
      </w:r>
      <w:r>
        <w:rPr/>
        <w:pict>
          <v:group style="position:absolute;margin-left:371.474487pt;margin-top:10.719077pt;width:164.4pt;height:116.45pt;mso-position-horizontal-relative:page;mso-position-vertical-relative:paragraph;z-index:-251611136;mso-wrap-distance-left:0;mso-wrap-distance-right:0" coordorigin="7429,214" coordsize="3288,2329">
            <v:shape style="position:absolute;left:7429;top:761;width:3189;height:1782" type="#_x0000_t75" stroked="false">
              <v:imagedata r:id="rId23" o:title=""/>
            </v:shape>
            <v:line style="position:absolute" from="10658,919" to="10072,919" stroked="true" strokeweight=".117pt" strokecolor="#000000">
              <v:stroke dashstyle="solid"/>
            </v:line>
            <v:shape style="position:absolute;left:8856;top:1095;width:259;height:587" type="#_x0000_t75" stroked="false">
              <v:imagedata r:id="rId24" o:title=""/>
            </v:shape>
            <v:shape style="position:absolute;left:9690;top:515;width:1011;height:109" type="#_x0000_t75" stroked="false">
              <v:imagedata r:id="rId25" o:title=""/>
            </v:shape>
            <v:line style="position:absolute" from="10717,637" to="9654,637" stroked="true" strokeweight=".117pt" strokecolor="#000000">
              <v:stroke dashstyle="solid"/>
            </v:line>
            <v:shape style="position:absolute;left:9336;top:215;width:66;height:86" coordorigin="9336,216" coordsize="66,86" path="m9347,272l9336,273,9336,279,9338,283,9341,290,9343,292,9349,297,9353,298,9354,299,9360,301,9367,301,9374,301,9377,301,9384,299,9395,293,9396,292,9369,292,9358,289,9350,282,9348,280,9347,277,9347,272xm9376,216l9363,216,9360,217,9356,217,9353,218,9350,219,9348,221,9345,224,9341,231,9340,234,9340,243,9341,246,9342,248,9343,250,9345,252,9352,257,9353,257,9355,258,9359,259,9364,261,9371,262,9377,264,9382,266,9384,266,9389,271,9391,274,9391,281,9389,285,9381,290,9369,292,9396,292,9401,283,9402,271,9395,260,9391,258,9388,257,9388,255,9386,255,9375,251,9365,251,9353,245,9353,244,9350,241,9350,234,9352,232,9354,228,9355,228,9357,227,9364,225,9394,225,9391,223,9384,218,9383,218,9376,216xm9394,225l9374,225,9381,227,9383,230,9386,231,9387,234,9388,237,9389,241,9400,240,9400,237,9399,233,9397,231,9396,227,9394,225xe" filled="true" fillcolor="#000000" stroked="false">
              <v:path arrowok="t"/>
              <v:fill type="solid"/>
            </v:shape>
            <v:shape style="position:absolute;left:9336;top:215;width:66;height:86" coordorigin="9336,216" coordsize="66,86" path="m9336,273l9347,272,9347,277,9348,280,9350,282,9358,289,9369,292,9381,290,9389,285,9391,281,9391,274,9389,271,9387,268,9384,266,9382,266,9377,264,9371,262,9364,261,9359,259,9355,258,9353,257,9352,257,9345,252,9343,250,9342,248,9341,246,9340,243,9340,234,9348,221,9350,219,9353,218,9356,217,9360,217,9363,216,9376,216,9383,218,9384,218,9391,223,9396,227,9397,231,9399,233,9400,237,9400,240,9389,241,9388,237,9387,234,9386,231,9383,230,9381,227,9374,225,9364,225,9357,227,9355,228,9354,228,9352,232,9350,234,9350,241,9353,244,9353,245,9355,246,9365,251,9375,251,9386,255,9388,255,9388,257,9391,258,9395,260,9402,271,9401,283,9395,293,9384,299,9377,301,9374,301,9367,301,9360,301,9354,299,9353,298,9349,297,9343,292,9341,290,9338,282,9336,279,9336,273xe" filled="false" stroked="true" strokeweight=".117pt" strokecolor="#000000">
              <v:path arrowok="t"/>
              <v:stroke dashstyle="solid"/>
            </v:shape>
            <v:shape style="position:absolute;left:9417;top:216;width:63;height:84" coordorigin="9417,217" coordsize="63,84" path="m9477,217l9417,217,9417,300,9479,300,9479,291,9429,291,9429,261,9475,261,9475,252,9429,252,9429,226,9477,226,9477,217xe" filled="true" fillcolor="#000000" stroked="false">
              <v:path arrowok="t"/>
              <v:fill type="solid"/>
            </v:shape>
            <v:shape style="position:absolute;left:9417;top:216;width:63;height:84" coordorigin="9417,217" coordsize="63,84" path="m9417,300l9417,217,9477,217,9477,226,9429,226,9429,252,9475,252,9475,261,9429,261,9429,291,9479,291,9479,300,9417,300xe" filled="false" stroked="true" strokeweight=".117pt" strokecolor="#000000">
              <v:path arrowok="t"/>
              <v:stroke dashstyle="solid"/>
            </v:shape>
            <v:shape style="position:absolute;left:9494;top:216;width:52;height:84" coordorigin="9495,217" coordsize="52,84" path="m9505,217l9495,217,9495,300,9546,300,9546,291,9505,291,9505,217xe" filled="true" fillcolor="#000000" stroked="false">
              <v:path arrowok="t"/>
              <v:fill type="solid"/>
            </v:shape>
            <v:shape style="position:absolute;left:9494;top:216;width:52;height:84" coordorigin="9495,217" coordsize="52,84" path="m9495,300l9495,217,9505,217,9505,291,9546,291,9546,300,9495,300xe" filled="false" stroked="true" strokeweight=".117pt" strokecolor="#000000">
              <v:path arrowok="t"/>
              <v:stroke dashstyle="solid"/>
            </v:shape>
            <v:shape style="position:absolute;left:9559;top:216;width:52;height:84" coordorigin="9559,217" coordsize="52,84" path="m9570,217l9559,217,9559,300,9611,300,9611,291,9570,291,9570,217xe" filled="true" fillcolor="#000000" stroked="false">
              <v:path arrowok="t"/>
              <v:fill type="solid"/>
            </v:shape>
            <v:shape style="position:absolute;left:9559;top:216;width:52;height:84" coordorigin="9559,217" coordsize="52,84" path="m9559,300l9559,217,9570,217,9570,291,9611,291,9611,300,9559,300xe" filled="false" stroked="true" strokeweight=".117pt" strokecolor="#000000">
              <v:path arrowok="t"/>
              <v:stroke dashstyle="solid"/>
            </v:shape>
            <v:shape style="position:absolute;left:9614;top:216;width:57;height:84" coordorigin="9614,217" coordsize="57,84" path="m9659,217l9647,217,9614,300,9626,300,9636,274,9671,274,9639,266,9648,241,9648,239,9650,236,9651,233,9652,230,9652,226,9659,217xe" filled="true" fillcolor="#000000" stroked="false">
              <v:path arrowok="t"/>
              <v:fill type="solid"/>
            </v:shape>
            <v:shape style="position:absolute;left:9614;top:216;width:57;height:84" coordorigin="9614,217" coordsize="57,84" path="m9659,217l9647,217,9614,300,9626,300,9636,274,9671,274,9639,266,9648,241,9648,239,9650,236,9651,233,9652,230,9652,226,9659,217xe" filled="false" stroked="true" strokeweight=".117pt" strokecolor="#000000">
              <v:path arrowok="t"/>
              <v:stroke dashstyle="solid"/>
            </v:shape>
            <v:shape style="position:absolute;left:9639;top:216;width:54;height:84" coordorigin="9639,217" coordsize="54,84" path="m9659,217l9652,226,9653,228,9658,243,9667,266,9639,266,9671,274,9680,300,9693,300,9659,217xe" filled="true" fillcolor="#000000" stroked="false">
              <v:path arrowok="t"/>
              <v:fill type="solid"/>
            </v:shape>
            <v:shape style="position:absolute;left:9639;top:216;width:54;height:84" coordorigin="9639,217" coordsize="54,84" path="m9659,217l9652,226,9653,228,9656,236,9657,239,9658,243,9667,266,9639,266,9671,274,9680,300,9693,300,9659,217xe" filled="false" stroked="true" strokeweight=".117pt" strokecolor="#000000">
              <v:path arrowok="t"/>
              <v:stroke dashstyle="solid"/>
            </v:shape>
            <v:shape style="position:absolute;left:9701;top:216;width:66;height:84" coordorigin="9701,217" coordsize="66,84" path="m9713,217l9701,217,9701,300,9712,300,9712,234,9725,234,9713,217xm9725,234l9712,234,9755,300,9767,300,9767,282,9756,282,9725,234xm9767,217l9756,217,9756,282,9767,282,9767,217xe" filled="true" fillcolor="#000000" stroked="false">
              <v:path arrowok="t"/>
              <v:fill type="solid"/>
            </v:shape>
            <v:shape style="position:absolute;left:9701;top:216;width:66;height:84" coordorigin="9701,217" coordsize="66,84" path="m9701,300l9701,217,9713,217,9756,282,9756,217,9767,217,9767,300,9755,300,9712,234,9712,300,9701,300xe" filled="false" stroked="true" strokeweight=".117pt" strokecolor="#000000">
              <v:path arrowok="t"/>
              <v:stroke dashstyle="solid"/>
            </v:shape>
            <v:shape style="position:absolute;left:9778;top:216;width:67;height:84" coordorigin="9779,217" coordsize="67,84" path="m9817,226l9807,226,9807,300,9817,300,9817,226xm9846,217l9779,217,9779,226,9846,226,9846,217xe" filled="true" fillcolor="#000000" stroked="false">
              <v:path arrowok="t"/>
              <v:fill type="solid"/>
            </v:shape>
            <v:shape style="position:absolute;left:9778;top:216;width:67;height:84" coordorigin="9779,217" coordsize="67,84" path="m9807,300l9807,226,9779,226,9779,217,9846,217,9846,226,9817,226,9817,300,9807,300xe" filled="false" stroked="true" strokeweight=".117pt" strokecolor="#000000">
              <v:path arrowok="t"/>
              <v:stroke dashstyle="solid"/>
            </v:shape>
            <v:shape style="position:absolute;left:9856;top:216;width:63;height:84" coordorigin="9856,217" coordsize="63,84" path="m9917,217l9856,217,9856,300,9918,300,9918,291,9868,291,9868,261,9914,261,9914,252,9868,252,9868,226,9917,226,9917,217xe" filled="true" fillcolor="#000000" stroked="false">
              <v:path arrowok="t"/>
              <v:fill type="solid"/>
            </v:shape>
            <v:shape style="position:absolute;left:9856;top:216;width:63;height:84" coordorigin="9856,217" coordsize="63,84" path="m9856,300l9856,217,9917,217,9917,226,9868,226,9868,252,9914,252,9914,261,9868,261,9868,291,9918,291,9918,300,9856,300xe" filled="false" stroked="true" strokeweight=".117pt" strokecolor="#000000">
              <v:path arrowok="t"/>
              <v:stroke dashstyle="solid"/>
            </v:shape>
            <v:shape style="position:absolute;left:8985;top:327;width:946;height:931" coordorigin="8985,327" coordsize="946,931" path="m9931,327l9346,327,8985,1257e" filled="false" stroked="true" strokeweight=".117pt" strokecolor="#000000">
              <v:path arrowok="t"/>
              <v:stroke dashstyle="solid"/>
            </v:shape>
            <v:line style="position:absolute" from="9654,637" to="9477,1096" stroked="true" strokeweight=".117pt" strokecolor="#000000">
              <v:stroke dashstyle="solid"/>
            </v:line>
            <v:line style="position:absolute" from="10072,919" to="10003,1095" stroked="true" strokeweight=".117pt" strokecolor="#000000">
              <v:stroke dashstyle="solid"/>
            </v:line>
            <w10:wrap type="topAndBottom"/>
          </v:group>
        </w:pict>
      </w:r>
    </w:p>
    <w:p>
      <w:pPr>
        <w:spacing w:line="200" w:lineRule="exact" w:before="0"/>
        <w:ind w:left="655" w:right="517" w:firstLine="0"/>
        <w:jc w:val="center"/>
        <w:rPr>
          <w:b/>
          <w:sz w:val="18"/>
        </w:rPr>
      </w:pPr>
      <w:r>
        <w:rPr>
          <w:b/>
          <w:sz w:val="18"/>
        </w:rPr>
        <w:t>Figura 2.6 Ejemplos de juntas de dilatación</w:t>
      </w:r>
    </w:p>
    <w:p>
      <w:pPr>
        <w:pStyle w:val="BodyText"/>
        <w:spacing w:before="7"/>
        <w:rPr>
          <w:b/>
          <w:sz w:val="17"/>
        </w:rPr>
      </w:pPr>
    </w:p>
    <w:p>
      <w:pPr>
        <w:pStyle w:val="Heading5"/>
        <w:numPr>
          <w:ilvl w:val="3"/>
          <w:numId w:val="14"/>
        </w:numPr>
        <w:tabs>
          <w:tab w:pos="928" w:val="left" w:leader="none"/>
        </w:tabs>
        <w:spacing w:line="240" w:lineRule="auto" w:before="0" w:after="0"/>
        <w:ind w:left="927" w:right="0" w:hanging="710"/>
        <w:jc w:val="left"/>
      </w:pPr>
      <w:r>
        <w:rPr/>
        <w:t>Arranque de la fachada desde la</w:t>
      </w:r>
      <w:r>
        <w:rPr>
          <w:spacing w:val="-4"/>
        </w:rPr>
        <w:t> </w:t>
      </w:r>
      <w:r>
        <w:rPr/>
        <w:t>cimentación</w:t>
      </w:r>
    </w:p>
    <w:p>
      <w:pPr>
        <w:pStyle w:val="ListParagraph"/>
        <w:numPr>
          <w:ilvl w:val="0"/>
          <w:numId w:val="32"/>
        </w:numPr>
        <w:tabs>
          <w:tab w:pos="672" w:val="left" w:leader="none"/>
        </w:tabs>
        <w:spacing w:line="240" w:lineRule="auto" w:before="159" w:after="0"/>
        <w:ind w:left="672" w:right="392" w:hanging="454"/>
        <w:jc w:val="both"/>
        <w:rPr>
          <w:sz w:val="20"/>
        </w:rPr>
      </w:pPr>
      <w:r>
        <w:rPr>
          <w:sz w:val="20"/>
        </w:rPr>
        <w:t>Debe disponerse una barrera impermeable que cubra todo el espesor de la fachada a más de 15 cm por encima del nivel del suelo exterior para evitar el ascenso de agua por </w:t>
      </w:r>
      <w:r>
        <w:rPr>
          <w:i/>
          <w:sz w:val="20"/>
        </w:rPr>
        <w:t>capilaridad </w:t>
      </w:r>
      <w:r>
        <w:rPr>
          <w:sz w:val="20"/>
        </w:rPr>
        <w:t>o adoptarse otra solución que produzca el mismo</w:t>
      </w:r>
      <w:r>
        <w:rPr>
          <w:spacing w:val="-6"/>
          <w:sz w:val="20"/>
        </w:rPr>
        <w:t> </w:t>
      </w:r>
      <w:r>
        <w:rPr>
          <w:sz w:val="20"/>
        </w:rPr>
        <w:t>efecto.</w:t>
      </w:r>
    </w:p>
    <w:p>
      <w:pPr>
        <w:pStyle w:val="ListParagraph"/>
        <w:numPr>
          <w:ilvl w:val="0"/>
          <w:numId w:val="32"/>
        </w:numPr>
        <w:tabs>
          <w:tab w:pos="672" w:val="left" w:leader="none"/>
        </w:tabs>
        <w:spacing w:line="240" w:lineRule="auto" w:before="120" w:after="0"/>
        <w:ind w:left="672" w:right="390" w:hanging="454"/>
        <w:jc w:val="both"/>
        <w:rPr>
          <w:sz w:val="20"/>
        </w:rPr>
      </w:pPr>
      <w:r>
        <w:rPr>
          <w:sz w:val="20"/>
        </w:rPr>
        <w:t>Cuando la fachada esté constituida por un material poroso o tenga un revestimiento poroso, para protegerla de las salpicaduras, debe disponerse un zócalo de un material cuyo coeficiente de </w:t>
      </w:r>
      <w:r>
        <w:rPr>
          <w:i/>
          <w:sz w:val="20"/>
        </w:rPr>
        <w:t>succión </w:t>
      </w:r>
      <w:r>
        <w:rPr>
          <w:sz w:val="20"/>
        </w:rPr>
        <w:t>sea menor que el 3%, de más de 30 cm de altura sobre el nivel del suelo exterior que cubra el </w:t>
      </w:r>
      <w:r>
        <w:rPr>
          <w:i/>
          <w:sz w:val="20"/>
        </w:rPr>
        <w:t>impermeabilizante </w:t>
      </w:r>
      <w:r>
        <w:rPr>
          <w:sz w:val="20"/>
        </w:rPr>
        <w:t>del muro o la barrera impermeable dispuesta entre el muro y la fachada, y sellarse la unión con la fachada en su parte superior, o debe adoptarse otra solución que produzca el mismo efecto (Véase la figura</w:t>
      </w:r>
      <w:r>
        <w:rPr>
          <w:spacing w:val="-4"/>
          <w:sz w:val="20"/>
        </w:rPr>
        <w:t> </w:t>
      </w:r>
      <w:r>
        <w:rPr>
          <w:sz w:val="20"/>
        </w:rPr>
        <w:t>2.7).</w:t>
      </w:r>
    </w:p>
    <w:p>
      <w:pPr>
        <w:pStyle w:val="BodyText"/>
        <w:rPr>
          <w:sz w:val="22"/>
        </w:rPr>
      </w:pPr>
    </w:p>
    <w:p>
      <w:pPr>
        <w:pStyle w:val="BodyText"/>
        <w:spacing w:before="9"/>
        <w:rPr>
          <w:sz w:val="18"/>
        </w:rPr>
      </w:pPr>
    </w:p>
    <w:p>
      <w:pPr>
        <w:spacing w:before="0"/>
        <w:ind w:left="1958" w:right="418" w:firstLine="0"/>
        <w:jc w:val="left"/>
        <w:rPr>
          <w:sz w:val="16"/>
        </w:rPr>
      </w:pPr>
      <w:r>
        <w:rPr/>
        <w:pict>
          <v:line style="position:absolute;mso-position-horizontal-relative:page;mso-position-vertical-relative:paragraph;z-index:251709440" from="152.520004pt,-2.875681pt" to="152.520004pt,21.544319pt" stroked="true" strokeweight=".48pt" strokecolor="#000000">
            <v:stroke dashstyle="solid"/>
            <w10:wrap type="none"/>
          </v:line>
        </w:pict>
      </w:r>
      <w:r>
        <w:rPr>
          <w:sz w:val="16"/>
        </w:rPr>
        <w:t>Cuando dice succión se refiere a la absorción según el ensayo descrito en UNE EN 13755 Métodos de ensayo para piedra natural. Determinación de la absorción de agua a presión atmosférica.</w:t>
      </w:r>
    </w:p>
    <w:p>
      <w:pPr>
        <w:pStyle w:val="BodyText"/>
      </w:pPr>
    </w:p>
    <w:p>
      <w:pPr>
        <w:pStyle w:val="BodyText"/>
        <w:spacing w:before="1"/>
        <w:rPr>
          <w:sz w:val="13"/>
        </w:rPr>
      </w:pPr>
      <w:r>
        <w:rPr/>
        <w:pict>
          <v:group style="position:absolute;margin-left:184.434998pt;margin-top:9.506174pt;width:256.05pt;height:125.95pt;mso-position-horizontal-relative:page;mso-position-vertical-relative:paragraph;z-index:-251610112;mso-wrap-distance-left:0;mso-wrap-distance-right:0" coordorigin="3689,190" coordsize="5121,2519">
            <v:line style="position:absolute" from="7080,194" to="7013,194" stroked="true" strokeweight=".346pt" strokecolor="#000000">
              <v:stroke dashstyle="solid"/>
            </v:line>
            <v:line style="position:absolute" from="6948,194" to="6944,194" stroked="true" strokeweight=".346pt" strokecolor="#000000">
              <v:stroke dashstyle="solid"/>
            </v:line>
            <v:line style="position:absolute" from="5608,194" to="5605,194" stroked="true" strokeweight=".346pt" strokecolor="#000000">
              <v:stroke dashstyle="solid"/>
            </v:line>
            <v:line style="position:absolute" from="5539,194" to="5472,194" stroked="true" strokeweight=".346pt" strokecolor="#000000">
              <v:stroke dashstyle="solid"/>
            </v:line>
            <v:line style="position:absolute" from="7080,2706" to="7013,2706" stroked="true" strokeweight=".346pt" strokecolor="#000000">
              <v:stroke dashstyle="solid"/>
            </v:line>
            <v:line style="position:absolute" from="6948,2706" to="6944,2706" stroked="true" strokeweight=".346pt" strokecolor="#000000">
              <v:stroke dashstyle="solid"/>
            </v:line>
            <v:shape style="position:absolute;left:3688;top:190;width:5121;height:2519" type="#_x0000_t75" stroked="false">
              <v:imagedata r:id="rId26" o:title=""/>
            </v:shape>
            <w10:wrap type="topAndBottom"/>
          </v:group>
        </w:pict>
      </w:r>
    </w:p>
    <w:p>
      <w:pPr>
        <w:spacing w:line="188" w:lineRule="exact" w:before="0"/>
        <w:ind w:left="655" w:right="520" w:firstLine="0"/>
        <w:jc w:val="center"/>
        <w:rPr>
          <w:b/>
          <w:sz w:val="18"/>
        </w:rPr>
      </w:pPr>
      <w:r>
        <w:rPr>
          <w:b/>
          <w:sz w:val="18"/>
        </w:rPr>
        <w:t>Figura 2.7 Ejemplo de arranque de la fachada desde la cimentación</w:t>
      </w:r>
    </w:p>
    <w:p>
      <w:pPr>
        <w:spacing w:after="0" w:line="188" w:lineRule="exact"/>
        <w:jc w:val="center"/>
        <w:rPr>
          <w:sz w:val="18"/>
        </w:rPr>
        <w:sectPr>
          <w:pgSz w:w="11910" w:h="16840"/>
          <w:pgMar w:header="724" w:footer="636" w:top="1320" w:bottom="840" w:left="1200" w:right="738"/>
        </w:sectPr>
      </w:pPr>
    </w:p>
    <w:p>
      <w:pPr>
        <w:pStyle w:val="ListParagraph"/>
        <w:numPr>
          <w:ilvl w:val="0"/>
          <w:numId w:val="32"/>
        </w:numPr>
        <w:tabs>
          <w:tab w:pos="672" w:val="left" w:leader="none"/>
        </w:tabs>
        <w:spacing w:line="240" w:lineRule="auto" w:before="89" w:after="0"/>
        <w:ind w:left="671" w:right="392" w:hanging="454"/>
        <w:jc w:val="both"/>
        <w:rPr>
          <w:sz w:val="20"/>
        </w:rPr>
      </w:pPr>
      <w:r>
        <w:rPr>
          <w:sz w:val="20"/>
        </w:rPr>
        <w:t>Cuando no sea necesaria la disposición del zócalo, el remate de la barrera impermeable en el exterior de la fachada debe realizarse según lo descrito en el apartado 2.4.4.1.2 o disponiendo un sellado.</w:t>
      </w:r>
    </w:p>
    <w:p>
      <w:pPr>
        <w:pStyle w:val="BodyText"/>
        <w:rPr>
          <w:sz w:val="22"/>
        </w:rPr>
      </w:pPr>
    </w:p>
    <w:p>
      <w:pPr>
        <w:pStyle w:val="BodyText"/>
        <w:spacing w:before="10"/>
        <w:rPr>
          <w:sz w:val="18"/>
        </w:rPr>
      </w:pPr>
    </w:p>
    <w:p>
      <w:pPr>
        <w:spacing w:before="0"/>
        <w:ind w:left="1958" w:right="418" w:firstLine="0"/>
        <w:jc w:val="left"/>
        <w:rPr>
          <w:sz w:val="16"/>
        </w:rPr>
      </w:pPr>
      <w:r>
        <w:rPr/>
        <w:pict>
          <v:line style="position:absolute;mso-position-horizontal-relative:page;mso-position-vertical-relative:paragraph;z-index:251712512" from="152.520004pt,-2.875798pt" to="152.520004pt,21.544202pt" stroked="true" strokeweight=".48pt" strokecolor="#000000">
            <v:stroke dashstyle="solid"/>
            <w10:wrap type="none"/>
          </v:line>
        </w:pict>
      </w:r>
      <w:r>
        <w:rPr>
          <w:sz w:val="16"/>
        </w:rPr>
        <w:t>Se pretende limitar el riesgo de que el agua proveniente del terreno, de las precipitaciones y de las esco- rrentías ascienda por capilaridad y absorción por la fachada.</w:t>
      </w:r>
    </w:p>
    <w:p>
      <w:pPr>
        <w:pStyle w:val="BodyText"/>
      </w:pPr>
    </w:p>
    <w:p>
      <w:pPr>
        <w:pStyle w:val="BodyText"/>
        <w:spacing w:before="1"/>
        <w:rPr>
          <w:sz w:val="25"/>
        </w:rPr>
      </w:pPr>
    </w:p>
    <w:p>
      <w:pPr>
        <w:pStyle w:val="Heading5"/>
        <w:numPr>
          <w:ilvl w:val="3"/>
          <w:numId w:val="14"/>
        </w:numPr>
        <w:tabs>
          <w:tab w:pos="928" w:val="left" w:leader="none"/>
        </w:tabs>
        <w:spacing w:line="240" w:lineRule="auto" w:before="94" w:after="0"/>
        <w:ind w:left="927" w:right="0" w:hanging="710"/>
        <w:jc w:val="left"/>
      </w:pPr>
      <w:r>
        <w:rPr/>
        <w:t>Encuentros de la fachada con los</w:t>
      </w:r>
      <w:r>
        <w:rPr>
          <w:spacing w:val="-4"/>
        </w:rPr>
        <w:t> </w:t>
      </w:r>
      <w:r>
        <w:rPr/>
        <w:t>forjados</w:t>
      </w:r>
    </w:p>
    <w:p>
      <w:pPr>
        <w:pStyle w:val="ListParagraph"/>
        <w:numPr>
          <w:ilvl w:val="0"/>
          <w:numId w:val="33"/>
        </w:numPr>
        <w:tabs>
          <w:tab w:pos="671" w:val="left" w:leader="none"/>
          <w:tab w:pos="672" w:val="left" w:leader="none"/>
        </w:tabs>
        <w:spacing w:line="240" w:lineRule="auto" w:before="157" w:after="0"/>
        <w:ind w:left="671" w:right="0" w:hanging="454"/>
        <w:jc w:val="left"/>
        <w:rPr>
          <w:i/>
          <w:sz w:val="20"/>
        </w:rPr>
      </w:pPr>
      <w:r>
        <w:rPr>
          <w:sz w:val="20"/>
        </w:rPr>
        <w:t>Cuando la </w:t>
      </w:r>
      <w:r>
        <w:rPr>
          <w:i/>
          <w:sz w:val="20"/>
        </w:rPr>
        <w:t>hoja principal </w:t>
      </w:r>
      <w:r>
        <w:rPr>
          <w:sz w:val="20"/>
        </w:rPr>
        <w:t>esté interrumpida por los forjados y se tenga </w:t>
      </w:r>
      <w:r>
        <w:rPr>
          <w:i/>
          <w:sz w:val="20"/>
        </w:rPr>
        <w:t>revestimiento</w:t>
      </w:r>
      <w:r>
        <w:rPr>
          <w:i/>
          <w:spacing w:val="46"/>
          <w:sz w:val="20"/>
        </w:rPr>
        <w:t> </w:t>
      </w:r>
      <w:r>
        <w:rPr>
          <w:i/>
          <w:sz w:val="20"/>
        </w:rPr>
        <w:t>exterior</w:t>
      </w:r>
    </w:p>
    <w:p>
      <w:pPr>
        <w:pStyle w:val="BodyText"/>
        <w:spacing w:before="1"/>
        <w:ind w:left="671"/>
      </w:pPr>
      <w:r>
        <w:rPr/>
        <w:t>continuo, debe adoptarse una de las dos soluciones siguientes (Véase la figura 2.8):</w:t>
      </w:r>
    </w:p>
    <w:p>
      <w:pPr>
        <w:pStyle w:val="ListParagraph"/>
        <w:numPr>
          <w:ilvl w:val="1"/>
          <w:numId w:val="33"/>
        </w:numPr>
        <w:tabs>
          <w:tab w:pos="1127" w:val="left" w:leader="none"/>
        </w:tabs>
        <w:spacing w:line="240" w:lineRule="auto" w:before="120" w:after="0"/>
        <w:ind w:left="1125" w:right="390" w:hanging="454"/>
        <w:jc w:val="both"/>
        <w:rPr>
          <w:sz w:val="20"/>
        </w:rPr>
      </w:pPr>
      <w:r>
        <w:rPr>
          <w:sz w:val="20"/>
        </w:rPr>
        <w:t>disposición de una junta de desolidarización entre la </w:t>
      </w:r>
      <w:r>
        <w:rPr>
          <w:i/>
          <w:sz w:val="20"/>
        </w:rPr>
        <w:t>hoja principal </w:t>
      </w:r>
      <w:r>
        <w:rPr>
          <w:sz w:val="20"/>
        </w:rPr>
        <w:t>y cada forjado por debajo de éstos dejando una holgura de 2 cm que debe rellenarse después de la retracción de la </w:t>
      </w:r>
      <w:r>
        <w:rPr>
          <w:i/>
          <w:sz w:val="20"/>
        </w:rPr>
        <w:t>hoja </w:t>
      </w:r>
      <w:r>
        <w:rPr>
          <w:i/>
          <w:sz w:val="20"/>
        </w:rPr>
        <w:t>principal </w:t>
      </w:r>
      <w:r>
        <w:rPr>
          <w:sz w:val="20"/>
        </w:rPr>
        <w:t>con un material cuya elasticidad sea compatible con la deformación prevista del forjado y protegerse de la filtración con un</w:t>
      </w:r>
      <w:r>
        <w:rPr>
          <w:spacing w:val="-9"/>
          <w:sz w:val="20"/>
        </w:rPr>
        <w:t> </w:t>
      </w:r>
      <w:r>
        <w:rPr>
          <w:sz w:val="20"/>
        </w:rPr>
        <w:t>goterón;</w:t>
      </w:r>
    </w:p>
    <w:p>
      <w:pPr>
        <w:pStyle w:val="ListParagraph"/>
        <w:numPr>
          <w:ilvl w:val="1"/>
          <w:numId w:val="33"/>
        </w:numPr>
        <w:tabs>
          <w:tab w:pos="1127" w:val="left" w:leader="none"/>
        </w:tabs>
        <w:spacing w:line="240" w:lineRule="auto" w:before="119" w:after="0"/>
        <w:ind w:left="1125" w:right="392" w:hanging="454"/>
        <w:jc w:val="both"/>
        <w:rPr>
          <w:sz w:val="20"/>
        </w:rPr>
      </w:pPr>
      <w:r>
        <w:rPr>
          <w:sz w:val="20"/>
        </w:rPr>
        <w:t>refuerzo del </w:t>
      </w:r>
      <w:r>
        <w:rPr>
          <w:i/>
          <w:sz w:val="20"/>
        </w:rPr>
        <w:t>revestimiento exterior </w:t>
      </w:r>
      <w:r>
        <w:rPr>
          <w:sz w:val="20"/>
        </w:rPr>
        <w:t>con mallas dispuestas a lo largo del forjado de tal forma que sobrepasen el elemento hasta 15 cm por encima del forjado y 15 cm por debajo de la primera hilada de la</w:t>
      </w:r>
      <w:r>
        <w:rPr>
          <w:spacing w:val="-1"/>
          <w:sz w:val="20"/>
        </w:rPr>
        <w:t> </w:t>
      </w:r>
      <w:r>
        <w:rPr>
          <w:sz w:val="20"/>
        </w:rPr>
        <w:t>fábrica.</w:t>
      </w:r>
    </w:p>
    <w:p>
      <w:pPr>
        <w:pStyle w:val="BodyText"/>
        <w:spacing w:before="3"/>
        <w:rPr>
          <w:sz w:val="9"/>
        </w:rPr>
      </w:pPr>
      <w:r>
        <w:rPr/>
        <w:pict>
          <v:group style="position:absolute;margin-left:108.961998pt;margin-top:7.33397pt;width:207.65pt;height:141.1pt;mso-position-horizontal-relative:page;mso-position-vertical-relative:paragraph;z-index:-251606016;mso-wrap-distance-left:0;mso-wrap-distance-right:0" coordorigin="2179,147" coordsize="4153,2822">
            <v:line style="position:absolute" from="5124,2964" to="5067,2964" stroked="true" strokeweight=".408pt" strokecolor="#000000">
              <v:stroke dashstyle="solid"/>
            </v:line>
            <v:line style="position:absolute" from="3853,2964" to="3853,2964" stroked="true" strokeweight=".408pt" strokecolor="#000000">
              <v:stroke dashstyle="solid"/>
            </v:line>
            <v:shape style="position:absolute;left:3736;top:2964;width:58;height:2" coordorigin="3737,2964" coordsize="58,0" path="m3794,2964l3737,2964,3737,2964e" filled="false" stroked="true" strokeweight=".408pt" strokecolor="#000000">
              <v:path arrowok="t"/>
              <v:stroke dashstyle="solid"/>
            </v:shape>
            <v:shape style="position:absolute;left:3736;top:150;width:58;height:2" coordorigin="3737,151" coordsize="58,0" path="m3794,151l3737,151,3737,151e" filled="false" stroked="true" strokeweight=".408pt" strokecolor="#000000">
              <v:path arrowok="t"/>
              <v:stroke dashstyle="solid"/>
            </v:shape>
            <v:line style="position:absolute" from="6327,1956" to="6327,1956" stroked="true" strokeweight=".408pt" strokecolor="#000000">
              <v:stroke dashstyle="solid"/>
            </v:line>
            <v:line style="position:absolute" from="6323,2043" to="6332,2043" stroked="true" strokeweight="2.849pt" strokecolor="#000000">
              <v:stroke dashstyle="solid"/>
            </v:line>
            <v:shape style="position:absolute;left:2179;top:146;width:4153;height:2822" type="#_x0000_t75" stroked="false">
              <v:imagedata r:id="rId27" o:title=""/>
            </v:shape>
            <w10:wrap type="topAndBottom"/>
          </v:group>
        </w:pict>
      </w:r>
      <w:r>
        <w:rPr/>
        <w:pict>
          <v:group style="position:absolute;margin-left:331.966003pt;margin-top:7.33397pt;width:191pt;height:141.1pt;mso-position-horizontal-relative:page;mso-position-vertical-relative:paragraph;z-index:-251604992;mso-wrap-distance-left:0;mso-wrap-distance-right:0" coordorigin="6639,147" coordsize="3820,2822">
            <v:line style="position:absolute" from="7980,2964" to="7980,2964" stroked="true" strokeweight=".408pt" strokecolor="#000000">
              <v:stroke dashstyle="solid"/>
            </v:line>
            <v:shape style="position:absolute;left:7863;top:2964;width:59;height:2" coordorigin="7864,2964" coordsize="59,0" path="m7922,2964l7864,2964,7864,2964e" filled="false" stroked="true" strokeweight=".408pt" strokecolor="#000000">
              <v:path arrowok="t"/>
              <v:stroke dashstyle="solid"/>
            </v:shape>
            <v:shape style="position:absolute;left:7863;top:150;width:59;height:2" coordorigin="7864,151" coordsize="59,0" path="m7922,151l7864,151,7864,151e" filled="false" stroked="true" strokeweight=".408pt" strokecolor="#000000">
              <v:path arrowok="t"/>
              <v:stroke dashstyle="solid"/>
            </v:shape>
            <v:shape style="position:absolute;left:6639;top:146;width:3820;height:2822" type="#_x0000_t75" stroked="false">
              <v:imagedata r:id="rId28" o:title=""/>
            </v:shape>
            <w10:wrap type="topAndBottom"/>
          </v:group>
        </w:pict>
      </w:r>
    </w:p>
    <w:p>
      <w:pPr>
        <w:spacing w:before="59"/>
        <w:ind w:left="2245" w:right="0" w:firstLine="0"/>
        <w:jc w:val="left"/>
        <w:rPr>
          <w:b/>
          <w:sz w:val="18"/>
        </w:rPr>
      </w:pPr>
      <w:r>
        <w:rPr>
          <w:b/>
          <w:sz w:val="18"/>
        </w:rPr>
        <w:t>Figura 2.8 Ejemplos de encuentros de la fachada con los forjados</w:t>
      </w:r>
    </w:p>
    <w:p>
      <w:pPr>
        <w:pStyle w:val="ListParagraph"/>
        <w:numPr>
          <w:ilvl w:val="0"/>
          <w:numId w:val="33"/>
        </w:numPr>
        <w:tabs>
          <w:tab w:pos="671" w:val="left" w:leader="none"/>
          <w:tab w:pos="672" w:val="left" w:leader="none"/>
        </w:tabs>
        <w:spacing w:line="240" w:lineRule="auto" w:before="62" w:after="0"/>
        <w:ind w:left="672" w:right="391" w:hanging="454"/>
        <w:jc w:val="left"/>
        <w:rPr>
          <w:sz w:val="20"/>
        </w:rPr>
      </w:pPr>
      <w:r>
        <w:rPr>
          <w:sz w:val="20"/>
        </w:rPr>
        <w:t>Cuando en otros casos se disponga una junta de desolidarización, ésta debe tener las características anteriormente</w:t>
      </w:r>
      <w:r>
        <w:rPr>
          <w:spacing w:val="-1"/>
          <w:sz w:val="20"/>
        </w:rPr>
        <w:t> </w:t>
      </w:r>
      <w:r>
        <w:rPr>
          <w:sz w:val="20"/>
        </w:rPr>
        <w:t>mencionadas.</w:t>
      </w:r>
    </w:p>
    <w:p>
      <w:pPr>
        <w:pStyle w:val="BodyText"/>
        <w:rPr>
          <w:sz w:val="22"/>
        </w:rPr>
      </w:pPr>
    </w:p>
    <w:p>
      <w:pPr>
        <w:pStyle w:val="BodyText"/>
        <w:spacing w:before="10"/>
        <w:rPr>
          <w:sz w:val="18"/>
        </w:rPr>
      </w:pPr>
    </w:p>
    <w:p>
      <w:pPr>
        <w:spacing w:before="0"/>
        <w:ind w:left="1958" w:right="418" w:firstLine="0"/>
        <w:jc w:val="left"/>
        <w:rPr>
          <w:sz w:val="16"/>
        </w:rPr>
      </w:pPr>
      <w:r>
        <w:rPr/>
        <w:pict>
          <v:line style="position:absolute;mso-position-horizontal-relative:page;mso-position-vertical-relative:paragraph;z-index:251713536" from="152.520004pt,-2.87568pt" to="152.520004pt,21.48432pt" stroked="true" strokeweight=".48pt" strokecolor="#000000">
            <v:stroke dashstyle="solid"/>
            <w10:wrap type="none"/>
          </v:line>
        </w:pict>
      </w:r>
      <w:r>
        <w:rPr>
          <w:sz w:val="16"/>
        </w:rPr>
        <w:t>Se pretende limitar el riesgo de que se produzcan grietas en el revestimiento exterior como consecuencia de los movimientos del forjado, por las que pudiera penetrar el agua.</w:t>
      </w:r>
    </w:p>
    <w:p>
      <w:pPr>
        <w:pStyle w:val="BodyText"/>
      </w:pPr>
    </w:p>
    <w:p>
      <w:pPr>
        <w:pStyle w:val="BodyText"/>
        <w:spacing w:before="11"/>
        <w:rPr>
          <w:sz w:val="24"/>
        </w:rPr>
      </w:pPr>
    </w:p>
    <w:p>
      <w:pPr>
        <w:pStyle w:val="Heading5"/>
        <w:numPr>
          <w:ilvl w:val="3"/>
          <w:numId w:val="14"/>
        </w:numPr>
        <w:tabs>
          <w:tab w:pos="928" w:val="left" w:leader="none"/>
        </w:tabs>
        <w:spacing w:line="240" w:lineRule="auto" w:before="94" w:after="0"/>
        <w:ind w:left="927" w:right="0" w:hanging="710"/>
        <w:jc w:val="left"/>
      </w:pPr>
      <w:r>
        <w:rPr/>
        <w:t>Encuentros de la fachada con los</w:t>
      </w:r>
      <w:r>
        <w:rPr>
          <w:spacing w:val="-7"/>
        </w:rPr>
        <w:t> </w:t>
      </w:r>
      <w:r>
        <w:rPr/>
        <w:t>pilares</w:t>
      </w:r>
    </w:p>
    <w:p>
      <w:pPr>
        <w:pStyle w:val="ListParagraph"/>
        <w:numPr>
          <w:ilvl w:val="0"/>
          <w:numId w:val="34"/>
        </w:numPr>
        <w:tabs>
          <w:tab w:pos="672" w:val="left" w:leader="none"/>
        </w:tabs>
        <w:spacing w:line="240" w:lineRule="auto" w:before="158" w:after="0"/>
        <w:ind w:left="672" w:right="392" w:hanging="454"/>
        <w:jc w:val="both"/>
        <w:rPr>
          <w:sz w:val="20"/>
        </w:rPr>
      </w:pPr>
      <w:r>
        <w:rPr>
          <w:sz w:val="20"/>
        </w:rPr>
        <w:t>Cuando la </w:t>
      </w:r>
      <w:r>
        <w:rPr>
          <w:i/>
          <w:sz w:val="20"/>
        </w:rPr>
        <w:t>hoja principal </w:t>
      </w:r>
      <w:r>
        <w:rPr>
          <w:sz w:val="20"/>
        </w:rPr>
        <w:t>esté interrumpida por los pilares, en el caso de fachada con </w:t>
      </w:r>
      <w:r>
        <w:rPr>
          <w:i/>
          <w:sz w:val="20"/>
        </w:rPr>
        <w:t>revestimiento </w:t>
      </w:r>
      <w:r>
        <w:rPr>
          <w:i/>
          <w:sz w:val="20"/>
        </w:rPr>
        <w:t>continuo</w:t>
      </w:r>
      <w:r>
        <w:rPr>
          <w:sz w:val="20"/>
        </w:rPr>
        <w:t>, debe reforzarse éste con armaduras dispuestas a lo largo del pilar de tal forma que lo sobrepasen 15 cm por ambos</w:t>
      </w:r>
      <w:r>
        <w:rPr>
          <w:spacing w:val="-1"/>
          <w:sz w:val="20"/>
        </w:rPr>
        <w:t> </w:t>
      </w:r>
      <w:r>
        <w:rPr>
          <w:sz w:val="20"/>
        </w:rPr>
        <w:t>lados.</w:t>
      </w:r>
    </w:p>
    <w:p>
      <w:pPr>
        <w:pStyle w:val="BodyText"/>
        <w:rPr>
          <w:sz w:val="22"/>
        </w:rPr>
      </w:pPr>
    </w:p>
    <w:p>
      <w:pPr>
        <w:pStyle w:val="BodyText"/>
        <w:spacing w:before="10"/>
        <w:rPr>
          <w:sz w:val="18"/>
        </w:rPr>
      </w:pPr>
    </w:p>
    <w:p>
      <w:pPr>
        <w:spacing w:before="0"/>
        <w:ind w:left="1958" w:right="0" w:firstLine="0"/>
        <w:jc w:val="left"/>
        <w:rPr>
          <w:sz w:val="16"/>
        </w:rPr>
      </w:pPr>
      <w:r>
        <w:rPr/>
        <w:pict>
          <v:line style="position:absolute;mso-position-horizontal-relative:page;mso-position-vertical-relative:paragraph;z-index:251714560" from="152.520004pt,-2.875787pt" to="152.520004pt,12.304213pt" stroked="true" strokeweight=".48pt" strokecolor="#000000">
            <v:stroke dashstyle="solid"/>
            <w10:wrap type="none"/>
          </v:line>
        </w:pict>
      </w:r>
      <w:r>
        <w:rPr>
          <w:sz w:val="16"/>
        </w:rPr>
        <w:t>El refuerzo señalado se refiere a vendas o mallas.</w:t>
      </w:r>
    </w:p>
    <w:p>
      <w:pPr>
        <w:pStyle w:val="BodyText"/>
      </w:pPr>
    </w:p>
    <w:p>
      <w:pPr>
        <w:pStyle w:val="BodyText"/>
        <w:spacing w:before="10"/>
      </w:pPr>
    </w:p>
    <w:p>
      <w:pPr>
        <w:spacing w:before="0"/>
        <w:ind w:left="1958" w:right="418" w:firstLine="0"/>
        <w:jc w:val="left"/>
        <w:rPr>
          <w:sz w:val="16"/>
        </w:rPr>
      </w:pPr>
      <w:r>
        <w:rPr/>
        <w:pict>
          <v:line style="position:absolute;mso-position-horizontal-relative:page;mso-position-vertical-relative:paragraph;z-index:251715584" from="152.520004pt,-2.875693pt" to="152.520004pt,21.544307pt" stroked="true" strokeweight=".48pt" strokecolor="#000000">
            <v:stroke dashstyle="solid"/>
            <w10:wrap type="none"/>
          </v:line>
        </w:pict>
      </w:r>
      <w:r>
        <w:rPr>
          <w:sz w:val="16"/>
        </w:rPr>
        <w:t>Se pretende limitar el riesgo de que se produzcan grietas en el revestimiento exterior como consecuencia de los movimientos del pilar, por las que pudiera penetrar el agua.</w:t>
      </w:r>
    </w:p>
    <w:p>
      <w:pPr>
        <w:pStyle w:val="BodyText"/>
      </w:pPr>
    </w:p>
    <w:p>
      <w:pPr>
        <w:pStyle w:val="BodyText"/>
        <w:spacing w:before="10"/>
      </w:pPr>
    </w:p>
    <w:p>
      <w:pPr>
        <w:pStyle w:val="ListParagraph"/>
        <w:numPr>
          <w:ilvl w:val="0"/>
          <w:numId w:val="34"/>
        </w:numPr>
        <w:tabs>
          <w:tab w:pos="671" w:val="left" w:leader="none"/>
          <w:tab w:pos="672" w:val="left" w:leader="none"/>
        </w:tabs>
        <w:spacing w:line="240" w:lineRule="auto" w:before="0" w:after="0"/>
        <w:ind w:left="671" w:right="391" w:hanging="454"/>
        <w:jc w:val="left"/>
        <w:rPr>
          <w:sz w:val="20"/>
        </w:rPr>
      </w:pPr>
      <w:r>
        <w:rPr>
          <w:sz w:val="20"/>
        </w:rPr>
        <w:t>Cuando la </w:t>
      </w:r>
      <w:r>
        <w:rPr>
          <w:i/>
          <w:sz w:val="20"/>
        </w:rPr>
        <w:t>hoja principal </w:t>
      </w:r>
      <w:r>
        <w:rPr>
          <w:sz w:val="20"/>
        </w:rPr>
        <w:t>esté interrumpida por los pilares, si se colocan piezas de menor espesor que</w:t>
      </w:r>
      <w:r>
        <w:rPr>
          <w:spacing w:val="38"/>
          <w:sz w:val="20"/>
        </w:rPr>
        <w:t> </w:t>
      </w:r>
      <w:r>
        <w:rPr>
          <w:sz w:val="20"/>
        </w:rPr>
        <w:t>la</w:t>
      </w:r>
      <w:r>
        <w:rPr>
          <w:spacing w:val="38"/>
          <w:sz w:val="20"/>
        </w:rPr>
        <w:t> </w:t>
      </w:r>
      <w:r>
        <w:rPr>
          <w:i/>
          <w:sz w:val="20"/>
        </w:rPr>
        <w:t>hoja</w:t>
      </w:r>
      <w:r>
        <w:rPr>
          <w:i/>
          <w:spacing w:val="37"/>
          <w:sz w:val="20"/>
        </w:rPr>
        <w:t> </w:t>
      </w:r>
      <w:r>
        <w:rPr>
          <w:i/>
          <w:sz w:val="20"/>
        </w:rPr>
        <w:t>principal</w:t>
      </w:r>
      <w:r>
        <w:rPr>
          <w:i/>
          <w:spacing w:val="37"/>
          <w:sz w:val="20"/>
        </w:rPr>
        <w:t> </w:t>
      </w:r>
      <w:r>
        <w:rPr>
          <w:sz w:val="20"/>
        </w:rPr>
        <w:t>por</w:t>
      </w:r>
      <w:r>
        <w:rPr>
          <w:spacing w:val="37"/>
          <w:sz w:val="20"/>
        </w:rPr>
        <w:t> </w:t>
      </w:r>
      <w:r>
        <w:rPr>
          <w:sz w:val="20"/>
        </w:rPr>
        <w:t>la</w:t>
      </w:r>
      <w:r>
        <w:rPr>
          <w:spacing w:val="38"/>
          <w:sz w:val="20"/>
        </w:rPr>
        <w:t> </w:t>
      </w:r>
      <w:r>
        <w:rPr>
          <w:sz w:val="20"/>
        </w:rPr>
        <w:t>parte</w:t>
      </w:r>
      <w:r>
        <w:rPr>
          <w:spacing w:val="37"/>
          <w:sz w:val="20"/>
        </w:rPr>
        <w:t> </w:t>
      </w:r>
      <w:r>
        <w:rPr>
          <w:sz w:val="20"/>
        </w:rPr>
        <w:t>exterior</w:t>
      </w:r>
      <w:r>
        <w:rPr>
          <w:spacing w:val="37"/>
          <w:sz w:val="20"/>
        </w:rPr>
        <w:t> </w:t>
      </w:r>
      <w:r>
        <w:rPr>
          <w:sz w:val="20"/>
        </w:rPr>
        <w:t>de</w:t>
      </w:r>
      <w:r>
        <w:rPr>
          <w:spacing w:val="38"/>
          <w:sz w:val="20"/>
        </w:rPr>
        <w:t> </w:t>
      </w:r>
      <w:r>
        <w:rPr>
          <w:sz w:val="20"/>
        </w:rPr>
        <w:t>los</w:t>
      </w:r>
      <w:r>
        <w:rPr>
          <w:spacing w:val="38"/>
          <w:sz w:val="20"/>
        </w:rPr>
        <w:t> </w:t>
      </w:r>
      <w:r>
        <w:rPr>
          <w:sz w:val="20"/>
        </w:rPr>
        <w:t>pilares,</w:t>
      </w:r>
      <w:r>
        <w:rPr>
          <w:spacing w:val="38"/>
          <w:sz w:val="20"/>
        </w:rPr>
        <w:t> </w:t>
      </w:r>
      <w:r>
        <w:rPr>
          <w:sz w:val="20"/>
        </w:rPr>
        <w:t>para</w:t>
      </w:r>
      <w:r>
        <w:rPr>
          <w:spacing w:val="37"/>
          <w:sz w:val="20"/>
        </w:rPr>
        <w:t> </w:t>
      </w:r>
      <w:r>
        <w:rPr>
          <w:sz w:val="20"/>
        </w:rPr>
        <w:t>conseguir</w:t>
      </w:r>
      <w:r>
        <w:rPr>
          <w:spacing w:val="38"/>
          <w:sz w:val="20"/>
        </w:rPr>
        <w:t> </w:t>
      </w:r>
      <w:r>
        <w:rPr>
          <w:sz w:val="20"/>
        </w:rPr>
        <w:t>la</w:t>
      </w:r>
      <w:r>
        <w:rPr>
          <w:spacing w:val="38"/>
          <w:sz w:val="20"/>
        </w:rPr>
        <w:t> </w:t>
      </w:r>
      <w:r>
        <w:rPr>
          <w:sz w:val="20"/>
        </w:rPr>
        <w:t>estabilidad</w:t>
      </w:r>
      <w:r>
        <w:rPr>
          <w:spacing w:val="38"/>
          <w:sz w:val="20"/>
        </w:rPr>
        <w:t> </w:t>
      </w:r>
      <w:r>
        <w:rPr>
          <w:sz w:val="20"/>
        </w:rPr>
        <w:t>de</w:t>
      </w:r>
      <w:r>
        <w:rPr>
          <w:spacing w:val="37"/>
          <w:sz w:val="20"/>
        </w:rPr>
        <w:t> </w:t>
      </w:r>
      <w:r>
        <w:rPr>
          <w:sz w:val="20"/>
        </w:rPr>
        <w:t>estas</w:t>
      </w:r>
    </w:p>
    <w:p>
      <w:pPr>
        <w:spacing w:after="0" w:line="240" w:lineRule="auto"/>
        <w:jc w:val="left"/>
        <w:rPr>
          <w:sz w:val="20"/>
        </w:rPr>
        <w:sectPr>
          <w:pgSz w:w="11910" w:h="16840"/>
          <w:pgMar w:header="724" w:footer="636" w:top="1320" w:bottom="840" w:left="1200" w:right="738"/>
        </w:sectPr>
      </w:pPr>
    </w:p>
    <w:p>
      <w:pPr>
        <w:pStyle w:val="BodyText"/>
        <w:spacing w:before="89"/>
        <w:ind w:left="671" w:right="418"/>
      </w:pPr>
      <w:r>
        <w:rPr/>
        <w:pict>
          <v:group style="position:absolute;margin-left:172.656998pt;margin-top:32.987152pt;width:86.05pt;height:85.7pt;mso-position-horizontal-relative:page;mso-position-vertical-relative:paragraph;z-index:251717632" coordorigin="3453,660" coordsize="1721,1714">
            <v:shape style="position:absolute;left:3538;top:659;width:381;height:381" type="#_x0000_t75" stroked="false">
              <v:imagedata r:id="rId29" o:title=""/>
            </v:shape>
            <v:line style="position:absolute" from="3545,1064" to="3945,666" stroked="true" strokeweight=".658pt" strokecolor="#808080">
              <v:stroke dashstyle="solid"/>
            </v:line>
            <v:line style="position:absolute" from="3545,1096" to="3977,666" stroked="true" strokeweight=".658pt" strokecolor="#808080">
              <v:stroke dashstyle="solid"/>
            </v:line>
            <v:line style="position:absolute" from="3545,1128" to="4007,666" stroked="true" strokeweight=".658pt" strokecolor="#808080">
              <v:stroke dashstyle="solid"/>
            </v:line>
            <v:line style="position:absolute" from="3545,1160" to="4039,666" stroked="true" strokeweight=".658pt" strokecolor="#808080">
              <v:stroke dashstyle="solid"/>
            </v:line>
            <v:line style="position:absolute" from="3545,1190" to="4071,666" stroked="true" strokeweight=".658pt" strokecolor="#808080">
              <v:stroke dashstyle="solid"/>
            </v:line>
            <v:line style="position:absolute" from="3545,1222" to="4101,666" stroked="true" strokeweight=".658pt" strokecolor="#808080">
              <v:stroke dashstyle="solid"/>
            </v:line>
            <v:line style="position:absolute" from="3545,1253" to="4133,666" stroked="true" strokeweight=".658pt" strokecolor="#808080">
              <v:stroke dashstyle="solid"/>
            </v:line>
            <v:line style="position:absolute" from="3545,1283" to="4165,666" stroked="true" strokeweight=".658pt" strokecolor="#808080">
              <v:stroke dashstyle="solid"/>
            </v:line>
            <v:line style="position:absolute" from="3545,1315" to="4165,696" stroked="true" strokeweight=".658pt" strokecolor="#808080">
              <v:stroke dashstyle="solid"/>
            </v:line>
            <v:line style="position:absolute" from="3545,1347" to="4165,728" stroked="true" strokeweight=".658pt" strokecolor="#808080">
              <v:stroke dashstyle="solid"/>
            </v:line>
            <v:line style="position:absolute" from="3545,1377" to="4165,760" stroked="true" strokeweight=".658pt" strokecolor="#808080">
              <v:stroke dashstyle="solid"/>
            </v:line>
            <v:line style="position:absolute" from="3545,1409" to="4165,792" stroked="true" strokeweight=".658pt" strokecolor="#808080">
              <v:stroke dashstyle="solid"/>
            </v:line>
            <v:line style="position:absolute" from="3545,1441" to="4165,822" stroked="true" strokeweight=".658pt" strokecolor="#808080">
              <v:stroke dashstyle="solid"/>
            </v:line>
            <v:line style="position:absolute" from="3545,1473" to="3734,1283" stroked="true" strokeweight=".658pt" strokecolor="#808080">
              <v:stroke dashstyle="solid"/>
            </v:line>
            <v:line style="position:absolute" from="3753,1265" to="4165,854" stroked="true" strokeweight=".658pt" strokecolor="#808080">
              <v:stroke dashstyle="solid"/>
            </v:line>
            <v:line style="position:absolute" from="3545,1503" to="3734,1315" stroked="true" strokeweight=".658pt" strokecolor="#808080">
              <v:stroke dashstyle="solid"/>
            </v:line>
            <v:line style="position:absolute" from="3785,1265" to="4165,886" stroked="true" strokeweight=".658pt" strokecolor="#808080">
              <v:stroke dashstyle="solid"/>
            </v:line>
            <v:line style="position:absolute" from="3545,1535" to="3734,1345" stroked="true" strokeweight=".658pt" strokecolor="#808080">
              <v:stroke dashstyle="solid"/>
            </v:line>
            <v:line style="position:absolute" from="3815,1265" to="4165,916" stroked="true" strokeweight=".658pt" strokecolor="#808080">
              <v:stroke dashstyle="solid"/>
            </v:line>
            <v:line style="position:absolute" from="3545,1567" to="3734,1377" stroked="true" strokeweight=".658pt" strokecolor="#808080">
              <v:stroke dashstyle="solid"/>
            </v:line>
            <v:line style="position:absolute" from="3847,1265" to="4165,948" stroked="true" strokeweight=".658pt" strokecolor="#808080">
              <v:stroke dashstyle="solid"/>
            </v:line>
            <v:line style="position:absolute" from="3545,1597" to="3734,1409" stroked="true" strokeweight=".658pt" strokecolor="#808080">
              <v:stroke dashstyle="solid"/>
            </v:line>
            <v:line style="position:absolute" from="3879,1265" to="4165,980" stroked="true" strokeweight=".658pt" strokecolor="#808080">
              <v:stroke dashstyle="solid"/>
            </v:line>
            <v:line style="position:absolute" from="3545,1629" to="3734,1439" stroked="true" strokeweight=".658pt" strokecolor="#808080">
              <v:stroke dashstyle="solid"/>
            </v:line>
            <v:line style="position:absolute" from="3909,1265" to="4165,1010" stroked="true" strokeweight=".658pt" strokecolor="#808080">
              <v:stroke dashstyle="solid"/>
            </v:line>
            <v:line style="position:absolute" from="3545,1660" to="3734,1471" stroked="true" strokeweight=".658pt" strokecolor="#808080">
              <v:stroke dashstyle="solid"/>
            </v:line>
            <v:line style="position:absolute" from="3941,1265" to="4165,1041" stroked="true" strokeweight=".658pt" strokecolor="#808080">
              <v:stroke dashstyle="solid"/>
            </v:line>
            <v:line style="position:absolute" from="3545,1690" to="3734,1503" stroked="true" strokeweight=".658pt" strokecolor="#808080">
              <v:stroke dashstyle="solid"/>
            </v:line>
            <v:line style="position:absolute" from="3973,1265" to="4165,1073" stroked="true" strokeweight=".658pt" strokecolor="#808080">
              <v:stroke dashstyle="solid"/>
            </v:line>
            <v:line style="position:absolute" from="3545,1722" to="3734,1535" stroked="true" strokeweight=".658pt" strokecolor="#808080">
              <v:stroke dashstyle="solid"/>
            </v:line>
            <v:line style="position:absolute" from="4003,1265" to="4165,1105" stroked="true" strokeweight=".658pt" strokecolor="#808080">
              <v:stroke dashstyle="solid"/>
            </v:line>
            <v:line style="position:absolute" from="3545,1754" to="3734,1565" stroked="true" strokeweight=".658pt" strokecolor="#808080">
              <v:stroke dashstyle="solid"/>
            </v:line>
            <v:line style="position:absolute" from="4035,1265" to="4165,1135" stroked="true" strokeweight=".658pt" strokecolor="#808080">
              <v:stroke dashstyle="solid"/>
            </v:line>
            <v:line style="position:absolute" from="3545,1784" to="3734,1597" stroked="true" strokeweight=".658pt" strokecolor="#808080">
              <v:stroke dashstyle="solid"/>
            </v:line>
            <v:line style="position:absolute" from="4067,1265" to="4165,1167" stroked="true" strokeweight=".658pt" strokecolor="#808080">
              <v:stroke dashstyle="solid"/>
            </v:line>
            <v:line style="position:absolute" from="3545,1816" to="3734,1629" stroked="true" strokeweight=".658pt" strokecolor="#808080">
              <v:stroke dashstyle="solid"/>
            </v:line>
            <v:line style="position:absolute" from="4099,1265" to="4165,1199" stroked="true" strokeweight=".658pt" strokecolor="#808080">
              <v:stroke dashstyle="solid"/>
            </v:line>
            <v:line style="position:absolute" from="3545,1848" to="3734,1659" stroked="true" strokeweight=".658pt" strokecolor="#808080">
              <v:stroke dashstyle="solid"/>
            </v:line>
            <v:line style="position:absolute" from="4129,1265" to="4165,1229" stroked="true" strokeweight=".658pt" strokecolor="#808080">
              <v:stroke dashstyle="solid"/>
            </v:line>
            <v:line style="position:absolute" from="3545,1880" to="3734,1690" stroked="true" strokeweight=".658pt" strokecolor="#808080">
              <v:stroke dashstyle="solid"/>
            </v:line>
            <v:line style="position:absolute" from="4161,1265" to="4165,1261" stroked="true" strokeweight=".658pt" strokecolor="#808080">
              <v:stroke dashstyle="solid"/>
            </v:line>
            <v:line style="position:absolute" from="3545,1910" to="3734,1722" stroked="true" strokeweight=".658pt" strokecolor="#808080">
              <v:stroke dashstyle="solid"/>
            </v:line>
            <v:line style="position:absolute" from="3545,1942" to="3734,1752" stroked="true" strokeweight=".658pt" strokecolor="#808080">
              <v:stroke dashstyle="solid"/>
            </v:line>
            <v:line style="position:absolute" from="3545,1974" to="3734,1784" stroked="true" strokeweight=".658pt" strokecolor="#808080">
              <v:stroke dashstyle="solid"/>
            </v:line>
            <v:line style="position:absolute" from="3545,2004" to="3734,1816" stroked="true" strokeweight=".658pt" strokecolor="#808080">
              <v:stroke dashstyle="solid"/>
            </v:line>
            <v:line style="position:absolute" from="3545,2036" to="3734,1848" stroked="true" strokeweight=".658pt" strokecolor="#808080">
              <v:stroke dashstyle="solid"/>
            </v:line>
            <v:line style="position:absolute" from="3545,2067" to="3734,1878" stroked="true" strokeweight=".658pt" strokecolor="#808080">
              <v:stroke dashstyle="solid"/>
            </v:line>
            <v:line style="position:absolute" from="3545,2098" to="3734,1910" stroked="true" strokeweight=".658pt" strokecolor="#808080">
              <v:stroke dashstyle="solid"/>
            </v:line>
            <v:line style="position:absolute" from="3545,2129" to="3734,1942" stroked="true" strokeweight=".658pt" strokecolor="#808080">
              <v:stroke dashstyle="solid"/>
            </v:line>
            <v:line style="position:absolute" from="3545,2161" to="3734,1972" stroked="true" strokeweight=".658pt" strokecolor="#808080">
              <v:stroke dashstyle="solid"/>
            </v:line>
            <v:line style="position:absolute" from="3545,2193" to="3734,2004" stroked="true" strokeweight=".658pt" strokecolor="#808080">
              <v:stroke dashstyle="solid"/>
            </v:line>
            <v:line style="position:absolute" from="3545,2223" to="3734,2036" stroked="true" strokeweight=".658pt" strokecolor="#808080">
              <v:stroke dashstyle="solid"/>
            </v:line>
            <v:line style="position:absolute" from="3545,2255" to="3734,2066" stroked="true" strokeweight=".658pt" strokecolor="#808080">
              <v:stroke dashstyle="solid"/>
            </v:line>
            <v:line style="position:absolute" from="3549,2283" to="3739,2092" stroked="true" strokeweight=".658pt" strokecolor="#808080">
              <v:stroke dashstyle="solid"/>
            </v:line>
            <v:line style="position:absolute" from="3581,2283" to="3771,2092" stroked="true" strokeweight=".658pt" strokecolor="#808080">
              <v:stroke dashstyle="solid"/>
            </v:line>
            <v:line style="position:absolute" from="3611,2283" to="3803,2092" stroked="true" strokeweight=".658pt" strokecolor="#808080">
              <v:stroke dashstyle="solid"/>
            </v:line>
            <v:line style="position:absolute" from="3643,2283" to="3834,2092" stroked="true" strokeweight=".658pt" strokecolor="#808080">
              <v:stroke dashstyle="solid"/>
            </v:line>
            <v:line style="position:absolute" from="3675,2283" to="3866,2092" stroked="true" strokeweight=".658pt" strokecolor="#808080">
              <v:stroke dashstyle="solid"/>
            </v:line>
            <v:line style="position:absolute" from="3706,2283" to="3898,2092" stroked="true" strokeweight=".658pt" strokecolor="#808080">
              <v:stroke dashstyle="solid"/>
            </v:line>
            <v:line style="position:absolute" from="3738,2283" to="3928,2092" stroked="true" strokeweight=".658pt" strokecolor="#808080">
              <v:stroke dashstyle="solid"/>
            </v:line>
            <v:line style="position:absolute" from="3770,2283" to="3960,2092" stroked="true" strokeweight=".658pt" strokecolor="#808080">
              <v:stroke dashstyle="solid"/>
            </v:line>
            <v:line style="position:absolute" from="3800,2283" to="3992,2092" stroked="true" strokeweight=".658pt" strokecolor="#808080">
              <v:stroke dashstyle="solid"/>
            </v:line>
            <v:line style="position:absolute" from="3832,2283" to="4022,2092" stroked="true" strokeweight=".658pt" strokecolor="#808080">
              <v:stroke dashstyle="solid"/>
            </v:line>
            <v:line style="position:absolute" from="3864,2283" to="4054,2092" stroked="true" strokeweight=".658pt" strokecolor="#808080">
              <v:stroke dashstyle="solid"/>
            </v:line>
            <v:line style="position:absolute" from="3896,2283" to="4086,2092" stroked="true" strokeweight=".658pt" strokecolor="#808080">
              <v:stroke dashstyle="solid"/>
            </v:line>
            <v:line style="position:absolute" from="3926,2283" to="4118,2092" stroked="true" strokeweight=".658pt" strokecolor="#808080">
              <v:stroke dashstyle="solid"/>
            </v:line>
            <v:line style="position:absolute" from="3958,2283" to="4148,2092" stroked="true" strokeweight=".658pt" strokecolor="#808080">
              <v:stroke dashstyle="solid"/>
            </v:line>
            <v:line style="position:absolute" from="3990,2283" to="4180,2092" stroked="true" strokeweight=".658pt" strokecolor="#808080">
              <v:stroke dashstyle="solid"/>
            </v:line>
            <v:line style="position:absolute" from="4020,2283" to="4212,2092" stroked="true" strokeweight=".658pt" strokecolor="#808080">
              <v:stroke dashstyle="solid"/>
            </v:line>
            <v:line style="position:absolute" from="4052,2283" to="4242,2092" stroked="true" strokeweight=".658pt" strokecolor="#808080">
              <v:stroke dashstyle="solid"/>
            </v:line>
            <v:line style="position:absolute" from="4084,2283" to="4274,2092" stroked="true" strokeweight=".658pt" strokecolor="#808080">
              <v:stroke dashstyle="solid"/>
            </v:line>
            <v:line style="position:absolute" from="4114,2283" to="4306,2092" stroked="true" strokeweight=".658pt" strokecolor="#808080">
              <v:stroke dashstyle="solid"/>
            </v:line>
            <v:line style="position:absolute" from="4146,2283" to="4337,2092" stroked="true" strokeweight=".658pt" strokecolor="#808080">
              <v:stroke dashstyle="solid"/>
            </v:line>
            <v:line style="position:absolute" from="4178,2283" to="4369,2092" stroked="true" strokeweight=".658pt" strokecolor="#808080">
              <v:stroke dashstyle="solid"/>
            </v:line>
            <v:line style="position:absolute" from="4210,2283" to="4401,2092" stroked="true" strokeweight=".658pt" strokecolor="#808080">
              <v:stroke dashstyle="solid"/>
            </v:line>
            <v:line style="position:absolute" from="4240,2283" to="4433,2092" stroked="true" strokeweight=".658pt" strokecolor="#808080">
              <v:stroke dashstyle="solid"/>
            </v:line>
            <v:line style="position:absolute" from="4272,2283" to="4463,2092" stroked="true" strokeweight=".658pt" strokecolor="#808080">
              <v:stroke dashstyle="solid"/>
            </v:line>
            <v:line style="position:absolute" from="4304,2283" to="4495,2092" stroked="true" strokeweight=".658pt" strokecolor="#808080">
              <v:stroke dashstyle="solid"/>
            </v:line>
            <v:line style="position:absolute" from="4564,1677" to="4579,1664" stroked="true" strokeweight=".658pt" strokecolor="#808080">
              <v:stroke dashstyle="solid"/>
            </v:line>
            <v:line style="position:absolute" from="4564,1709" to="4610,1664" stroked="true" strokeweight=".658pt" strokecolor="#808080">
              <v:stroke dashstyle="solid"/>
            </v:line>
            <v:line style="position:absolute" from="4564,1741" to="4642,1664" stroked="true" strokeweight=".658pt" strokecolor="#808080">
              <v:stroke dashstyle="solid"/>
            </v:line>
            <v:line style="position:absolute" from="4564,1771" to="4674,1664" stroked="true" strokeweight=".658pt" strokecolor="#808080">
              <v:stroke dashstyle="solid"/>
            </v:line>
            <v:line style="position:absolute" from="4564,1803" to="4704,1664" stroked="true" strokeweight=".658pt" strokecolor="#808080">
              <v:stroke dashstyle="solid"/>
            </v:line>
            <v:line style="position:absolute" from="4564,1835" to="4736,1664" stroked="true" strokeweight=".658pt" strokecolor="#808080">
              <v:stroke dashstyle="solid"/>
            </v:line>
            <v:line style="position:absolute" from="4564,1865" to="4768,1664" stroked="true" strokeweight=".658pt" strokecolor="#808080">
              <v:stroke dashstyle="solid"/>
            </v:line>
            <v:line style="position:absolute" from="4564,1897" to="4798,1664" stroked="true" strokeweight=".658pt" strokecolor="#808080">
              <v:stroke dashstyle="solid"/>
            </v:line>
            <v:line style="position:absolute" from="4564,1929" to="4830,1664" stroked="true" strokeweight=".658pt" strokecolor="#808080">
              <v:stroke dashstyle="solid"/>
            </v:line>
            <v:line style="position:absolute" from="4564,1961" to="4862,1664" stroked="true" strokeweight=".658pt" strokecolor="#808080">
              <v:stroke dashstyle="solid"/>
            </v:line>
            <v:line style="position:absolute" from="4564,1991" to="4894,1664" stroked="true" strokeweight=".658pt" strokecolor="#808080">
              <v:stroke dashstyle="solid"/>
            </v:line>
            <v:line style="position:absolute" from="4564,2022" to="4924,1664" stroked="true" strokeweight=".658pt" strokecolor="#808080">
              <v:stroke dashstyle="solid"/>
            </v:line>
            <v:line style="position:absolute" from="4335,2283" to="4527,2092" stroked="true" strokeweight=".658pt" strokecolor="#808080">
              <v:stroke dashstyle="solid"/>
            </v:line>
            <v:line style="position:absolute" from="4564,2054" to="4956,1664" stroked="true" strokeweight=".658pt" strokecolor="#808080">
              <v:stroke dashstyle="solid"/>
            </v:line>
            <v:line style="position:absolute" from="4367,2283" to="4557,2092" stroked="true" strokeweight=".658pt" strokecolor="#808080">
              <v:stroke dashstyle="solid"/>
            </v:line>
            <v:line style="position:absolute" from="4564,2084" to="4988,1664" stroked="true" strokeweight=".658pt" strokecolor="#808080">
              <v:stroke dashstyle="solid"/>
            </v:line>
            <v:line style="position:absolute" from="4399,2283" to="5018,1664" stroked="true" strokeweight=".658pt" strokecolor="#808080">
              <v:stroke dashstyle="solid"/>
            </v:line>
            <v:line style="position:absolute" from="4429,2283" to="5050,1664" stroked="true" strokeweight=".658pt" strokecolor="#808080">
              <v:stroke dashstyle="solid"/>
            </v:line>
            <v:line style="position:absolute" from="4461,2283" to="5082,1664" stroked="true" strokeweight=".658pt" strokecolor="#808080">
              <v:stroke dashstyle="solid"/>
            </v:line>
            <v:line style="position:absolute" from="4493,2283" to="5113,1664" stroked="true" strokeweight=".658pt" strokecolor="#808080">
              <v:stroke dashstyle="solid"/>
            </v:line>
            <v:line style="position:absolute" from="4525,2283" to="5145,1664" stroked="true" strokeweight=".658pt" strokecolor="#808080">
              <v:stroke dashstyle="solid"/>
            </v:line>
            <v:line style="position:absolute" from="4555,2283" to="5167,1674" stroked="true" strokeweight=".658pt" strokecolor="#808080">
              <v:stroke dashstyle="solid"/>
            </v:line>
            <v:line style="position:absolute" from="4587,2283" to="5167,1704" stroked="true" strokeweight=".658pt" strokecolor="#808080">
              <v:stroke dashstyle="solid"/>
            </v:line>
            <v:line style="position:absolute" from="4619,2283" to="5167,1735" stroked="true" strokeweight=".658pt" strokecolor="#808080">
              <v:stroke dashstyle="solid"/>
            </v:line>
            <v:line style="position:absolute" from="4649,2283" to="5167,1767" stroked="true" strokeweight=".658pt" strokecolor="#808080">
              <v:stroke dashstyle="solid"/>
            </v:line>
            <v:line style="position:absolute" from="4681,2283" to="5167,1797" stroked="true" strokeweight=".658pt" strokecolor="#808080">
              <v:stroke dashstyle="solid"/>
            </v:line>
            <v:line style="position:absolute" from="4713,2283" to="5167,1829" stroked="true" strokeweight=".658pt" strokecolor="#808080">
              <v:stroke dashstyle="solid"/>
            </v:line>
            <v:line style="position:absolute" from="4743,2283" to="5167,1861" stroked="true" strokeweight=".658pt" strokecolor="#808080">
              <v:stroke dashstyle="solid"/>
            </v:line>
            <v:line style="position:absolute" from="4775,2283" to="5167,1893" stroked="true" strokeweight=".658pt" strokecolor="#808080">
              <v:stroke dashstyle="solid"/>
            </v:line>
            <v:shape style="position:absolute;left:4800;top:1916;width:373;height:374" type="#_x0000_t75" stroked="false">
              <v:imagedata r:id="rId30" o:title=""/>
            </v:shape>
            <v:shape style="position:absolute;left:3733;top:1264;width:831;height:415" coordorigin="3734,1265" coordsize="831,415" path="m4564,1265l3734,1265,4150,1679,4564,1265xe" filled="true" fillcolor="#808080" stroked="false">
              <v:path arrowok="t"/>
              <v:fill type="solid"/>
            </v:shape>
            <v:shape style="position:absolute;left:3733;top:1264;width:831;height:415" coordorigin="3734,1265" coordsize="831,415" path="m4150,1679l4564,1265,3734,1265,4150,1679xe" filled="false" stroked="true" strokeweight=".188pt" strokecolor="#808080">
              <v:path arrowok="t"/>
              <v:stroke dashstyle="solid"/>
            </v:shape>
            <v:shape style="position:absolute;left:3733;top:1264;width:417;height:828" coordorigin="3734,1265" coordsize="417,828" path="m3734,1265l3734,2092,4150,1679,3734,1265xe" filled="true" fillcolor="#808080" stroked="false">
              <v:path arrowok="t"/>
              <v:fill type="solid"/>
            </v:shape>
            <v:shape style="position:absolute;left:3733;top:1264;width:417;height:828" coordorigin="3734,1265" coordsize="417,828" path="m4150,1679l3734,1265,3734,2092,4150,1679xe" filled="false" stroked="true" strokeweight=".188pt" strokecolor="#808080">
              <v:path arrowok="t"/>
              <v:stroke dashstyle="solid"/>
            </v:shape>
            <v:shape style="position:absolute;left:3733;top:1679;width:831;height:413" coordorigin="3734,1679" coordsize="831,413" path="m4150,1679l3734,2092,4564,2092,4150,1679xe" filled="true" fillcolor="#808080" stroked="false">
              <v:path arrowok="t"/>
              <v:fill type="solid"/>
            </v:shape>
            <v:shape style="position:absolute;left:3733;top:1679;width:831;height:413" coordorigin="3734,1679" coordsize="831,413" path="m4150,1679l3734,2092,4564,2092,4150,1679xe" filled="false" stroked="true" strokeweight=".188pt" strokecolor="#808080">
              <v:path arrowok="t"/>
              <v:stroke dashstyle="solid"/>
            </v:shape>
            <v:shape style="position:absolute;left:4150;top:1264;width:415;height:828" coordorigin="4150,1265" coordsize="415,828" path="m4564,1265l4150,1679,4564,2092,4564,1265xe" filled="true" fillcolor="#808080" stroked="false">
              <v:path arrowok="t"/>
              <v:fill type="solid"/>
            </v:shape>
            <v:shape style="position:absolute;left:4150;top:1264;width:415;height:828" coordorigin="4150,1265" coordsize="415,828" path="m4150,1679l4564,2092,4564,1265,4150,1679xe" filled="false" stroked="true" strokeweight=".188pt" strokecolor="#808080">
              <v:path arrowok="t"/>
              <v:stroke dashstyle="solid"/>
            </v:shape>
            <v:line style="position:absolute" from="3545,666" to="3545,2283" stroked="true" strokeweight=".658pt" strokecolor="#000000">
              <v:stroke dashstyle="solid"/>
            </v:line>
            <v:shape style="position:absolute;left:0;top:15513;width:831;height:828" coordorigin="0,15513" coordsize="831,828" path="m3734,1265l3734,2092m3734,1265l4564,1265e" filled="false" stroked="true" strokeweight=".658pt" strokecolor="#000000">
              <v:path arrowok="t"/>
              <v:stroke dashstyle="solid"/>
            </v:shape>
            <v:line style="position:absolute" from="3545,2283" to="5167,2283" stroked="true" strokeweight=".658pt" strokecolor="#000000">
              <v:stroke dashstyle="solid"/>
            </v:line>
            <v:line style="position:absolute" from="4165,666" to="4165,1265" stroked="true" strokeweight=".658pt" strokecolor="#000000">
              <v:stroke dashstyle="solid"/>
            </v:line>
            <v:shape style="position:absolute;left:3733;top:1264;width:831;height:828" coordorigin="3734,1265" coordsize="831,828" path="m4564,1265l4564,2092,3734,2092e" filled="false" stroked="true" strokeweight=".658pt" strokecolor="#000000">
              <v:path arrowok="t"/>
              <v:stroke dashstyle="solid"/>
            </v:shape>
            <v:line style="position:absolute" from="4274,666" to="4197,666" stroked="true" strokeweight=".47pt" strokecolor="#000000">
              <v:stroke dashstyle="solid"/>
            </v:line>
            <v:line style="position:absolute" from="4131,666" to="4131,666" stroked="true" strokeweight=".47pt" strokecolor="#000000">
              <v:stroke dashstyle="solid"/>
            </v:line>
            <v:line style="position:absolute" from="4065,666" to="3932,666" stroked="true" strokeweight=".47pt" strokecolor="#000000">
              <v:stroke dashstyle="solid"/>
            </v:line>
            <v:line style="position:absolute" from="3864,666" to="3864,666" stroked="true" strokeweight=".47pt" strokecolor="#000000">
              <v:stroke dashstyle="solid"/>
            </v:line>
            <v:line style="position:absolute" from="3798,666" to="3664,666" stroked="true" strokeweight=".47pt" strokecolor="#000000">
              <v:stroke dashstyle="solid"/>
            </v:line>
            <v:line style="position:absolute" from="3598,666" to="3598,666" stroked="true" strokeweight=".47pt" strokecolor="#000000">
              <v:stroke dashstyle="solid"/>
            </v:line>
            <v:shape style="position:absolute;left:3453;top:666;width:78;height:2" coordorigin="3453,666" coordsize="78,0" path="m3530,666l3453,666,3453,666e" filled="false" stroked="true" strokeweight=".47pt" strokecolor="#000000">
              <v:path arrowok="t"/>
              <v:stroke dashstyle="solid"/>
            </v:shape>
            <v:line style="position:absolute" from="5167,1664" to="4564,1664" stroked="true" strokeweight=".658pt" strokecolor="#000000">
              <v:stroke dashstyle="solid"/>
            </v:line>
            <v:line style="position:absolute" from="5167,1574" to="5167,1642" stroked="true" strokeweight=".47pt" strokecolor="#000000">
              <v:stroke dashstyle="solid"/>
            </v:line>
            <v:line style="position:absolute" from="5167,1707" to="5167,1707" stroked="true" strokeweight=".47pt" strokecolor="#000000">
              <v:stroke dashstyle="solid"/>
            </v:line>
            <v:line style="position:absolute" from="5167,1773" to="5167,1906" stroked="true" strokeweight=".47pt" strokecolor="#000000">
              <v:stroke dashstyle="solid"/>
            </v:line>
            <v:line style="position:absolute" from="5167,1974" to="5167,1974" stroked="true" strokeweight=".47pt" strokecolor="#000000">
              <v:stroke dashstyle="solid"/>
            </v:line>
            <v:line style="position:absolute" from="5167,2039" to="5167,2173" stroked="true" strokeweight=".47pt" strokecolor="#000000">
              <v:stroke dashstyle="solid"/>
            </v:line>
            <v:line style="position:absolute" from="5167,2238" to="5167,2238" stroked="true" strokeweight=".47pt" strokecolor="#000000">
              <v:stroke dashstyle="solid"/>
            </v:line>
            <v:line style="position:absolute" from="5162,2340" to="5172,2340" stroked="true" strokeweight="3.376pt" strokecolor="#000000">
              <v:stroke dashstyle="solid"/>
            </v:line>
            <v:line style="position:absolute" from="3668,1184" to="3668,2160" stroked="true" strokeweight="1.316pt" strokecolor="#000000">
              <v:stroke dashstyle="solid"/>
            </v:line>
            <v:line style="position:absolute" from="4647,2160" to="3668,2160" stroked="true" strokeweight="1.316pt" strokecolor="#000000">
              <v:stroke dashstyle="solid"/>
            </v:line>
            <v:line style="position:absolute" from="3679,1154" to="3728,1100" stroked="true" strokeweight="1.316pt" strokecolor="#000000">
              <v:stroke dashstyle="solid"/>
            </v:line>
            <v:line style="position:absolute" from="3805,1130" to="3805,1207" stroked="true" strokeweight="1.316pt" strokecolor="#000000">
              <v:stroke dashstyle="solid"/>
            </v:line>
            <v:line style="position:absolute" from="4677,2148" to="4730,2100" stroked="true" strokeweight="1.316pt" strokecolor="#000000">
              <v:stroke dashstyle="solid"/>
            </v:line>
            <v:line style="position:absolute" from="4700,2023" to="4623,2023" stroked="true" strokeweight="1.316pt" strokecolor="#000000">
              <v:stroke dashstyle="solid"/>
            </v:line>
            <v:shape style="position:absolute;left:4634;top:2009;width:125;height:164" type="#_x0000_t75" stroked="false">
              <v:imagedata r:id="rId31" o:title=""/>
            </v:shape>
            <v:shape style="position:absolute;left:3654;top:1073;width:164;height:124" type="#_x0000_t75" stroked="false">
              <v:imagedata r:id="rId32" o:title=""/>
            </v:shape>
            <w10:wrap type="none"/>
          </v:group>
        </w:pict>
      </w:r>
      <w:r>
        <w:rPr/>
        <w:pict>
          <v:group style="position:absolute;margin-left:309.68277pt;margin-top:47.950153pt;width:11.8pt;height:5.75pt;mso-position-horizontal-relative:page;mso-position-vertical-relative:paragraph;z-index:251720704" coordorigin="6194,959" coordsize="236,115">
            <v:rect style="position:absolute;left:6195;top:960;width:14;height:111" filled="false" stroked="true" strokeweight=".188pt" strokecolor="#000000">
              <v:stroke dashstyle="solid"/>
            </v:rect>
            <v:shape style="position:absolute;left:6235;top:960;width:89;height:111" coordorigin="6235,961" coordsize="89,111" path="m6250,961l6235,961,6235,1072,6250,1072,6250,985,6267,985,6250,961xm6267,985l6250,985,6309,1072,6324,1072,6324,1047,6309,1047,6267,985xm6324,961l6309,961,6309,1047,6324,1047,6324,961xe" filled="true" fillcolor="#000000" stroked="false">
              <v:path arrowok="t"/>
              <v:fill type="solid"/>
            </v:shape>
            <v:shape style="position:absolute;left:6235;top:960;width:89;height:111" coordorigin="6235,961" coordsize="89,111" path="m6235,1072l6235,961,6250,961,6309,1047,6309,961,6324,961,6324,1072,6309,1072,6250,985,6250,1072,6235,1072xe" filled="false" stroked="true" strokeweight=".188pt" strokecolor="#000000">
              <v:path arrowok="t"/>
              <v:stroke dashstyle="solid"/>
            </v:shape>
            <v:shape style="position:absolute;left:6338;top:960;width:89;height:111" coordorigin="6339,961" coordsize="89,111" path="m6391,974l6376,974,6376,1072,6391,1072,6391,974xm6427,961l6339,961,6339,974,6427,974,6427,961xe" filled="true" fillcolor="#000000" stroked="false">
              <v:path arrowok="t"/>
              <v:fill type="solid"/>
            </v:shape>
            <v:shape style="position:absolute;left:6338;top:960;width:89;height:111" coordorigin="6339,961" coordsize="89,111" path="m6376,1072l6376,974,6339,974,6339,961,6427,961,6427,974,6391,974,6391,1072,6376,1072xe" filled="false" stroked="true" strokeweight=".188pt" strokecolor="#000000">
              <v:path arrowok="t"/>
              <v:stroke dashstyle="solid"/>
            </v:shape>
            <w10:wrap type="none"/>
          </v:group>
        </w:pict>
      </w:r>
      <w:r>
        <w:rPr/>
        <w:t>piezas, debe disponerse una armadura o cualquier otra solución que produzca el mismo efecto (Véase la figura 2.9).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3"/>
        </w:rPr>
      </w:pPr>
    </w:p>
    <w:p>
      <w:pPr>
        <w:spacing w:before="95"/>
        <w:ind w:left="655" w:right="518" w:firstLine="0"/>
        <w:jc w:val="center"/>
        <w:rPr>
          <w:b/>
          <w:sz w:val="18"/>
        </w:rPr>
      </w:pPr>
      <w:r>
        <w:rPr/>
        <w:pict>
          <v:group style="position:absolute;margin-left:262.644012pt;margin-top:-81.60878pt;width:102.4pt;height:55.8pt;mso-position-horizontal-relative:page;mso-position-vertical-relative:paragraph;z-index:251718656" coordorigin="5253,-1632" coordsize="2048,1116">
            <v:shape style="position:absolute;left:5252;top:-1233;width:396;height:394" type="#_x0000_t75" stroked="false">
              <v:imagedata r:id="rId33" o:title=""/>
            </v:shape>
            <v:line style="position:absolute" from="5259,-814" to="5674,-1226" stroked="true" strokeweight=".658pt" strokecolor="#808080">
              <v:stroke dashstyle="solid"/>
            </v:line>
            <v:line style="position:absolute" from="5259,-782" to="5704,-1226" stroked="true" strokeweight=".658pt" strokecolor="#808080">
              <v:stroke dashstyle="solid"/>
            </v:line>
            <v:line style="position:absolute" from="5259,-752" to="5736,-1226" stroked="true" strokeweight=".658pt" strokecolor="#808080">
              <v:stroke dashstyle="solid"/>
            </v:line>
            <v:line style="position:absolute" from="5259,-720" to="5768,-1226" stroked="true" strokeweight=".658pt" strokecolor="#808080">
              <v:stroke dashstyle="solid"/>
            </v:line>
            <v:line style="position:absolute" from="5259,-688" to="5798,-1226" stroked="true" strokeweight=".658pt" strokecolor="#808080">
              <v:stroke dashstyle="solid"/>
            </v:line>
            <v:line style="position:absolute" from="5259,-658" to="5830,-1226" stroked="true" strokeweight=".658pt" strokecolor="#808080">
              <v:stroke dashstyle="solid"/>
            </v:line>
            <v:line style="position:absolute" from="5259,-626" to="5860,-1226" stroked="true" strokeweight=".658pt" strokecolor="#808080">
              <v:stroke dashstyle="solid"/>
            </v:line>
            <v:line style="position:absolute" from="5273,-607" to="5860,-1194" stroked="true" strokeweight=".658pt" strokecolor="#808080">
              <v:stroke dashstyle="solid"/>
            </v:line>
            <v:line style="position:absolute" from="5305,-607" to="5860,-1162" stroked="true" strokeweight=".658pt" strokecolor="#808080">
              <v:stroke dashstyle="solid"/>
            </v:line>
            <v:line style="position:absolute" from="5335,-607" to="5860,-1132" stroked="true" strokeweight=".658pt" strokecolor="#808080">
              <v:stroke dashstyle="solid"/>
            </v:line>
            <v:line style="position:absolute" from="5367,-607" to="5860,-1101" stroked="true" strokeweight=".658pt" strokecolor="#808080">
              <v:stroke dashstyle="solid"/>
            </v:line>
            <v:line style="position:absolute" from="5399,-607" to="5860,-1069" stroked="true" strokeweight=".658pt" strokecolor="#808080">
              <v:stroke dashstyle="solid"/>
            </v:line>
            <v:line style="position:absolute" from="5429,-607" to="5860,-1037" stroked="true" strokeweight=".658pt" strokecolor="#808080">
              <v:stroke dashstyle="solid"/>
            </v:line>
            <v:line style="position:absolute" from="5461,-607" to="5860,-1007" stroked="true" strokeweight=".658pt" strokecolor="#808080">
              <v:stroke dashstyle="solid"/>
            </v:line>
            <v:line style="position:absolute" from="5493,-607" to="5860,-975" stroked="true" strokeweight=".658pt" strokecolor="#808080">
              <v:stroke dashstyle="solid"/>
            </v:line>
            <v:line style="position:absolute" from="5523,-607" to="5860,-943" stroked="true" strokeweight=".658pt" strokecolor="#808080">
              <v:stroke dashstyle="solid"/>
            </v:line>
            <v:line style="position:absolute" from="5555,-607" to="5860,-913" stroked="true" strokeweight=".658pt" strokecolor="#808080">
              <v:stroke dashstyle="solid"/>
            </v:line>
            <v:line style="position:absolute" from="5587,-607" to="5860,-881" stroked="true" strokeweight=".658pt" strokecolor="#808080">
              <v:stroke dashstyle="solid"/>
            </v:line>
            <v:line style="position:absolute" from="5619,-607" to="5860,-849" stroked="true" strokeweight=".658pt" strokecolor="#808080">
              <v:stroke dashstyle="solid"/>
            </v:line>
            <v:line style="position:absolute" from="5649,-607" to="5860,-819" stroked="true" strokeweight=".658pt" strokecolor="#808080">
              <v:stroke dashstyle="solid"/>
            </v:line>
            <v:line style="position:absolute" from="5681,-607" to="5872,-799" stroked="true" strokeweight=".658pt" strokecolor="#808080">
              <v:stroke dashstyle="solid"/>
            </v:line>
            <v:line style="position:absolute" from="5713,-607" to="5904,-799" stroked="true" strokeweight=".658pt" strokecolor="#808080">
              <v:stroke dashstyle="solid"/>
            </v:line>
            <v:line style="position:absolute" from="5744,-607" to="5936,-799" stroked="true" strokeweight=".658pt" strokecolor="#808080">
              <v:stroke dashstyle="solid"/>
            </v:line>
            <v:line style="position:absolute" from="5776,-607" to="5966,-799" stroked="true" strokeweight=".658pt" strokecolor="#808080">
              <v:stroke dashstyle="solid"/>
            </v:line>
            <v:line style="position:absolute" from="5808,-607" to="5998,-799" stroked="true" strokeweight=".658pt" strokecolor="#808080">
              <v:stroke dashstyle="solid"/>
            </v:line>
            <v:line style="position:absolute" from="5838,-607" to="6030,-799" stroked="true" strokeweight=".658pt" strokecolor="#808080">
              <v:stroke dashstyle="solid"/>
            </v:line>
            <v:line style="position:absolute" from="5870,-607" to="6060,-799" stroked="true" strokeweight=".658pt" strokecolor="#808080">
              <v:stroke dashstyle="solid"/>
            </v:line>
            <v:line style="position:absolute" from="5902,-607" to="6092,-799" stroked="true" strokeweight=".658pt" strokecolor="#808080">
              <v:stroke dashstyle="solid"/>
            </v:line>
            <v:line style="position:absolute" from="5934,-607" to="6124,-799" stroked="true" strokeweight=".658pt" strokecolor="#808080">
              <v:stroke dashstyle="solid"/>
            </v:line>
            <v:line style="position:absolute" from="5964,-607" to="6156,-799" stroked="true" strokeweight=".658pt" strokecolor="#808080">
              <v:stroke dashstyle="solid"/>
            </v:line>
            <v:line style="position:absolute" from="5996,-607" to="6186,-799" stroked="true" strokeweight=".658pt" strokecolor="#808080">
              <v:stroke dashstyle="solid"/>
            </v:line>
            <v:line style="position:absolute" from="6028,-607" to="6218,-799" stroked="true" strokeweight=".658pt" strokecolor="#808080">
              <v:stroke dashstyle="solid"/>
            </v:line>
            <v:line style="position:absolute" from="6058,-607" to="6250,-799" stroked="true" strokeweight=".658pt" strokecolor="#808080">
              <v:stroke dashstyle="solid"/>
            </v:line>
            <v:line style="position:absolute" from="6090,-607" to="6280,-799" stroked="true" strokeweight=".658pt" strokecolor="#808080">
              <v:stroke dashstyle="solid"/>
            </v:line>
            <v:line style="position:absolute" from="6122,-607" to="6312,-799" stroked="true" strokeweight=".658pt" strokecolor="#808080">
              <v:stroke dashstyle="solid"/>
            </v:line>
            <v:line style="position:absolute" from="6152,-607" to="6344,-799" stroked="true" strokeweight=".658pt" strokecolor="#808080">
              <v:stroke dashstyle="solid"/>
            </v:line>
            <v:line style="position:absolute" from="6184,-607" to="6375,-799" stroked="true" strokeweight=".658pt" strokecolor="#808080">
              <v:stroke dashstyle="solid"/>
            </v:line>
            <v:line style="position:absolute" from="6216,-607" to="6407,-799" stroked="true" strokeweight=".658pt" strokecolor="#808080">
              <v:stroke dashstyle="solid"/>
            </v:line>
            <v:line style="position:absolute" from="6248,-607" to="6439,-799" stroked="true" strokeweight=".658pt" strokecolor="#808080">
              <v:stroke dashstyle="solid"/>
            </v:line>
            <v:line style="position:absolute" from="6278,-607" to="6471,-799" stroked="true" strokeweight=".658pt" strokecolor="#808080">
              <v:stroke dashstyle="solid"/>
            </v:line>
            <v:line style="position:absolute" from="6310,-607" to="6501,-799" stroked="true" strokeweight=".658pt" strokecolor="#808080">
              <v:stroke dashstyle="solid"/>
            </v:line>
            <v:line style="position:absolute" from="6343,-607" to="6533,-799" stroked="true" strokeweight=".658pt" strokecolor="#808080">
              <v:stroke dashstyle="solid"/>
            </v:line>
            <v:line style="position:absolute" from="6373,-607" to="6565,-799" stroked="true" strokeweight=".658pt" strokecolor="#808080">
              <v:stroke dashstyle="solid"/>
            </v:line>
            <v:line style="position:absolute" from="6405,-607" to="6595,-799" stroked="true" strokeweight=".658pt" strokecolor="#808080">
              <v:stroke dashstyle="solid"/>
            </v:line>
            <v:line style="position:absolute" from="6437,-607" to="6627,-799" stroked="true" strokeweight=".658pt" strokecolor="#808080">
              <v:stroke dashstyle="solid"/>
            </v:line>
            <v:line style="position:absolute" from="6691,-1207" to="6712,-1226" stroked="true" strokeweight=".658pt" strokecolor="#808080">
              <v:stroke dashstyle="solid"/>
            </v:line>
            <v:line style="position:absolute" from="6691,-1176" to="6742,-1226" stroked="true" strokeweight=".658pt" strokecolor="#808080">
              <v:stroke dashstyle="solid"/>
            </v:line>
            <v:line style="position:absolute" from="6691,-1144" to="6774,-1226" stroked="true" strokeweight=".658pt" strokecolor="#808080">
              <v:stroke dashstyle="solid"/>
            </v:line>
            <v:line style="position:absolute" from="6691,-1114" to="6806,-1226" stroked="true" strokeweight=".658pt" strokecolor="#808080">
              <v:stroke dashstyle="solid"/>
            </v:line>
            <v:line style="position:absolute" from="6691,-1082" to="6836,-1226" stroked="true" strokeweight=".658pt" strokecolor="#808080">
              <v:stroke dashstyle="solid"/>
            </v:line>
            <v:line style="position:absolute" from="6691,-1050" to="6868,-1226" stroked="true" strokeweight=".658pt" strokecolor="#808080">
              <v:stroke dashstyle="solid"/>
            </v:line>
            <v:line style="position:absolute" from="6691,-1020" to="6900,-1226" stroked="true" strokeweight=".658pt" strokecolor="#808080">
              <v:stroke dashstyle="solid"/>
            </v:line>
            <v:line style="position:absolute" from="6691,-988" to="6932,-1226" stroked="true" strokeweight=".658pt" strokecolor="#808080">
              <v:stroke dashstyle="solid"/>
            </v:line>
            <v:line style="position:absolute" from="6691,-956" to="6962,-1226" stroked="true" strokeweight=".658pt" strokecolor="#808080">
              <v:stroke dashstyle="solid"/>
            </v:line>
            <v:line style="position:absolute" from="6691,-924" to="6994,-1226" stroked="true" strokeweight=".658pt" strokecolor="#808080">
              <v:stroke dashstyle="solid"/>
            </v:line>
            <v:line style="position:absolute" from="6691,-894" to="7026,-1226" stroked="true" strokeweight=".658pt" strokecolor="#808080">
              <v:stroke dashstyle="solid"/>
            </v:line>
            <v:line style="position:absolute" from="6691,-862" to="7056,-1226" stroked="true" strokeweight=".658pt" strokecolor="#808080">
              <v:stroke dashstyle="solid"/>
            </v:line>
            <v:line style="position:absolute" from="6467,-607" to="6659,-798" stroked="true" strokeweight=".658pt" strokecolor="#808080">
              <v:stroke dashstyle="solid"/>
            </v:line>
            <v:line style="position:absolute" from="6691,-830" to="7088,-1226" stroked="true" strokeweight=".658pt" strokecolor="#808080">
              <v:stroke dashstyle="solid"/>
            </v:line>
            <v:line style="position:absolute" from="6499,-607" to="6689,-798" stroked="true" strokeweight=".658pt" strokecolor="#808080">
              <v:stroke dashstyle="solid"/>
            </v:line>
            <v:line style="position:absolute" from="6691,-800" to="7120,-1226" stroked="true" strokeweight=".658pt" strokecolor="#808080">
              <v:stroke dashstyle="solid"/>
            </v:line>
            <v:line style="position:absolute" from="6531,-607" to="7151,-1226" stroked="true" strokeweight=".658pt" strokecolor="#808080">
              <v:stroke dashstyle="solid"/>
            </v:line>
            <v:line style="position:absolute" from="6563,-607" to="7183,-1226" stroked="true" strokeweight=".658pt" strokecolor="#808080">
              <v:stroke dashstyle="solid"/>
            </v:line>
            <v:line style="position:absolute" from="6593,-607" to="7215,-1226" stroked="true" strokeweight=".658pt" strokecolor="#808080">
              <v:stroke dashstyle="solid"/>
            </v:line>
            <v:line style="position:absolute" from="6625,-607" to="7247,-1226" stroked="true" strokeweight=".658pt" strokecolor="#808080">
              <v:stroke dashstyle="solid"/>
            </v:line>
            <v:line style="position:absolute" from="6657,-607" to="7277,-1226" stroked="true" strokeweight=".658pt" strokecolor="#808080">
              <v:stroke dashstyle="solid"/>
            </v:line>
            <v:line style="position:absolute" from="6687,-607" to="7294,-1211" stroked="true" strokeweight=".658pt" strokecolor="#808080">
              <v:stroke dashstyle="solid"/>
            </v:line>
            <v:line style="position:absolute" from="6719,-607" to="7294,-1181" stroked="true" strokeweight=".658pt" strokecolor="#808080">
              <v:stroke dashstyle="solid"/>
            </v:line>
            <v:line style="position:absolute" from="6751,-607" to="7294,-1149" stroked="true" strokeweight=".658pt" strokecolor="#808080">
              <v:stroke dashstyle="solid"/>
            </v:line>
            <v:line style="position:absolute" from="6781,-607" to="7294,-1117" stroked="true" strokeweight=".658pt" strokecolor="#808080">
              <v:stroke dashstyle="solid"/>
            </v:line>
            <v:line style="position:absolute" from="6813,-607" to="7294,-1087" stroked="true" strokeweight=".658pt" strokecolor="#808080">
              <v:stroke dashstyle="solid"/>
            </v:line>
            <v:line style="position:absolute" from="6845,-607" to="7294,-1055" stroked="true" strokeweight=".658pt" strokecolor="#808080">
              <v:stroke dashstyle="solid"/>
            </v:line>
            <v:line style="position:absolute" from="6877,-607" to="7294,-1023" stroked="true" strokeweight=".658pt" strokecolor="#808080">
              <v:stroke dashstyle="solid"/>
            </v:line>
            <v:shape style="position:absolute;left:6900;top:-999;width:400;height:398" type="#_x0000_t75" stroked="false">
              <v:imagedata r:id="rId34" o:title=""/>
            </v:shape>
            <v:shape style="position:absolute;left:5860;top:-1626;width:831;height:415" coordorigin="5860,-1626" coordsize="831,415" path="m6691,-1626l5860,-1626,6277,-1211,6691,-1626xe" filled="true" fillcolor="#808080" stroked="false">
              <v:path arrowok="t"/>
              <v:fill type="solid"/>
            </v:shape>
            <v:shape style="position:absolute;left:5860;top:-1626;width:831;height:415" coordorigin="5860,-1626" coordsize="831,415" path="m6277,-1211l6691,-1626,5860,-1626,6277,-1211xe" filled="false" stroked="true" strokeweight=".188pt" strokecolor="#808080">
              <v:path arrowok="t"/>
              <v:stroke dashstyle="solid"/>
            </v:shape>
            <v:shape style="position:absolute;left:5860;top:-1626;width:417;height:828" coordorigin="5860,-1626" coordsize="417,828" path="m5860,-1626l5860,-798,6277,-1211,5860,-1626xe" filled="true" fillcolor="#808080" stroked="false">
              <v:path arrowok="t"/>
              <v:fill type="solid"/>
            </v:shape>
            <v:shape style="position:absolute;left:5860;top:-1626;width:417;height:828" coordorigin="5860,-1626" coordsize="417,828" path="m6277,-1211l5860,-1626,5860,-798,6277,-1211xe" filled="false" stroked="true" strokeweight=".188pt" strokecolor="#808080">
              <v:path arrowok="t"/>
              <v:stroke dashstyle="solid"/>
            </v:shape>
            <v:shape style="position:absolute;left:5860;top:-1212;width:831;height:413" coordorigin="5860,-1211" coordsize="831,413" path="m6277,-1211l5860,-798,6691,-798,6277,-1211xe" filled="true" fillcolor="#808080" stroked="false">
              <v:path arrowok="t"/>
              <v:fill type="solid"/>
            </v:shape>
            <v:shape style="position:absolute;left:5860;top:-1212;width:831;height:413" coordorigin="5860,-1211" coordsize="831,413" path="m6277,-1211l5860,-798,6691,-798,6277,-1211xe" filled="false" stroked="true" strokeweight=".188pt" strokecolor="#808080">
              <v:path arrowok="t"/>
              <v:stroke dashstyle="solid"/>
            </v:shape>
            <v:shape style="position:absolute;left:6276;top:-1626;width:415;height:828" coordorigin="6277,-1626" coordsize="415,828" path="m6691,-1626l6277,-1211,6691,-798,6691,-1626xe" filled="true" fillcolor="#808080" stroked="false">
              <v:path arrowok="t"/>
              <v:fill type="solid"/>
            </v:shape>
            <v:shape style="position:absolute;left:6276;top:-1626;width:415;height:828" coordorigin="6277,-1626" coordsize="415,828" path="m6277,-1211l6691,-798,6691,-1626,6277,-1211xe" filled="false" stroked="true" strokeweight=".188pt" strokecolor="#808080">
              <v:path arrowok="t"/>
              <v:stroke dashstyle="solid"/>
            </v:shape>
            <v:shape style="position:absolute;left:0;top:12623;width:831;height:828" coordorigin="0,12623" coordsize="831,828" path="m5860,-1626l5860,-798m5860,-1626l6691,-1626e" filled="false" stroked="true" strokeweight=".658pt" strokecolor="#000000">
              <v:path arrowok="t"/>
              <v:stroke dashstyle="solid"/>
            </v:shape>
            <v:line style="position:absolute" from="6277,-607" to="7294,-607" stroked="true" strokeweight=".658pt" strokecolor="#000000">
              <v:stroke dashstyle="solid"/>
            </v:line>
            <v:shape style="position:absolute;left:5860;top:-1626;width:831;height:828" coordorigin="5860,-1626" coordsize="831,828" path="m6691,-1626l6691,-798,5860,-798e" filled="false" stroked="true" strokeweight=".658pt" strokecolor="#000000">
              <v:path arrowok="t"/>
              <v:stroke dashstyle="solid"/>
            </v:shape>
            <v:line style="position:absolute" from="7294,-1226" to="6691,-1226" stroked="true" strokeweight=".658pt" strokecolor="#000000">
              <v:stroke dashstyle="solid"/>
            </v:line>
            <v:line style="position:absolute" from="7294,-1316" to="7294,-1249" stroked="true" strokeweight=".47pt" strokecolor="#000000">
              <v:stroke dashstyle="solid"/>
            </v:line>
            <v:line style="position:absolute" from="7294,-1183" to="7294,-1183" stroked="true" strokeweight=".47pt" strokecolor="#000000">
              <v:stroke dashstyle="solid"/>
            </v:line>
            <v:line style="position:absolute" from="7294,-1117" to="7294,-984" stroked="true" strokeweight=".47pt" strokecolor="#000000">
              <v:stroke dashstyle="solid"/>
            </v:line>
            <v:line style="position:absolute" from="7294,-917" to="7294,-917" stroked="true" strokeweight=".47pt" strokecolor="#000000">
              <v:stroke dashstyle="solid"/>
            </v:line>
            <v:line style="position:absolute" from="7294,-851" to="7294,-718" stroked="true" strokeweight=".47pt" strokecolor="#000000">
              <v:stroke dashstyle="solid"/>
            </v:line>
            <v:line style="position:absolute" from="7294,-652" to="7294,-652" stroked="true" strokeweight=".47pt" strokecolor="#000000">
              <v:stroke dashstyle="solid"/>
            </v:line>
            <v:line style="position:absolute" from="7289,-551" to="7298,-551" stroked="true" strokeweight="3.376pt" strokecolor="#000000">
              <v:stroke dashstyle="solid"/>
            </v:line>
            <v:line style="position:absolute" from="6774,-731" to="6277,-731" stroked="true" strokeweight="1.316pt" strokecolor="#000000">
              <v:stroke dashstyle="solid"/>
            </v:line>
            <v:line style="position:absolute" from="6804,-742" to="6857,-791" stroked="true" strokeweight="1.316pt" strokecolor="#000000">
              <v:stroke dashstyle="solid"/>
            </v:line>
            <v:line style="position:absolute" from="6827,-868" to="6749,-868" stroked="true" strokeweight="1.316pt" strokecolor="#000000">
              <v:stroke dashstyle="solid"/>
            </v:line>
            <v:line style="position:absolute" from="6277,-607" to="5259,-607" stroked="true" strokeweight=".658pt" strokecolor="#000000">
              <v:stroke dashstyle="solid"/>
            </v:line>
            <v:line style="position:absolute" from="5259,-1226" to="5860,-1226" stroked="true" strokeweight=".658pt" strokecolor="#000000">
              <v:stroke dashstyle="solid"/>
            </v:line>
            <v:line style="position:absolute" from="5259,-1316" to="5259,-1249" stroked="true" strokeweight=".47pt" strokecolor="#000000">
              <v:stroke dashstyle="solid"/>
            </v:line>
            <v:line style="position:absolute" from="5259,-1183" to="5259,-1183" stroked="true" strokeweight=".47pt" strokecolor="#000000">
              <v:stroke dashstyle="solid"/>
            </v:line>
            <v:line style="position:absolute" from="5259,-1117" to="5259,-984" stroked="true" strokeweight=".47pt" strokecolor="#000000">
              <v:stroke dashstyle="solid"/>
            </v:line>
            <v:line style="position:absolute" from="5259,-917" to="5259,-917" stroked="true" strokeweight=".47pt" strokecolor="#000000">
              <v:stroke dashstyle="solid"/>
            </v:line>
            <v:line style="position:absolute" from="5259,-851" to="5259,-718" stroked="true" strokeweight=".47pt" strokecolor="#000000">
              <v:stroke dashstyle="solid"/>
            </v:line>
            <v:line style="position:absolute" from="5259,-652" to="5259,-652" stroked="true" strokeweight=".47pt" strokecolor="#000000">
              <v:stroke dashstyle="solid"/>
            </v:line>
            <v:line style="position:absolute" from="5255,-551" to="5264,-551" stroked="true" strokeweight="3.376pt" strokecolor="#000000">
              <v:stroke dashstyle="solid"/>
            </v:line>
            <v:line style="position:absolute" from="5779,-731" to="6277,-731" stroked="true" strokeweight="1.316pt" strokecolor="#000000">
              <v:stroke dashstyle="solid"/>
            </v:line>
            <v:line style="position:absolute" from="5749,-742" to="5696,-791" stroked="true" strokeweight="1.316pt" strokecolor="#000000">
              <v:stroke dashstyle="solid"/>
            </v:line>
            <v:line style="position:absolute" from="5725,-868" to="5802,-868" stroked="true" strokeweight="1.316pt" strokecolor="#000000">
              <v:stroke dashstyle="solid"/>
            </v:line>
            <v:shape style="position:absolute;left:6760;top:-881;width:125;height:164" type="#_x0000_t75" stroked="false">
              <v:imagedata r:id="rId35" o:title=""/>
            </v:shape>
            <v:shape style="position:absolute;left:5668;top:-881;width:125;height:164" type="#_x0000_t75" stroked="false">
              <v:imagedata r:id="rId36" o:title=""/>
            </v:shape>
            <w10:wrap type="none"/>
          </v:group>
        </w:pict>
      </w:r>
      <w:r>
        <w:rPr/>
        <w:pict>
          <v:group style="position:absolute;margin-left:368.968994pt;margin-top:-81.60878pt;width:83.35pt;height:83.1pt;mso-position-horizontal-relative:page;mso-position-vertical-relative:paragraph;z-index:251719680" coordorigin="7379,-1632" coordsize="1667,1662">
            <v:shape style="position:absolute;left:7379;top:-1233;width:398;height:396" type="#_x0000_t75" stroked="false">
              <v:imagedata r:id="rId37" o:title=""/>
            </v:shape>
            <v:line style="position:absolute" from="7386,-812" to="7802,-1226" stroked="true" strokeweight=".658pt" strokecolor="#808080">
              <v:stroke dashstyle="solid"/>
            </v:line>
            <v:line style="position:absolute" from="7386,-780" to="7832,-1226" stroked="true" strokeweight=".658pt" strokecolor="#808080">
              <v:stroke dashstyle="solid"/>
            </v:line>
            <v:line style="position:absolute" from="7386,-750" to="7864,-1226" stroked="true" strokeweight=".658pt" strokecolor="#808080">
              <v:stroke dashstyle="solid"/>
            </v:line>
            <v:line style="position:absolute" from="7386,-718" to="7896,-1226" stroked="true" strokeweight=".658pt" strokecolor="#808080">
              <v:stroke dashstyle="solid"/>
            </v:line>
            <v:line style="position:absolute" from="7386,-686" to="7928,-1226" stroked="true" strokeweight=".658pt" strokecolor="#808080">
              <v:stroke dashstyle="solid"/>
            </v:line>
            <v:line style="position:absolute" from="7386,-654" to="7959,-1226" stroked="true" strokeweight=".658pt" strokecolor="#808080">
              <v:stroke dashstyle="solid"/>
            </v:line>
            <v:line style="position:absolute" from="7386,-624" to="7991,-1226" stroked="true" strokeweight=".658pt" strokecolor="#808080">
              <v:stroke dashstyle="solid"/>
            </v:line>
            <v:line style="position:absolute" from="7401,-607" to="8023,-1226" stroked="true" strokeweight=".658pt" strokecolor="#808080">
              <v:stroke dashstyle="solid"/>
            </v:line>
            <v:line style="position:absolute" from="7433,-607" to="8053,-1226" stroked="true" strokeweight=".658pt" strokecolor="#808080">
              <v:stroke dashstyle="solid"/>
            </v:line>
            <v:line style="position:absolute" from="7463,-607" to="8085,-1226" stroked="true" strokeweight=".658pt" strokecolor="#808080">
              <v:stroke dashstyle="solid"/>
            </v:line>
            <v:line style="position:absolute" from="7495,-607" to="8117,-1226" stroked="true" strokeweight=".658pt" strokecolor="#808080">
              <v:stroke dashstyle="solid"/>
            </v:line>
            <v:line style="position:absolute" from="7527,-607" to="8147,-1226" stroked="true" strokeweight=".658pt" strokecolor="#808080">
              <v:stroke dashstyle="solid"/>
            </v:line>
            <v:line style="position:absolute" from="7557,-607" to="8179,-1226" stroked="true" strokeweight=".658pt" strokecolor="#808080">
              <v:stroke dashstyle="solid"/>
            </v:line>
            <v:line style="position:absolute" from="7589,-607" to="8209,-1224" stroked="true" strokeweight=".658pt" strokecolor="#808080">
              <v:stroke dashstyle="solid"/>
            </v:line>
            <v:line style="position:absolute" from="7621,-607" to="8209,-1192" stroked="true" strokeweight=".658pt" strokecolor="#808080">
              <v:stroke dashstyle="solid"/>
            </v:line>
            <v:line style="position:absolute" from="7653,-607" to="8209,-1162" stroked="true" strokeweight=".658pt" strokecolor="#808080">
              <v:stroke dashstyle="solid"/>
            </v:line>
            <v:line style="position:absolute" from="7684,-607" to="8209,-1130" stroked="true" strokeweight=".658pt" strokecolor="#808080">
              <v:stroke dashstyle="solid"/>
            </v:line>
            <v:line style="position:absolute" from="7716,-607" to="8209,-1099" stroked="true" strokeweight=".658pt" strokecolor="#808080">
              <v:stroke dashstyle="solid"/>
            </v:line>
            <v:line style="position:absolute" from="7748,-607" to="8209,-1069" stroked="true" strokeweight=".658pt" strokecolor="#808080">
              <v:stroke dashstyle="solid"/>
            </v:line>
            <v:line style="position:absolute" from="7778,-607" to="8209,-1037" stroked="true" strokeweight=".658pt" strokecolor="#808080">
              <v:stroke dashstyle="solid"/>
            </v:line>
            <v:line style="position:absolute" from="7810,-607" to="8209,-1005" stroked="true" strokeweight=".658pt" strokecolor="#808080">
              <v:stroke dashstyle="solid"/>
            </v:line>
            <v:shape style="position:absolute;left:7835;top:-982;width:550;height:546" type="#_x0000_t75" stroked="false">
              <v:imagedata r:id="rId38" o:title=""/>
            </v:shape>
            <v:line style="position:absolute" from="8021,-410" to="8411,-798" stroked="true" strokeweight=".658pt" strokecolor="#808080">
              <v:stroke dashstyle="solid"/>
            </v:line>
            <v:line style="position:absolute" from="8021,-380" to="8441,-798" stroked="true" strokeweight=".658pt" strokecolor="#808080">
              <v:stroke dashstyle="solid"/>
            </v:line>
            <v:line style="position:absolute" from="8021,-348" to="8473,-798" stroked="true" strokeweight=".658pt" strokecolor="#808080">
              <v:stroke dashstyle="solid"/>
            </v:line>
            <v:line style="position:absolute" from="8021,-316" to="8505,-798" stroked="true" strokeweight=".658pt" strokecolor="#808080">
              <v:stroke dashstyle="solid"/>
            </v:line>
            <v:line style="position:absolute" from="8021,-286" to="8535,-798" stroked="true" strokeweight=".658pt" strokecolor="#808080">
              <v:stroke dashstyle="solid"/>
            </v:line>
            <v:line style="position:absolute" from="8021,-254" to="8567,-798" stroked="true" strokeweight=".658pt" strokecolor="#808080">
              <v:stroke dashstyle="solid"/>
            </v:line>
            <v:line style="position:absolute" from="8021,-223" to="8599,-798" stroked="true" strokeweight=".658pt" strokecolor="#808080">
              <v:stroke dashstyle="solid"/>
            </v:line>
            <v:line style="position:absolute" from="8021,-191" to="8629,-798" stroked="true" strokeweight=".658pt" strokecolor="#808080">
              <v:stroke dashstyle="solid"/>
            </v:line>
            <v:line style="position:absolute" from="8021,-161" to="8642,-778" stroked="true" strokeweight=".658pt" strokecolor="#808080">
              <v:stroke dashstyle="solid"/>
            </v:line>
            <v:line style="position:absolute" from="8021,-129" to="8642,-748" stroked="true" strokeweight=".658pt" strokecolor="#808080">
              <v:stroke dashstyle="solid"/>
            </v:line>
            <v:line style="position:absolute" from="8021,-97" to="8642,-716" stroked="true" strokeweight=".658pt" strokecolor="#808080">
              <v:stroke dashstyle="solid"/>
            </v:line>
            <v:line style="position:absolute" from="8021,-67" to="8642,-684" stroked="true" strokeweight=".658pt" strokecolor="#808080">
              <v:stroke dashstyle="solid"/>
            </v:line>
            <v:line style="position:absolute" from="8021,-35" to="8642,-654" stroked="true" strokeweight=".658pt" strokecolor="#808080">
              <v:stroke dashstyle="solid"/>
            </v:line>
            <v:line style="position:absolute" from="8021,-3" to="8642,-622" stroked="true" strokeweight=".658pt" strokecolor="#808080">
              <v:stroke dashstyle="solid"/>
            </v:line>
            <v:line style="position:absolute" from="8024,23" to="8642,-590" stroked="true" strokeweight=".658pt" strokecolor="#808080">
              <v:stroke dashstyle="solid"/>
            </v:line>
            <v:line style="position:absolute" from="8056,23" to="8642,-560" stroked="true" strokeweight=".658pt" strokecolor="#808080">
              <v:stroke dashstyle="solid"/>
            </v:line>
            <v:line style="position:absolute" from="8089,23" to="8642,-528" stroked="true" strokeweight=".658pt" strokecolor="#808080">
              <v:stroke dashstyle="solid"/>
            </v:line>
            <v:line style="position:absolute" from="8119,23" to="8642,-497" stroked="true" strokeweight=".658pt" strokecolor="#808080">
              <v:stroke dashstyle="solid"/>
            </v:line>
            <v:line style="position:absolute" from="8151,23" to="8642,-465" stroked="true" strokeweight=".658pt" strokecolor="#808080">
              <v:stroke dashstyle="solid"/>
            </v:line>
            <v:line style="position:absolute" from="8183,23" to="8642,-435" stroked="true" strokeweight=".658pt" strokecolor="#808080">
              <v:stroke dashstyle="solid"/>
            </v:line>
            <v:line style="position:absolute" from="8215,23" to="8642,-403" stroked="true" strokeweight=".658pt" strokecolor="#808080">
              <v:stroke dashstyle="solid"/>
            </v:line>
            <v:line style="position:absolute" from="8245,23" to="8642,-371" stroked="true" strokeweight=".658pt" strokecolor="#808080">
              <v:stroke dashstyle="solid"/>
            </v:line>
            <v:shape style="position:absolute;left:8270;top:-348;width:379;height:378" type="#_x0000_t75" stroked="false">
              <v:imagedata r:id="rId39" o:title=""/>
            </v:shape>
            <v:shape style="position:absolute;left:8209;top:-1212;width:831;height:413" coordorigin="8209,-1211" coordsize="831,413" path="m8623,-1211l8209,-798,9040,-798,8623,-1211xe" filled="true" fillcolor="#808080" stroked="false">
              <v:path arrowok="t"/>
              <v:fill type="solid"/>
            </v:shape>
            <v:shape style="position:absolute;left:8209;top:-1212;width:831;height:413" coordorigin="8209,-1211" coordsize="831,413" path="m8623,-1211l8209,-798,9040,-798,8623,-1211xe" filled="false" stroked="true" strokeweight=".188pt" strokecolor="#808080">
              <v:path arrowok="t"/>
              <v:stroke dashstyle="solid"/>
            </v:shape>
            <v:shape style="position:absolute;left:8623;top:-1626;width:417;height:828" coordorigin="8623,-1626" coordsize="417,828" path="m9040,-1626l8623,-1211,9040,-798,9040,-1626xe" filled="true" fillcolor="#808080" stroked="false">
              <v:path arrowok="t"/>
              <v:fill type="solid"/>
            </v:shape>
            <v:shape style="position:absolute;left:8623;top:-1626;width:417;height:828" coordorigin="8623,-1626" coordsize="417,828" path="m8623,-1211l9040,-798,9040,-1626,8623,-1211xe" filled="false" stroked="true" strokeweight=".188pt" strokecolor="#808080">
              <v:path arrowok="t"/>
              <v:stroke dashstyle="solid"/>
            </v:shape>
            <v:shape style="position:absolute;left:8209;top:-1626;width:831;height:415" coordorigin="8209,-1626" coordsize="831,415" path="m9040,-1626l8209,-1626,8623,-1211,9040,-1626xe" filled="true" fillcolor="#808080" stroked="false">
              <v:path arrowok="t"/>
              <v:fill type="solid"/>
            </v:shape>
            <v:shape style="position:absolute;left:8209;top:-1626;width:831;height:415" coordorigin="8209,-1626" coordsize="831,415" path="m8623,-1211l9040,-1626,8209,-1626,8623,-1211xe" filled="false" stroked="true" strokeweight=".188pt" strokecolor="#808080">
              <v:path arrowok="t"/>
              <v:stroke dashstyle="solid"/>
            </v:shape>
            <v:shape style="position:absolute;left:8209;top:-1626;width:415;height:828" coordorigin="8209,-1626" coordsize="415,828" path="m8209,-1626l8209,-798,8623,-1211,8209,-1626xe" filled="true" fillcolor="#808080" stroked="false">
              <v:path arrowok="t"/>
              <v:fill type="solid"/>
            </v:shape>
            <v:shape style="position:absolute;left:8209;top:-1626;width:415;height:828" coordorigin="8209,-1626" coordsize="415,828" path="m8623,-1211l8209,-1626,8209,-798,8623,-1211xe" filled="false" stroked="true" strokeweight=".188pt" strokecolor="#808080">
              <v:path arrowok="t"/>
              <v:stroke dashstyle="solid"/>
            </v:shape>
            <v:shape style="position:absolute;left:0;top:12623;width:831;height:828" coordorigin="0,12623" coordsize="831,828" path="m8209,-1626l9040,-1626m8209,-1626l8209,-798e" filled="false" stroked="true" strokeweight=".658pt" strokecolor="#000000">
              <v:path arrowok="t"/>
              <v:stroke dashstyle="solid"/>
            </v:shape>
            <v:line style="position:absolute" from="7386,-1226" to="8209,-1226" stroked="true" strokeweight=".658pt" strokecolor="#000000">
              <v:stroke dashstyle="solid"/>
            </v:line>
            <v:shape style="position:absolute;left:8209;top:-1626;width:831;height:828" coordorigin="8209,-1626" coordsize="831,828" path="m8209,-798l9040,-798,9040,-1626e" filled="false" stroked="true" strokeweight=".658pt" strokecolor="#000000">
              <v:path arrowok="t"/>
              <v:stroke dashstyle="solid"/>
            </v:shape>
            <v:line style="position:absolute" from="7386,-517" to="7386,-585" stroked="true" strokeweight=".47pt" strokecolor="#000000">
              <v:stroke dashstyle="solid"/>
            </v:line>
            <v:line style="position:absolute" from="7386,-652" to="7386,-652" stroked="true" strokeweight=".47pt" strokecolor="#000000">
              <v:stroke dashstyle="solid"/>
            </v:line>
            <v:line style="position:absolute" from="7386,-718" to="7386,-851" stroked="true" strokeweight=".47pt" strokecolor="#000000">
              <v:stroke dashstyle="solid"/>
            </v:line>
            <v:line style="position:absolute" from="7386,-917" to="7386,-917" stroked="true" strokeweight=".47pt" strokecolor="#000000">
              <v:stroke dashstyle="solid"/>
            </v:line>
            <v:line style="position:absolute" from="7386,-984" to="7386,-1117" stroked="true" strokeweight=".47pt" strokecolor="#000000">
              <v:stroke dashstyle="solid"/>
            </v:line>
            <v:line style="position:absolute" from="7386,-1183" to="7386,-1183" stroked="true" strokeweight=".47pt" strokecolor="#000000">
              <v:stroke dashstyle="solid"/>
            </v:line>
            <v:line style="position:absolute" from="7381,-1282" to="7391,-1282" stroked="true" strokeweight="3.376pt" strokecolor="#000000">
              <v:stroke dashstyle="solid"/>
            </v:line>
            <v:line style="position:absolute" from="8642,23" to="8642,-798" stroked="true" strokeweight=".658pt" strokecolor="#000000">
              <v:stroke dashstyle="solid"/>
            </v:line>
            <v:line style="position:absolute" from="7930,23" to="7998,23" stroked="true" strokeweight=".47pt" strokecolor="#000000">
              <v:stroke dashstyle="solid"/>
            </v:line>
            <v:line style="position:absolute" from="8064,23" to="8064,23" stroked="true" strokeweight=".47pt" strokecolor="#000000">
              <v:stroke dashstyle="solid"/>
            </v:line>
            <v:line style="position:absolute" from="8132,23" to="8266,23" stroked="true" strokeweight=".47pt" strokecolor="#000000">
              <v:stroke dashstyle="solid"/>
            </v:line>
            <v:line style="position:absolute" from="8331,23" to="8331,23" stroked="true" strokeweight=".47pt" strokecolor="#000000">
              <v:stroke dashstyle="solid"/>
            </v:line>
            <v:line style="position:absolute" from="8397,23" to="8531,23" stroked="true" strokeweight=".47pt" strokecolor="#000000">
              <v:stroke dashstyle="solid"/>
            </v:line>
            <v:line style="position:absolute" from="8599,23" to="8599,23" stroked="true" strokeweight=".47pt" strokecolor="#000000">
              <v:stroke dashstyle="solid"/>
            </v:line>
            <v:shape style="position:absolute;left:8664;top:23;width:68;height:2" coordorigin="8665,23" coordsize="68,0" path="m8665,23l8733,23,8733,23e" filled="false" stroked="true" strokeweight=".47pt" strokecolor="#000000">
              <v:path arrowok="t"/>
              <v:stroke dashstyle="solid"/>
            </v:shape>
            <v:line style="position:absolute" from="8021,23" to="8021,-607" stroked="true" strokeweight=".658pt" strokecolor="#000000">
              <v:stroke dashstyle="solid"/>
            </v:line>
            <v:line style="position:absolute" from="7386,-607" to="8021,-607" stroked="true" strokeweight=".658pt" strokecolor="#000000">
              <v:stroke dashstyle="solid"/>
            </v:line>
            <v:shape style="position:absolute;left:7890;top:-881;width:407;height:413" type="#_x0000_t75" stroked="false">
              <v:imagedata r:id="rId40" o:title=""/>
            </v:shape>
            <w10:wrap type="none"/>
          </v:group>
        </w:pict>
      </w:r>
      <w:r>
        <w:rPr/>
        <w:drawing>
          <wp:anchor distT="0" distB="0" distL="0" distR="0" allowOverlap="1" layoutInCell="1" locked="0" behindDoc="0" simplePos="0" relativeHeight="251721728">
            <wp:simplePos x="0" y="0"/>
            <wp:positionH relativeFrom="page">
              <wp:posOffset>3937761</wp:posOffset>
            </wp:positionH>
            <wp:positionV relativeFrom="paragraph">
              <wp:posOffset>-234197</wp:posOffset>
            </wp:positionV>
            <wp:extent cx="185884" cy="72866"/>
            <wp:effectExtent l="0" t="0" r="0" b="0"/>
            <wp:wrapNone/>
            <wp:docPr id="5" name="image33.png"/>
            <wp:cNvGraphicFramePr>
              <a:graphicFrameLocks noChangeAspect="1"/>
            </wp:cNvGraphicFramePr>
            <a:graphic>
              <a:graphicData uri="http://schemas.openxmlformats.org/drawingml/2006/picture">
                <pic:pic>
                  <pic:nvPicPr>
                    <pic:cNvPr id="6" name="image33.png"/>
                    <pic:cNvPicPr/>
                  </pic:nvPicPr>
                  <pic:blipFill>
                    <a:blip r:embed="rId41" cstate="print"/>
                    <a:stretch>
                      <a:fillRect/>
                    </a:stretch>
                  </pic:blipFill>
                  <pic:spPr>
                    <a:xfrm>
                      <a:off x="0" y="0"/>
                      <a:ext cx="185884" cy="72866"/>
                    </a:xfrm>
                    <a:prstGeom prst="rect">
                      <a:avLst/>
                    </a:prstGeom>
                  </pic:spPr>
                </pic:pic>
              </a:graphicData>
            </a:graphic>
          </wp:anchor>
        </w:drawing>
      </w:r>
      <w:r>
        <w:rPr>
          <w:b/>
          <w:sz w:val="18"/>
        </w:rPr>
        <w:t>Figura 2.9 Ejemplo de encuentro de la fachada con los pilares</w:t>
      </w:r>
    </w:p>
    <w:p>
      <w:pPr>
        <w:pStyle w:val="BodyText"/>
        <w:rPr>
          <w:b/>
        </w:rPr>
      </w:pPr>
    </w:p>
    <w:p>
      <w:pPr>
        <w:pStyle w:val="BodyText"/>
        <w:spacing w:before="7"/>
        <w:rPr>
          <w:b/>
          <w:sz w:val="15"/>
        </w:rPr>
      </w:pPr>
    </w:p>
    <w:p>
      <w:pPr>
        <w:spacing w:before="1"/>
        <w:ind w:left="1958" w:right="0" w:firstLine="0"/>
        <w:jc w:val="left"/>
        <w:rPr>
          <w:sz w:val="16"/>
        </w:rPr>
      </w:pPr>
      <w:r>
        <w:rPr/>
        <w:pict>
          <v:line style="position:absolute;mso-position-horizontal-relative:page;mso-position-vertical-relative:paragraph;z-index:251722752" from="152.520004pt,-2.825769pt" to="152.520004pt,21.594231pt" stroked="true" strokeweight=".48pt" strokecolor="#000000">
            <v:stroke dashstyle="solid"/>
            <w10:wrap type="none"/>
          </v:line>
        </w:pict>
      </w:r>
      <w:r>
        <w:rPr>
          <w:sz w:val="16"/>
        </w:rPr>
        <w:t>Se pretende limitar el riesgo de que se produzcan grietas en la hoja exterior como consecuencia de los movimientos del pilar, por las que pudiera penetrar el agua.</w:t>
      </w:r>
    </w:p>
    <w:p>
      <w:pPr>
        <w:pStyle w:val="BodyText"/>
      </w:pPr>
    </w:p>
    <w:p>
      <w:pPr>
        <w:pStyle w:val="BodyText"/>
        <w:spacing w:before="11"/>
        <w:rPr>
          <w:sz w:val="24"/>
        </w:rPr>
      </w:pPr>
    </w:p>
    <w:p>
      <w:pPr>
        <w:pStyle w:val="ListParagraph"/>
        <w:numPr>
          <w:ilvl w:val="3"/>
          <w:numId w:val="14"/>
        </w:numPr>
        <w:tabs>
          <w:tab w:pos="928" w:val="left" w:leader="none"/>
        </w:tabs>
        <w:spacing w:line="240" w:lineRule="auto" w:before="94" w:after="0"/>
        <w:ind w:left="927" w:right="0" w:hanging="710"/>
        <w:jc w:val="left"/>
        <w:rPr>
          <w:b/>
          <w:sz w:val="20"/>
        </w:rPr>
      </w:pPr>
      <w:r>
        <w:rPr>
          <w:b/>
          <w:sz w:val="20"/>
        </w:rPr>
        <w:t>Encuentros de la </w:t>
      </w:r>
      <w:r>
        <w:rPr>
          <w:b/>
          <w:i/>
          <w:sz w:val="20"/>
        </w:rPr>
        <w:t>cámara de aire ventilada </w:t>
      </w:r>
      <w:r>
        <w:rPr>
          <w:b/>
          <w:sz w:val="20"/>
        </w:rPr>
        <w:t>con los forjados y los</w:t>
      </w:r>
      <w:r>
        <w:rPr>
          <w:b/>
          <w:spacing w:val="-17"/>
          <w:sz w:val="20"/>
        </w:rPr>
        <w:t> </w:t>
      </w:r>
      <w:r>
        <w:rPr>
          <w:b/>
          <w:sz w:val="20"/>
        </w:rPr>
        <w:t>dinteles</w:t>
      </w:r>
    </w:p>
    <w:p>
      <w:pPr>
        <w:pStyle w:val="ListParagraph"/>
        <w:numPr>
          <w:ilvl w:val="0"/>
          <w:numId w:val="35"/>
        </w:numPr>
        <w:tabs>
          <w:tab w:pos="672" w:val="left" w:leader="none"/>
        </w:tabs>
        <w:spacing w:line="240" w:lineRule="auto" w:before="158" w:after="0"/>
        <w:ind w:left="671" w:right="392" w:hanging="454"/>
        <w:jc w:val="both"/>
        <w:rPr>
          <w:sz w:val="20"/>
        </w:rPr>
      </w:pPr>
      <w:r>
        <w:rPr>
          <w:sz w:val="20"/>
        </w:rPr>
        <w:t>Cuando la cámara quede interrumpida por un forjado o un dintel, debe disponerse un sistema de recogida y evacuación del agua filtrada o condensada en la</w:t>
      </w:r>
      <w:r>
        <w:rPr>
          <w:spacing w:val="-6"/>
          <w:sz w:val="20"/>
        </w:rPr>
        <w:t> </w:t>
      </w:r>
      <w:r>
        <w:rPr>
          <w:sz w:val="20"/>
        </w:rPr>
        <w:t>misma.</w:t>
      </w:r>
    </w:p>
    <w:p>
      <w:pPr>
        <w:pStyle w:val="ListParagraph"/>
        <w:numPr>
          <w:ilvl w:val="0"/>
          <w:numId w:val="35"/>
        </w:numPr>
        <w:tabs>
          <w:tab w:pos="672" w:val="left" w:leader="none"/>
        </w:tabs>
        <w:spacing w:line="240" w:lineRule="auto" w:before="120" w:after="0"/>
        <w:ind w:left="671" w:right="392" w:hanging="454"/>
        <w:jc w:val="both"/>
        <w:rPr>
          <w:sz w:val="20"/>
        </w:rPr>
      </w:pPr>
      <w:r>
        <w:rPr>
          <w:sz w:val="20"/>
        </w:rPr>
        <w:t>Como sistema de recogida de agua debe utilizarse un elemento continuo impermeable (lámina, perfil especial, etc.) dispuesto a lo largo del fondo de la cámara, con inclinación hacia el exterior, de tal forma que su borde superior esté situado como mínimo a 10 cm del fondo y al menos 3 cm por encima del punto más alto del sistema de evacuación (Véase la figura 2.10). Cuando se disponga una lámina, ésta debe introducirse en la hoja interior en todo su</w:t>
      </w:r>
      <w:r>
        <w:rPr>
          <w:spacing w:val="-10"/>
          <w:sz w:val="20"/>
        </w:rPr>
        <w:t> </w:t>
      </w:r>
      <w:r>
        <w:rPr>
          <w:sz w:val="20"/>
        </w:rPr>
        <w:t>espesor.</w:t>
      </w:r>
    </w:p>
    <w:p>
      <w:pPr>
        <w:pStyle w:val="ListParagraph"/>
        <w:numPr>
          <w:ilvl w:val="0"/>
          <w:numId w:val="35"/>
        </w:numPr>
        <w:tabs>
          <w:tab w:pos="671" w:val="left" w:leader="none"/>
          <w:tab w:pos="672" w:val="left" w:leader="none"/>
        </w:tabs>
        <w:spacing w:line="240" w:lineRule="auto" w:before="121" w:after="0"/>
        <w:ind w:left="671" w:right="0" w:hanging="454"/>
        <w:jc w:val="left"/>
        <w:rPr>
          <w:sz w:val="20"/>
        </w:rPr>
      </w:pPr>
      <w:r>
        <w:rPr>
          <w:sz w:val="20"/>
        </w:rPr>
        <w:t>Para la evacuación debe disponerse uno de los sistemas</w:t>
      </w:r>
      <w:r>
        <w:rPr>
          <w:spacing w:val="-4"/>
          <w:sz w:val="20"/>
        </w:rPr>
        <w:t> </w:t>
      </w:r>
      <w:r>
        <w:rPr>
          <w:sz w:val="20"/>
        </w:rPr>
        <w:t>siguientes:</w:t>
      </w:r>
    </w:p>
    <w:p>
      <w:pPr>
        <w:pStyle w:val="ListParagraph"/>
        <w:numPr>
          <w:ilvl w:val="1"/>
          <w:numId w:val="35"/>
        </w:numPr>
        <w:tabs>
          <w:tab w:pos="1127" w:val="left" w:leader="none"/>
        </w:tabs>
        <w:spacing w:line="240" w:lineRule="auto" w:before="119" w:after="0"/>
        <w:ind w:left="1125" w:right="391" w:hanging="454"/>
        <w:jc w:val="both"/>
        <w:rPr>
          <w:sz w:val="20"/>
        </w:rPr>
      </w:pPr>
      <w:r>
        <w:rPr>
          <w:sz w:val="20"/>
        </w:rPr>
        <w:t>un conjunto de tubos de material estanco que conduzcan el agua al exterior, separados 1,5 m como máximo (Véase la figura</w:t>
      </w:r>
      <w:r>
        <w:rPr>
          <w:spacing w:val="-1"/>
          <w:sz w:val="20"/>
        </w:rPr>
        <w:t> </w:t>
      </w:r>
      <w:r>
        <w:rPr>
          <w:sz w:val="20"/>
        </w:rPr>
        <w:t>2.10);</w:t>
      </w:r>
    </w:p>
    <w:p>
      <w:pPr>
        <w:pStyle w:val="ListParagraph"/>
        <w:numPr>
          <w:ilvl w:val="1"/>
          <w:numId w:val="35"/>
        </w:numPr>
        <w:tabs>
          <w:tab w:pos="1126" w:val="left" w:leader="none"/>
        </w:tabs>
        <w:spacing w:line="240" w:lineRule="auto" w:before="121" w:after="0"/>
        <w:ind w:left="1125" w:right="392" w:hanging="454"/>
        <w:jc w:val="both"/>
        <w:rPr>
          <w:sz w:val="20"/>
        </w:rPr>
      </w:pPr>
      <w:r>
        <w:rPr/>
        <w:pict>
          <v:group style="position:absolute;margin-left:113.359001pt;margin-top:45.227863pt;width:398.3pt;height:151.2pt;mso-position-horizontal-relative:page;mso-position-vertical-relative:paragraph;z-index:-251599872;mso-wrap-distance-left:0;mso-wrap-distance-right:0" coordorigin="2267,905" coordsize="7966,3024">
            <v:line style="position:absolute" from="5055,3924" to="4993,3924" stroked="true" strokeweight=".3pt" strokecolor="#000000">
              <v:stroke dashstyle="solid"/>
            </v:line>
            <v:line style="position:absolute" from="4929,3924" to="4929,3924" stroked="true" strokeweight=".3pt" strokecolor="#000000">
              <v:stroke dashstyle="solid"/>
            </v:line>
            <v:line style="position:absolute" from="3671,3924" to="3671,3924" stroked="true" strokeweight=".3pt" strokecolor="#000000">
              <v:stroke dashstyle="solid"/>
            </v:line>
            <v:shape style="position:absolute;left:3544;top:3924;width:63;height:2" coordorigin="3545,3924" coordsize="63,0" path="m3607,3924l3545,3924,3545,3924e" filled="false" stroked="true" strokeweight=".3pt" strokecolor="#000000">
              <v:path arrowok="t"/>
              <v:stroke dashstyle="solid"/>
            </v:shape>
            <v:shape style="position:absolute;left:2693;top:1323;width:609;height:231" type="#_x0000_t75" stroked="false">
              <v:imagedata r:id="rId42" o:title=""/>
            </v:shape>
            <v:shape style="position:absolute;left:2267;top:1165;width:7966;height:2764" type="#_x0000_t75" stroked="false">
              <v:imagedata r:id="rId43" o:title=""/>
            </v:shape>
            <v:shape style="position:absolute;left:3416;top:904;width:701;height:231" type="#_x0000_t75" stroked="false">
              <v:imagedata r:id="rId44" o:title=""/>
            </v:shape>
            <v:line style="position:absolute" from="9160,3924" to="9096,3924" stroked="true" strokeweight=".3pt" strokecolor="#000000">
              <v:stroke dashstyle="solid"/>
            </v:line>
            <v:line style="position:absolute" from="9034,3924" to="9034,3924" stroked="true" strokeweight=".3pt" strokecolor="#000000">
              <v:stroke dashstyle="solid"/>
            </v:line>
            <v:line style="position:absolute" from="7774,3924" to="7774,3924" stroked="true" strokeweight=".3pt" strokecolor="#000000">
              <v:stroke dashstyle="solid"/>
            </v:line>
            <v:shape style="position:absolute;left:7648;top:3924;width:63;height:2" coordorigin="7648,3924" coordsize="63,0" path="m7711,3924l7648,3924,7648,3924e" filled="false" stroked="true" strokeweight=".3pt" strokecolor="#000000">
              <v:path arrowok="t"/>
              <v:stroke dashstyle="solid"/>
            </v:shape>
            <w10:wrap type="topAndBottom"/>
          </v:group>
        </w:pict>
      </w:r>
      <w:r>
        <w:rPr>
          <w:sz w:val="20"/>
        </w:rPr>
        <w:t>un conjunto de </w:t>
      </w:r>
      <w:r>
        <w:rPr>
          <w:i/>
          <w:sz w:val="20"/>
        </w:rPr>
        <w:t>llagas </w:t>
      </w:r>
      <w:r>
        <w:rPr>
          <w:sz w:val="20"/>
        </w:rPr>
        <w:t>de la primera hilada desprovistas de mortero, separadas 1,5 m como máximo, a lo largo de las cuales se prolonga hasta el exterior el elemento de</w:t>
      </w:r>
      <w:r>
        <w:rPr>
          <w:spacing w:val="14"/>
          <w:sz w:val="20"/>
        </w:rPr>
        <w:t> </w:t>
      </w:r>
      <w:r>
        <w:rPr>
          <w:sz w:val="20"/>
        </w:rPr>
        <w:t>recogida dispuesto en el fondo de la</w:t>
      </w:r>
      <w:r>
        <w:rPr>
          <w:spacing w:val="-4"/>
          <w:sz w:val="20"/>
        </w:rPr>
        <w:t> </w:t>
      </w:r>
      <w:r>
        <w:rPr>
          <w:sz w:val="20"/>
        </w:rPr>
        <w:t>cámara.</w:t>
      </w:r>
    </w:p>
    <w:p>
      <w:pPr>
        <w:spacing w:line="201" w:lineRule="exact" w:before="0"/>
        <w:ind w:left="655" w:right="515" w:firstLine="0"/>
        <w:jc w:val="center"/>
        <w:rPr>
          <w:b/>
          <w:sz w:val="18"/>
        </w:rPr>
      </w:pPr>
      <w:r>
        <w:rPr>
          <w:b/>
          <w:sz w:val="18"/>
        </w:rPr>
        <w:t>Figura 2.10 Ejemplo de encuentro de la cámara con los forjados</w:t>
      </w:r>
    </w:p>
    <w:p>
      <w:pPr>
        <w:pStyle w:val="BodyText"/>
        <w:spacing w:before="3"/>
        <w:rPr>
          <w:b/>
          <w:sz w:val="23"/>
        </w:rPr>
      </w:pPr>
    </w:p>
    <w:p>
      <w:pPr>
        <w:spacing w:before="0"/>
        <w:ind w:left="1958" w:right="393" w:firstLine="0"/>
        <w:jc w:val="left"/>
        <w:rPr>
          <w:sz w:val="16"/>
        </w:rPr>
      </w:pPr>
      <w:r>
        <w:rPr/>
        <w:pict>
          <v:line style="position:absolute;mso-position-horizontal-relative:page;mso-position-vertical-relative:paragraph;z-index:251723776" from="152.520004pt,-2.875799pt" to="152.520004pt,21.544201pt" stroked="true" strokeweight=".48pt" strokecolor="#000000">
            <v:stroke dashstyle="solid"/>
            <w10:wrap type="none"/>
          </v:line>
        </w:pict>
      </w:r>
      <w:r>
        <w:rPr>
          <w:sz w:val="16"/>
        </w:rPr>
        <w:t>Se pretende limitar el riesgo de filtración del agua que pueda quedar retenida en el encuentro de la cámara de aire ventilada con forjados y dinteles.</w:t>
      </w:r>
    </w:p>
    <w:p>
      <w:pPr>
        <w:pStyle w:val="BodyText"/>
      </w:pPr>
    </w:p>
    <w:p>
      <w:pPr>
        <w:pStyle w:val="BodyText"/>
        <w:spacing w:before="11"/>
        <w:rPr>
          <w:sz w:val="24"/>
        </w:rPr>
      </w:pPr>
    </w:p>
    <w:p>
      <w:pPr>
        <w:pStyle w:val="Heading5"/>
        <w:numPr>
          <w:ilvl w:val="3"/>
          <w:numId w:val="14"/>
        </w:numPr>
        <w:tabs>
          <w:tab w:pos="928" w:val="left" w:leader="none"/>
        </w:tabs>
        <w:spacing w:line="240" w:lineRule="auto" w:before="94" w:after="0"/>
        <w:ind w:left="927" w:right="0" w:hanging="710"/>
        <w:jc w:val="left"/>
      </w:pPr>
      <w:r>
        <w:rPr/>
        <w:t>Encuentro de la fachada con la</w:t>
      </w:r>
      <w:r>
        <w:rPr>
          <w:spacing w:val="-5"/>
        </w:rPr>
        <w:t> </w:t>
      </w:r>
      <w:r>
        <w:rPr/>
        <w:t>carpintería</w:t>
      </w:r>
    </w:p>
    <w:p>
      <w:pPr>
        <w:pStyle w:val="ListParagraph"/>
        <w:numPr>
          <w:ilvl w:val="0"/>
          <w:numId w:val="36"/>
        </w:numPr>
        <w:tabs>
          <w:tab w:pos="671" w:val="left" w:leader="none"/>
          <w:tab w:pos="672" w:val="left" w:leader="none"/>
        </w:tabs>
        <w:spacing w:line="240" w:lineRule="auto" w:before="159" w:after="0"/>
        <w:ind w:left="671" w:right="393" w:hanging="454"/>
        <w:jc w:val="left"/>
        <w:rPr>
          <w:sz w:val="20"/>
        </w:rPr>
      </w:pPr>
      <w:r>
        <w:rPr>
          <w:sz w:val="20"/>
        </w:rPr>
        <w:t>Cuando el </w:t>
      </w:r>
      <w:r>
        <w:rPr>
          <w:i/>
          <w:sz w:val="20"/>
        </w:rPr>
        <w:t>grado de impermeabilidad </w:t>
      </w:r>
      <w:r>
        <w:rPr>
          <w:sz w:val="20"/>
        </w:rPr>
        <w:t>exigido sea igual a 5, si las carpinterías están retranqueadas respecto</w:t>
      </w:r>
      <w:r>
        <w:rPr>
          <w:spacing w:val="32"/>
          <w:sz w:val="20"/>
        </w:rPr>
        <w:t> </w:t>
      </w:r>
      <w:r>
        <w:rPr>
          <w:sz w:val="20"/>
        </w:rPr>
        <w:t>del</w:t>
      </w:r>
      <w:r>
        <w:rPr>
          <w:spacing w:val="32"/>
          <w:sz w:val="20"/>
        </w:rPr>
        <w:t> </w:t>
      </w:r>
      <w:r>
        <w:rPr>
          <w:sz w:val="20"/>
        </w:rPr>
        <w:t>paramento</w:t>
      </w:r>
      <w:r>
        <w:rPr>
          <w:spacing w:val="32"/>
          <w:sz w:val="20"/>
        </w:rPr>
        <w:t> </w:t>
      </w:r>
      <w:r>
        <w:rPr>
          <w:sz w:val="20"/>
        </w:rPr>
        <w:t>exterior</w:t>
      </w:r>
      <w:r>
        <w:rPr>
          <w:spacing w:val="32"/>
          <w:sz w:val="20"/>
        </w:rPr>
        <w:t> </w:t>
      </w:r>
      <w:r>
        <w:rPr>
          <w:sz w:val="20"/>
        </w:rPr>
        <w:t>de</w:t>
      </w:r>
      <w:r>
        <w:rPr>
          <w:spacing w:val="32"/>
          <w:sz w:val="20"/>
        </w:rPr>
        <w:t> </w:t>
      </w:r>
      <w:r>
        <w:rPr>
          <w:sz w:val="20"/>
        </w:rPr>
        <w:t>la</w:t>
      </w:r>
      <w:r>
        <w:rPr>
          <w:spacing w:val="31"/>
          <w:sz w:val="20"/>
        </w:rPr>
        <w:t> </w:t>
      </w:r>
      <w:r>
        <w:rPr>
          <w:sz w:val="20"/>
        </w:rPr>
        <w:t>fachada,</w:t>
      </w:r>
      <w:r>
        <w:rPr>
          <w:spacing w:val="33"/>
          <w:sz w:val="20"/>
        </w:rPr>
        <w:t> </w:t>
      </w:r>
      <w:r>
        <w:rPr>
          <w:sz w:val="20"/>
        </w:rPr>
        <w:t>debe</w:t>
      </w:r>
      <w:r>
        <w:rPr>
          <w:spacing w:val="32"/>
          <w:sz w:val="20"/>
        </w:rPr>
        <w:t> </w:t>
      </w:r>
      <w:r>
        <w:rPr>
          <w:sz w:val="20"/>
        </w:rPr>
        <w:t>disponerse</w:t>
      </w:r>
      <w:r>
        <w:rPr>
          <w:spacing w:val="32"/>
          <w:sz w:val="20"/>
        </w:rPr>
        <w:t> </w:t>
      </w:r>
      <w:r>
        <w:rPr>
          <w:sz w:val="20"/>
        </w:rPr>
        <w:t>precerco</w:t>
      </w:r>
      <w:r>
        <w:rPr>
          <w:spacing w:val="32"/>
          <w:sz w:val="20"/>
        </w:rPr>
        <w:t> </w:t>
      </w:r>
      <w:r>
        <w:rPr>
          <w:sz w:val="20"/>
        </w:rPr>
        <w:t>y</w:t>
      </w:r>
      <w:r>
        <w:rPr>
          <w:spacing w:val="32"/>
          <w:sz w:val="20"/>
        </w:rPr>
        <w:t> </w:t>
      </w:r>
      <w:r>
        <w:rPr>
          <w:sz w:val="20"/>
        </w:rPr>
        <w:t>debe</w:t>
      </w:r>
      <w:r>
        <w:rPr>
          <w:spacing w:val="32"/>
          <w:sz w:val="20"/>
        </w:rPr>
        <w:t> </w:t>
      </w:r>
      <w:r>
        <w:rPr>
          <w:sz w:val="20"/>
        </w:rPr>
        <w:t>colocarse</w:t>
      </w:r>
      <w:r>
        <w:rPr>
          <w:spacing w:val="32"/>
          <w:sz w:val="20"/>
        </w:rPr>
        <w:t> </w:t>
      </w:r>
      <w:r>
        <w:rPr>
          <w:sz w:val="20"/>
        </w:rPr>
        <w:t>una</w:t>
      </w:r>
    </w:p>
    <w:p>
      <w:pPr>
        <w:spacing w:after="0" w:line="240" w:lineRule="auto"/>
        <w:jc w:val="left"/>
        <w:rPr>
          <w:sz w:val="20"/>
        </w:rPr>
        <w:sectPr>
          <w:pgSz w:w="11910" w:h="16840"/>
          <w:pgMar w:header="724" w:footer="636" w:top="1320" w:bottom="840" w:left="1200" w:right="738"/>
        </w:sectPr>
      </w:pPr>
    </w:p>
    <w:p>
      <w:pPr>
        <w:pStyle w:val="BodyText"/>
        <w:spacing w:before="89"/>
        <w:ind w:left="672"/>
      </w:pPr>
      <w:r>
        <w:rPr/>
        <w:t>barrera impermeable en las jambas entre la </w:t>
      </w:r>
      <w:r>
        <w:rPr>
          <w:i/>
        </w:rPr>
        <w:t>hoja principal </w:t>
      </w:r>
      <w:r>
        <w:rPr/>
        <w:t>y el precerco, o en su caso el cerco, prolongada 10 cm hacia el interior del muro (Véase la figura 2.11).</w:t>
      </w:r>
    </w:p>
    <w:p>
      <w:pPr>
        <w:pStyle w:val="ListParagraph"/>
        <w:numPr>
          <w:ilvl w:val="0"/>
          <w:numId w:val="36"/>
        </w:numPr>
        <w:tabs>
          <w:tab w:pos="671" w:val="left" w:leader="none"/>
          <w:tab w:pos="672" w:val="left" w:leader="none"/>
        </w:tabs>
        <w:spacing w:line="240" w:lineRule="auto" w:before="120" w:after="0"/>
        <w:ind w:left="671" w:right="392" w:hanging="454"/>
        <w:jc w:val="left"/>
        <w:rPr>
          <w:sz w:val="20"/>
        </w:rPr>
      </w:pPr>
      <w:r>
        <w:rPr/>
        <w:pict>
          <v:group style="position:absolute;margin-left:226.964996pt;margin-top:35.220856pt;width:172.55pt;height:140.75pt;mso-position-horizontal-relative:page;mso-position-vertical-relative:paragraph;z-index:-251591680;mso-wrap-distance-left:0;mso-wrap-distance-right:0" coordorigin="4539,704" coordsize="3451,2815">
            <v:line style="position:absolute" from="5121,3003" to="5121,2927" stroked="true" strokeweight=".528pt" strokecolor="#000000">
              <v:stroke dashstyle="solid"/>
            </v:line>
            <v:line style="position:absolute" from="5121,2853" to="5121,2853" stroked="true" strokeweight=".528pt" strokecolor="#000000">
              <v:stroke dashstyle="solid"/>
            </v:line>
            <v:line style="position:absolute" from="5121,1356" to="5121,1356" stroked="true" strokeweight=".528pt" strokecolor="#000000">
              <v:stroke dashstyle="solid"/>
            </v:line>
            <v:line style="position:absolute" from="5116,1243" to="5126,1243" stroked="true" strokeweight="3.701pt" strokecolor="#000000">
              <v:stroke dashstyle="solid"/>
            </v:line>
            <v:shape style="position:absolute;left:4564;top:704;width:724;height:275" type="#_x0000_t75" stroked="false">
              <v:imagedata r:id="rId45" o:title=""/>
            </v:shape>
            <v:line style="position:absolute" from="7985,3003" to="7985,2927" stroked="true" strokeweight=".528pt" strokecolor="#000000">
              <v:stroke dashstyle="solid"/>
            </v:line>
            <v:line style="position:absolute" from="7985,2853" to="7985,2853" stroked="true" strokeweight=".528pt" strokecolor="#000000">
              <v:stroke dashstyle="solid"/>
            </v:line>
            <v:line style="position:absolute" from="7985,2553" to="7985,2553" stroked="true" strokeweight=".528pt" strokecolor="#000000">
              <v:stroke dashstyle="solid"/>
            </v:line>
            <v:line style="position:absolute" from="7985,2479" to="7985,2328" stroked="true" strokeweight=".528pt" strokecolor="#000000">
              <v:stroke dashstyle="solid"/>
            </v:line>
            <v:line style="position:absolute" from="7985,2252" to="7985,2252" stroked="true" strokeweight=".528pt" strokecolor="#000000">
              <v:stroke dashstyle="solid"/>
            </v:line>
            <v:line style="position:absolute" from="7985,1954" to="7985,1954" stroked="true" strokeweight=".528pt" strokecolor="#000000">
              <v:stroke dashstyle="solid"/>
            </v:line>
            <v:line style="position:absolute" from="7985,1878" to="7985,1730" stroked="true" strokeweight=".528pt" strokecolor="#000000">
              <v:stroke dashstyle="solid"/>
            </v:line>
            <v:line style="position:absolute" from="7985,1654" to="7985,1654" stroked="true" strokeweight=".528pt" strokecolor="#000000">
              <v:stroke dashstyle="solid"/>
            </v:line>
            <v:line style="position:absolute" from="7985,1356" to="7985,1356" stroked="true" strokeweight=".528pt" strokecolor="#000000">
              <v:stroke dashstyle="solid"/>
            </v:line>
            <v:line style="position:absolute" from="7979,1243" to="7990,1243" stroked="true" strokeweight="3.701pt" strokecolor="#000000">
              <v:stroke dashstyle="solid"/>
            </v:line>
            <v:shape style="position:absolute;left:4539;top:840;width:3451;height:2679" type="#_x0000_t75" stroked="false">
              <v:imagedata r:id="rId46" o:title=""/>
            </v:shape>
            <w10:wrap type="topAndBottom"/>
          </v:group>
        </w:pict>
      </w:r>
      <w:r>
        <w:rPr>
          <w:sz w:val="20"/>
        </w:rPr>
        <w:t>Debe sellarse la junta entre el cerco y el muro con un cordón que debe estar introducido en un llagueado practicado en el muro de forma que quede encajado entre dos bordes</w:t>
      </w:r>
      <w:r>
        <w:rPr>
          <w:spacing w:val="-19"/>
          <w:sz w:val="20"/>
        </w:rPr>
        <w:t> </w:t>
      </w:r>
      <w:r>
        <w:rPr>
          <w:sz w:val="20"/>
        </w:rPr>
        <w:t>paralelos.</w:t>
      </w:r>
    </w:p>
    <w:p>
      <w:pPr>
        <w:spacing w:before="53"/>
        <w:ind w:left="2245" w:right="0" w:firstLine="0"/>
        <w:jc w:val="both"/>
        <w:rPr>
          <w:b/>
          <w:sz w:val="18"/>
        </w:rPr>
      </w:pPr>
      <w:r>
        <w:rPr>
          <w:b/>
          <w:sz w:val="18"/>
        </w:rPr>
        <w:t>Figura 2.11 Ejemplo de encuentro de la fachada con la carpintería</w:t>
      </w:r>
    </w:p>
    <w:p>
      <w:pPr>
        <w:pStyle w:val="ListParagraph"/>
        <w:numPr>
          <w:ilvl w:val="0"/>
          <w:numId w:val="36"/>
        </w:numPr>
        <w:tabs>
          <w:tab w:pos="672" w:val="left" w:leader="none"/>
        </w:tabs>
        <w:spacing w:line="240" w:lineRule="auto" w:before="61" w:after="0"/>
        <w:ind w:left="672" w:right="391" w:hanging="454"/>
        <w:jc w:val="both"/>
        <w:rPr>
          <w:sz w:val="20"/>
        </w:rPr>
      </w:pPr>
      <w:r>
        <w:rPr>
          <w:sz w:val="20"/>
        </w:rPr>
        <w:t>Cuando la carpintería esté retranqueada respecto del paramento exterior de la fachada, debe rematarse el alféizar con un vierteaguas para evacuar hacia el exterior el agua de lluvia que llegue a él y evitar que alcance la parte de la fachada inmediatamente inferior al mismo y disponerse un goterón en el dintel para evitar que el agua de lluvia discurra por la parte inferior del dintel hacia la carpintería o adoptarse soluciones que produzcan los mismos</w:t>
      </w:r>
      <w:r>
        <w:rPr>
          <w:spacing w:val="-7"/>
          <w:sz w:val="20"/>
        </w:rPr>
        <w:t> </w:t>
      </w:r>
      <w:r>
        <w:rPr>
          <w:sz w:val="20"/>
        </w:rPr>
        <w:t>efectos.</w:t>
      </w:r>
    </w:p>
    <w:p>
      <w:pPr>
        <w:pStyle w:val="ListParagraph"/>
        <w:numPr>
          <w:ilvl w:val="0"/>
          <w:numId w:val="36"/>
        </w:numPr>
        <w:tabs>
          <w:tab w:pos="672" w:val="left" w:leader="none"/>
        </w:tabs>
        <w:spacing w:line="240" w:lineRule="auto" w:before="119" w:after="0"/>
        <w:ind w:left="672" w:right="391" w:hanging="454"/>
        <w:jc w:val="both"/>
        <w:rPr>
          <w:sz w:val="20"/>
        </w:rPr>
      </w:pPr>
      <w:r>
        <w:rPr>
          <w:sz w:val="20"/>
        </w:rPr>
        <w:t>El vierteaguas debe tener una pendiente hacia el exterior de 10º como mínimo, debe ser impermeable o disponerse sobre una barrera impermeable fijada al cerco o al muro que se prolongue por la parte trasera y por ambos lados del vierteaguas y que tenga una pendiente hacia  el exterior de 10º como mínimo. El vierteaguas debe disponer de un goterón en la cara inferior del saliente, separado del paramento exterior de la fachada al menos 2 cm, y su entrega lateral en la jamba debe ser de 2 cm como mínimo (Véase la figura</w:t>
      </w:r>
      <w:r>
        <w:rPr>
          <w:spacing w:val="-11"/>
          <w:sz w:val="20"/>
        </w:rPr>
        <w:t> </w:t>
      </w:r>
      <w:r>
        <w:rPr>
          <w:sz w:val="20"/>
        </w:rPr>
        <w:t>2.12).</w:t>
      </w:r>
    </w:p>
    <w:p>
      <w:pPr>
        <w:pStyle w:val="BodyText"/>
        <w:rPr>
          <w:sz w:val="22"/>
        </w:rPr>
      </w:pPr>
    </w:p>
    <w:p>
      <w:pPr>
        <w:pStyle w:val="BodyText"/>
        <w:spacing w:before="11"/>
        <w:rPr>
          <w:sz w:val="18"/>
        </w:rPr>
      </w:pPr>
    </w:p>
    <w:p>
      <w:pPr>
        <w:spacing w:before="0"/>
        <w:ind w:left="1958" w:right="0" w:firstLine="0"/>
        <w:jc w:val="left"/>
        <w:rPr>
          <w:sz w:val="16"/>
        </w:rPr>
      </w:pPr>
      <w:r>
        <w:rPr/>
        <w:pict>
          <v:line style="position:absolute;mso-position-horizontal-relative:page;mso-position-vertical-relative:paragraph;z-index:251729920" from="152.520004pt,-2.87579pt" to="152.520004pt,12.30421pt" stroked="true" strokeweight=".48pt" strokecolor="#000000">
            <v:stroke dashstyle="solid"/>
            <w10:wrap type="none"/>
          </v:line>
        </w:pict>
      </w:r>
      <w:r>
        <w:rPr>
          <w:sz w:val="16"/>
        </w:rPr>
        <w:t>Habitualmente el vierteaguas se fija con una capa de agarre dispuesta sobre la barrera impermeable.</w:t>
      </w:r>
    </w:p>
    <w:p>
      <w:pPr>
        <w:pStyle w:val="BodyText"/>
      </w:pPr>
    </w:p>
    <w:p>
      <w:pPr>
        <w:pStyle w:val="BodyText"/>
        <w:spacing w:before="10"/>
      </w:pPr>
    </w:p>
    <w:p>
      <w:pPr>
        <w:pStyle w:val="ListParagraph"/>
        <w:numPr>
          <w:ilvl w:val="0"/>
          <w:numId w:val="36"/>
        </w:numPr>
        <w:tabs>
          <w:tab w:pos="671" w:val="left" w:leader="none"/>
          <w:tab w:pos="672" w:val="left" w:leader="none"/>
        </w:tabs>
        <w:spacing w:line="240" w:lineRule="auto" w:before="0" w:after="0"/>
        <w:ind w:left="672" w:right="392" w:hanging="454"/>
        <w:jc w:val="left"/>
        <w:rPr>
          <w:sz w:val="20"/>
        </w:rPr>
      </w:pPr>
      <w:r>
        <w:rPr/>
        <w:pict>
          <v:group style="position:absolute;margin-left:213.288498pt;margin-top:27.107719pt;width:199.2pt;height:99.15pt;mso-position-horizontal-relative:page;mso-position-vertical-relative:paragraph;z-index:-251590656;mso-wrap-distance-left:0;mso-wrap-distance-right:0" coordorigin="4266,542" coordsize="3984,1983">
            <v:line style="position:absolute" from="5756,568" to="5866,568" stroked="true" strokeweight=".453pt" strokecolor="#000000">
              <v:stroke dashstyle="solid"/>
            </v:line>
            <v:line style="position:absolute" from="5953,568" to="5953,568" stroked="true" strokeweight=".453pt" strokecolor="#000000">
              <v:stroke dashstyle="solid"/>
            </v:line>
            <v:line style="position:absolute" from="6038,568" to="6209,568" stroked="true" strokeweight=".453pt" strokecolor="#000000">
              <v:stroke dashstyle="solid"/>
            </v:line>
            <v:line style="position:absolute" from="6295,568" to="6295,568" stroked="true" strokeweight=".453pt" strokecolor="#000000">
              <v:stroke dashstyle="solid"/>
            </v:line>
            <v:line style="position:absolute" from="6381,568" to="6551,568" stroked="true" strokeweight=".453pt" strokecolor="#000000">
              <v:stroke dashstyle="solid"/>
            </v:line>
            <v:line style="position:absolute" from="6636,568" to="6636,568" stroked="true" strokeweight=".453pt" strokecolor="#000000">
              <v:stroke dashstyle="solid"/>
            </v:line>
            <v:line style="position:absolute" from="6978,568" to="6978,568" stroked="true" strokeweight=".453pt" strokecolor="#000000">
              <v:stroke dashstyle="solid"/>
            </v:line>
            <v:shape style="position:absolute;left:7064;top:568;width:111;height:2" coordorigin="7065,568" coordsize="111,0" path="m7065,568l7175,568,7175,568e" filled="false" stroked="true" strokeweight=".453pt" strokecolor="#000000">
              <v:path arrowok="t"/>
              <v:stroke dashstyle="solid"/>
            </v:shape>
            <v:line style="position:absolute" from="5756,2520" to="5866,2520" stroked="true" strokeweight=".453pt" strokecolor="#000000">
              <v:stroke dashstyle="solid"/>
            </v:line>
            <v:shape style="position:absolute;left:4285;top:542;width:839;height:474" type="#_x0000_t75" stroked="false">
              <v:imagedata r:id="rId47" o:title=""/>
            </v:shape>
            <v:rect style="position:absolute;left:7461;top:2166;width:13;height:87" filled="false" stroked="true" strokeweight=".181pt" strokecolor="#000000">
              <v:stroke dashstyle="solid"/>
            </v:rect>
            <v:shape style="position:absolute;left:7494;top:2166;width:67;height:87" coordorigin="7494,2167" coordsize="67,87" path="m7505,2167l7494,2167,7494,2254,7505,2254,7505,2187,7518,2187,7505,2167xm7518,2187l7505,2187,7548,2254,7561,2254,7561,2234,7550,2234,7518,2187xm7561,2167l7550,2167,7550,2234,7561,2234,7561,2167xe" filled="true" fillcolor="#000000" stroked="false">
              <v:path arrowok="t"/>
              <v:fill type="solid"/>
            </v:shape>
            <v:shape style="position:absolute;left:7494;top:2166;width:67;height:87" coordorigin="7494,2167" coordsize="67,87" path="m7494,2254l7494,2167,7505,2167,7550,2234,7550,2167,7561,2167,7561,2254,7548,2254,7505,2187,7505,2254,7494,2254xe" filled="false" stroked="true" strokeweight=".181pt" strokecolor="#000000">
              <v:path arrowok="t"/>
              <v:stroke dashstyle="solid"/>
            </v:shape>
            <v:shape style="position:absolute;left:7573;top:2166;width:67;height:87" coordorigin="7574,2167" coordsize="67,87" path="m7614,2178l7601,2178,7601,2254,7614,2254,7614,2178xm7641,2167l7574,2167,7574,2178,7641,2178,7641,2167xe" filled="true" fillcolor="#000000" stroked="false">
              <v:path arrowok="t"/>
              <v:fill type="solid"/>
            </v:shape>
            <v:shape style="position:absolute;left:7573;top:2166;width:67;height:87" coordorigin="7574,2167" coordsize="67,87" path="m7601,2254l7601,2178,7574,2178,7574,2167,7641,2167,7641,2178,7614,2178,7614,2254,7601,2254xe" filled="false" stroked="true" strokeweight=".181pt" strokecolor="#000000">
              <v:path arrowok="t"/>
              <v:stroke dashstyle="solid"/>
            </v:shape>
            <v:shape style="position:absolute;left:4265;top:563;width:3984;height:1961" type="#_x0000_t75" stroked="false">
              <v:imagedata r:id="rId48" o:title=""/>
            </v:shape>
            <w10:wrap type="topAndBottom"/>
          </v:group>
        </w:pict>
      </w:r>
      <w:r>
        <w:rPr/>
        <w:drawing>
          <wp:anchor distT="0" distB="0" distL="0" distR="0" allowOverlap="1" layoutInCell="1" locked="0" behindDoc="0" simplePos="0" relativeHeight="67">
            <wp:simplePos x="0" y="0"/>
            <wp:positionH relativeFrom="page">
              <wp:posOffset>3760755</wp:posOffset>
            </wp:positionH>
            <wp:positionV relativeFrom="paragraph">
              <wp:posOffset>1696640</wp:posOffset>
            </wp:positionV>
            <wp:extent cx="338959" cy="72866"/>
            <wp:effectExtent l="0" t="0" r="0" b="0"/>
            <wp:wrapTopAndBottom/>
            <wp:docPr id="7" name="image41.png"/>
            <wp:cNvGraphicFramePr>
              <a:graphicFrameLocks noChangeAspect="1"/>
            </wp:cNvGraphicFramePr>
            <a:graphic>
              <a:graphicData uri="http://schemas.openxmlformats.org/drawingml/2006/picture">
                <pic:pic>
                  <pic:nvPicPr>
                    <pic:cNvPr id="8" name="image41.png"/>
                    <pic:cNvPicPr/>
                  </pic:nvPicPr>
                  <pic:blipFill>
                    <a:blip r:embed="rId49" cstate="print"/>
                    <a:stretch>
                      <a:fillRect/>
                    </a:stretch>
                  </pic:blipFill>
                  <pic:spPr>
                    <a:xfrm>
                      <a:off x="0" y="0"/>
                      <a:ext cx="338959" cy="72866"/>
                    </a:xfrm>
                    <a:prstGeom prst="rect">
                      <a:avLst/>
                    </a:prstGeom>
                  </pic:spPr>
                </pic:pic>
              </a:graphicData>
            </a:graphic>
          </wp:anchor>
        </w:drawing>
      </w:r>
      <w:r>
        <w:rPr>
          <w:sz w:val="20"/>
        </w:rPr>
        <w:t>La junta de las piezas con goterón deben tener la forma del mismo para no crear a través de ella un puente hacia la</w:t>
      </w:r>
      <w:r>
        <w:rPr>
          <w:spacing w:val="-1"/>
          <w:sz w:val="20"/>
        </w:rPr>
        <w:t> </w:t>
      </w:r>
      <w:r>
        <w:rPr>
          <w:sz w:val="20"/>
        </w:rPr>
        <w:t>fachada.</w:t>
      </w:r>
    </w:p>
    <w:p>
      <w:pPr>
        <w:pStyle w:val="BodyText"/>
        <w:spacing w:before="10"/>
        <w:rPr>
          <w:sz w:val="6"/>
        </w:rPr>
      </w:pPr>
    </w:p>
    <w:p>
      <w:pPr>
        <w:pStyle w:val="BodyText"/>
      </w:pPr>
    </w:p>
    <w:p>
      <w:pPr>
        <w:pStyle w:val="BodyText"/>
        <w:rPr>
          <w:sz w:val="14"/>
        </w:rPr>
      </w:pPr>
      <w:r>
        <w:rPr/>
        <w:pict>
          <v:group style="position:absolute;margin-left:277.110992pt;margin-top:10.052477pt;width:134.1pt;height:67.75pt;mso-position-horizontal-relative:page;mso-position-vertical-relative:paragraph;z-index:-251588608;mso-wrap-distance-left:0;mso-wrap-distance-right:0" coordorigin="5542,201" coordsize="2682,1355">
            <v:shape style="position:absolute;left:7064;top:205;width:111;height:2" coordorigin="7065,206" coordsize="111,0" path="m7065,206l7175,206,7175,206e" filled="false" stroked="true" strokeweight=".453pt" strokecolor="#000000">
              <v:path arrowok="t"/>
              <v:stroke dashstyle="solid"/>
            </v:shape>
            <v:shape style="position:absolute;left:5542;top:201;width:2682;height:1355" type="#_x0000_t75" stroked="false">
              <v:imagedata r:id="rId50" o:title=""/>
            </v:shape>
            <w10:wrap type="topAndBottom"/>
          </v:group>
        </w:pict>
      </w:r>
      <w:r>
        <w:rPr/>
        <w:pict>
          <v:group style="position:absolute;margin-left:296.303497pt;margin-top:86.313477pt;width:23pt;height:4.55pt;mso-position-horizontal-relative:page;mso-position-vertical-relative:paragraph;z-index:-251587584;mso-wrap-distance-left:0;mso-wrap-distance-right:0" coordorigin="5926,1726" coordsize="460,91">
            <v:shape style="position:absolute;left:5965;top:1738;width:30;height:31" coordorigin="5966,1739" coordsize="30,31" path="m5989,1739l5971,1739,5973,1741,5977,1743,5980,1746,5980,1750,5982,1753,5982,1757,5977,1765,5975,1767,5972,1768,5966,1770,5988,1770,5994,1764,5995,1753,5991,1746,5991,1743,5989,1739xe" filled="true" fillcolor="#000000" stroked="false">
              <v:path arrowok="t"/>
              <v:fill type="solid"/>
            </v:shape>
            <v:shape style="position:absolute;left:5938;top:1738;width:57;height:31" coordorigin="5939,1739" coordsize="57,31" path="m5989,1739l5960,1739,5971,1739,5973,1741,5977,1743,5980,1746,5980,1750,5982,1753,5982,1757,5977,1765,5975,1767,5972,1768,5966,1770,5939,1770,5988,1770,5994,1764,5995,1753,5991,1746,5991,1743,5989,1739xe" filled="false" stroked="true" strokeweight=".181pt" strokecolor="#000000">
              <v:path arrowok="t"/>
              <v:stroke dashstyle="solid"/>
            </v:shape>
            <v:shape style="position:absolute;left:5927;top:1728;width:62;height:87" coordorigin="5928,1728" coordsize="62,87" path="m5960,1728l5928,1728,5928,1815,5939,1815,5939,1781,5960,1781,5968,1775,5983,1775,5986,1772,5988,1770,5939,1770,5939,1739,5989,1739,5986,1735,5980,1730,5979,1730,5964,1730,5960,1728xm5983,1775l5968,1775,5974,1785,5983,1775xm5977,1729l5970,1730,5979,1730,5977,1729xe" filled="true" fillcolor="#000000" stroked="false">
              <v:path arrowok="t"/>
              <v:fill type="solid"/>
            </v:shape>
            <v:shape style="position:absolute;left:5927;top:1728;width:62;height:87" coordorigin="5928,1728" coordsize="62,87" path="m5960,1728l5928,1728,5928,1815,5939,1815,5939,1781,5960,1781,5968,1775,5974,1785,5986,1772,5988,1770,5939,1770,5939,1739,5989,1739,5986,1735,5980,1730,5977,1729,5970,1730,5964,1730,5960,1728xe" filled="false" stroked="true" strokeweight=".181pt" strokecolor="#000000">
              <v:path arrowok="t"/>
              <v:stroke dashstyle="solid"/>
            </v:shape>
            <v:shape style="position:absolute;left:6007;top:1728;width:53;height:87" coordorigin="6008,1728" coordsize="53,87" path="m6018,1728l6008,1728,6008,1815,6060,1815,6060,1804,6018,1804,6018,1728xe" filled="true" fillcolor="#000000" stroked="false">
              <v:path arrowok="t"/>
              <v:fill type="solid"/>
            </v:shape>
            <v:shape style="position:absolute;left:6007;top:1728;width:53;height:87" coordorigin="6008,1728" coordsize="53,87" path="m6008,1815l6008,1728,6018,1728,6018,1804,6060,1804,6060,1815,6008,1815xe" filled="false" stroked="true" strokeweight=".181pt" strokecolor="#000000">
              <v:path arrowok="t"/>
              <v:stroke dashstyle="solid"/>
            </v:shape>
            <v:shape style="position:absolute;left:6065;top:1728;width:57;height:87" coordorigin="6065,1728" coordsize="57,87" path="m6109,1728l6098,1728,6065,1815,6076,1815,6085,1788,6122,1788,6089,1779,6098,1753,6100,1752,6100,1748,6103,1741,6103,1737,6109,1728xe" filled="true" fillcolor="#000000" stroked="false">
              <v:path arrowok="t"/>
              <v:fill type="solid"/>
            </v:shape>
            <v:shape style="position:absolute;left:6065;top:1728;width:57;height:87" coordorigin="6065,1728" coordsize="57,87" path="m6109,1728l6098,1728,6065,1815,6076,1815,6085,1788,6122,1788,6089,1779,6098,1753,6100,1752,6100,1748,6102,1744,6103,1741,6103,1737,6109,1728xe" filled="false" stroked="true" strokeweight=".181pt" strokecolor="#000000">
              <v:path arrowok="t"/>
              <v:stroke dashstyle="solid"/>
            </v:shape>
            <v:shape style="position:absolute;left:6089;top:1728;width:57;height:87" coordorigin="6089,1728" coordsize="57,87" path="m6109,1728l6103,1737,6103,1741,6107,1748,6107,1752,6109,1755,6118,1779,6089,1779,6122,1788,6132,1815,6145,1815,6109,1728xe" filled="true" fillcolor="#000000" stroked="false">
              <v:path arrowok="t"/>
              <v:fill type="solid"/>
            </v:shape>
            <v:shape style="position:absolute;left:6089;top:1728;width:57;height:87" coordorigin="6089,1728" coordsize="57,87" path="m6109,1728l6103,1737,6103,1741,6107,1748,6107,1752,6109,1755,6118,1779,6089,1779,6122,1788,6132,1815,6145,1815,6109,1728xe" filled="false" stroked="true" strokeweight=".181pt" strokecolor="#000000">
              <v:path arrowok="t"/>
              <v:stroke dashstyle="solid"/>
            </v:shape>
            <v:shape style="position:absolute;left:6154;top:1728;width:67;height:87" coordorigin="6154,1728" coordsize="67,87" path="m6165,1728l6154,1728,6154,1815,6165,1815,6165,1748,6178,1748,6165,1728xm6178,1748l6165,1748,6210,1815,6221,1815,6221,1797,6210,1797,6178,1748xm6221,1728l6210,1728,6210,1797,6221,1797,6221,1728xe" filled="true" fillcolor="#000000" stroked="false">
              <v:path arrowok="t"/>
              <v:fill type="solid"/>
            </v:shape>
            <v:shape style="position:absolute;left:6154;top:1728;width:67;height:87" coordorigin="6154,1728" coordsize="67,87" path="m6154,1815l6154,1728,6165,1728,6210,1797,6210,1728,6221,1728,6221,1815,6210,1815,6165,1748,6165,1815,6154,1815xe" filled="false" stroked="true" strokeweight=".181pt" strokecolor="#000000">
              <v:path arrowok="t"/>
              <v:stroke dashstyle="solid"/>
            </v:shape>
            <v:shape style="position:absolute;left:6233;top:1728;width:67;height:87" coordorigin="6234,1728" coordsize="67,87" path="m6274,1739l6261,1739,6261,1815,6274,1815,6274,1739xm6301,1728l6234,1728,6234,1739,6301,1739,6301,1728xe" filled="true" fillcolor="#000000" stroked="false">
              <v:path arrowok="t"/>
              <v:fill type="solid"/>
            </v:shape>
            <v:shape style="position:absolute;left:6233;top:1728;width:67;height:87" coordorigin="6234,1728" coordsize="67,87" path="m6261,1815l6261,1739,6234,1739,6234,1728,6301,1728,6301,1739,6274,1739,6274,1815,6261,1815xe" filled="false" stroked="true" strokeweight=".181pt" strokecolor="#000000">
              <v:path arrowok="t"/>
              <v:stroke dashstyle="solid"/>
            </v:shape>
            <v:shape style="position:absolute;left:6304;top:1728;width:57;height:87" coordorigin="6304,1728" coordsize="57,87" path="m6348,1728l6337,1728,6304,1815,6315,1815,6324,1788,6361,1788,6328,1779,6337,1753,6339,1752,6339,1748,6341,1744,6341,1741,6342,1737,6348,1728xe" filled="true" fillcolor="#000000" stroked="false">
              <v:path arrowok="t"/>
              <v:fill type="solid"/>
            </v:shape>
            <v:shape style="position:absolute;left:6304;top:1728;width:57;height:87" coordorigin="6304,1728" coordsize="57,87" path="m6348,1728l6337,1728,6304,1815,6315,1815,6324,1788,6361,1788,6328,1779,6337,1753,6339,1752,6339,1748,6341,1744,6341,1741,6342,1737,6348,1728xe" filled="false" stroked="true" strokeweight=".181pt" strokecolor="#000000">
              <v:path arrowok="t"/>
              <v:stroke dashstyle="solid"/>
            </v:shape>
            <v:shape style="position:absolute;left:6328;top:1728;width:57;height:87" coordorigin="6328,1728" coordsize="57,87" path="m6348,1728l6342,1737,6342,1741,6346,1748,6346,1752,6348,1755,6357,1779,6328,1779,6361,1788,6371,1815,6384,1815,6348,1728xe" filled="true" fillcolor="#000000" stroked="false">
              <v:path arrowok="t"/>
              <v:fill type="solid"/>
            </v:shape>
            <v:shape style="position:absolute;left:6328;top:1728;width:57;height:87" coordorigin="6328,1728" coordsize="57,87" path="m6348,1728l6342,1737,6342,1741,6344,1744,6346,1748,6346,1752,6348,1755,6357,1779,6328,1779,6361,1788,6371,1815,6384,1815,6348,1728xe" filled="false" stroked="true" strokeweight=".181pt" strokecolor="#000000">
              <v:path arrowok="t"/>
              <v:stroke dashstyle="solid"/>
            </v:shape>
            <w10:wrap type="topAndBottom"/>
          </v:group>
        </w:pict>
      </w:r>
    </w:p>
    <w:p>
      <w:pPr>
        <w:pStyle w:val="BodyText"/>
        <w:spacing w:before="10"/>
        <w:rPr>
          <w:sz w:val="8"/>
        </w:rPr>
      </w:pPr>
    </w:p>
    <w:p>
      <w:pPr>
        <w:spacing w:before="34"/>
        <w:ind w:left="655" w:right="519" w:firstLine="0"/>
        <w:jc w:val="center"/>
        <w:rPr>
          <w:b/>
          <w:sz w:val="18"/>
        </w:rPr>
      </w:pPr>
      <w:r>
        <w:rPr>
          <w:b/>
          <w:sz w:val="18"/>
        </w:rPr>
        <w:t>Figura 2.2 Ejemplo de vierteaguas</w:t>
      </w:r>
    </w:p>
    <w:p>
      <w:pPr>
        <w:spacing w:after="0"/>
        <w:jc w:val="center"/>
        <w:rPr>
          <w:sz w:val="18"/>
        </w:rPr>
        <w:sectPr>
          <w:pgSz w:w="11910" w:h="16840"/>
          <w:pgMar w:header="724" w:footer="636" w:top="1320" w:bottom="840" w:left="1200" w:right="738"/>
        </w:sectPr>
      </w:pPr>
    </w:p>
    <w:p>
      <w:pPr>
        <w:spacing w:before="150"/>
        <w:ind w:left="1958" w:right="393" w:firstLine="0"/>
        <w:jc w:val="both"/>
        <w:rPr>
          <w:sz w:val="16"/>
        </w:rPr>
      </w:pPr>
      <w:r>
        <w:rPr/>
        <w:pict>
          <v:line style="position:absolute;mso-position-horizontal-relative:page;mso-position-vertical-relative:paragraph;z-index:251730944" from="152.520004pt,4.624224pt" to="152.520004pt,38.224224pt" stroked="true" strokeweight=".48pt" strokecolor="#000000">
            <v:stroke dashstyle="solid"/>
            <w10:wrap type="none"/>
          </v:line>
        </w:pict>
      </w:r>
      <w:r>
        <w:rPr>
          <w:sz w:val="16"/>
        </w:rPr>
        <w:t>Se pretende limitar el riesgo de filtración de agua por la existencia de una discontinuidad en el perímetro del encuentro, por escorrentía en las partes horizontales del encuentro o por agua directa sobre la parte horizontal inferior de este</w:t>
      </w:r>
      <w:r>
        <w:rPr>
          <w:spacing w:val="-1"/>
          <w:sz w:val="16"/>
        </w:rPr>
        <w:t> </w:t>
      </w:r>
      <w:r>
        <w:rPr>
          <w:sz w:val="16"/>
        </w:rPr>
        <w:t>encuentro.</w:t>
      </w:r>
    </w:p>
    <w:p>
      <w:pPr>
        <w:pStyle w:val="BodyText"/>
      </w:pPr>
    </w:p>
    <w:p>
      <w:pPr>
        <w:pStyle w:val="BodyText"/>
        <w:spacing w:before="7"/>
        <w:rPr>
          <w:sz w:val="22"/>
        </w:rPr>
      </w:pPr>
    </w:p>
    <w:p>
      <w:pPr>
        <w:pStyle w:val="Heading5"/>
        <w:numPr>
          <w:ilvl w:val="3"/>
          <w:numId w:val="14"/>
        </w:numPr>
        <w:tabs>
          <w:tab w:pos="929" w:val="left" w:leader="none"/>
        </w:tabs>
        <w:spacing w:line="240" w:lineRule="auto" w:before="0" w:after="0"/>
        <w:ind w:left="928" w:right="0" w:hanging="711"/>
        <w:jc w:val="left"/>
      </w:pPr>
      <w:r>
        <w:rPr/>
        <w:t>Antepechos y remates superiores de las</w:t>
      </w:r>
      <w:r>
        <w:rPr>
          <w:spacing w:val="-7"/>
        </w:rPr>
        <w:t> </w:t>
      </w:r>
      <w:r>
        <w:rPr/>
        <w:t>fachadas</w:t>
      </w:r>
    </w:p>
    <w:p>
      <w:pPr>
        <w:pStyle w:val="ListParagraph"/>
        <w:numPr>
          <w:ilvl w:val="0"/>
          <w:numId w:val="37"/>
        </w:numPr>
        <w:tabs>
          <w:tab w:pos="672" w:val="left" w:leader="none"/>
        </w:tabs>
        <w:spacing w:line="240" w:lineRule="auto" w:before="159" w:after="0"/>
        <w:ind w:left="671" w:right="393" w:hanging="454"/>
        <w:jc w:val="both"/>
        <w:rPr>
          <w:sz w:val="20"/>
        </w:rPr>
      </w:pPr>
      <w:r>
        <w:rPr>
          <w:sz w:val="20"/>
        </w:rPr>
        <w:t>Los antepechos deben rematarse con albardillas para evacuar el agua de lluvia que llegue a su parte superior y evitar que alcance la parte de la fachada inmediatamente inferior al mismo o debe adoptarse otra solución que produzca el mismo</w:t>
      </w:r>
      <w:r>
        <w:rPr>
          <w:spacing w:val="-6"/>
          <w:sz w:val="20"/>
        </w:rPr>
        <w:t> </w:t>
      </w:r>
      <w:r>
        <w:rPr>
          <w:sz w:val="20"/>
        </w:rPr>
        <w:t>efecto.</w:t>
      </w:r>
    </w:p>
    <w:p>
      <w:pPr>
        <w:pStyle w:val="ListParagraph"/>
        <w:numPr>
          <w:ilvl w:val="0"/>
          <w:numId w:val="37"/>
        </w:numPr>
        <w:tabs>
          <w:tab w:pos="672" w:val="left" w:leader="none"/>
        </w:tabs>
        <w:spacing w:line="240" w:lineRule="auto" w:before="120" w:after="0"/>
        <w:ind w:left="671" w:right="391" w:hanging="454"/>
        <w:jc w:val="both"/>
        <w:rPr>
          <w:sz w:val="20"/>
        </w:rPr>
      </w:pPr>
      <w:r>
        <w:rPr>
          <w:sz w:val="20"/>
        </w:rPr>
        <w:t>Las albardillas deben tener una inclinación de 10ºcomo mínimo, deben disponer de goterones en la cara inferior de los salientes hacia los que discurre el agua, separados de los paramentos correspondientes del antepecho al menos 2 cm y deben ser impermeables o deben disponerse sobre una barrera impermeable que tenga una pendiente hacia el exterior de 10ºcomo mínimo. Deben disponerse juntas de dilatación cada dos piezas cuando sean de piedra o prefabricadas y cada 2 m cuando sean cerámicas. Las juntas entre las albardillas deben realizarse de tal manera que sean impermeables con un sellado</w:t>
      </w:r>
      <w:r>
        <w:rPr>
          <w:spacing w:val="-4"/>
          <w:sz w:val="20"/>
        </w:rPr>
        <w:t> </w:t>
      </w:r>
      <w:r>
        <w:rPr>
          <w:sz w:val="20"/>
        </w:rPr>
        <w:t>adecuado.</w:t>
      </w:r>
    </w:p>
    <w:p>
      <w:pPr>
        <w:pStyle w:val="BodyText"/>
        <w:rPr>
          <w:sz w:val="22"/>
        </w:rPr>
      </w:pPr>
    </w:p>
    <w:p>
      <w:pPr>
        <w:pStyle w:val="BodyText"/>
        <w:spacing w:before="10"/>
        <w:rPr>
          <w:sz w:val="18"/>
        </w:rPr>
      </w:pPr>
    </w:p>
    <w:p>
      <w:pPr>
        <w:spacing w:before="0"/>
        <w:ind w:left="1958" w:right="0" w:firstLine="0"/>
        <w:jc w:val="left"/>
        <w:rPr>
          <w:sz w:val="16"/>
        </w:rPr>
      </w:pPr>
      <w:r>
        <w:rPr/>
        <w:pict>
          <v:line style="position:absolute;mso-position-horizontal-relative:page;mso-position-vertical-relative:paragraph;z-index:251731968" from="152.520004pt,-2.875774pt" to="152.520004pt,21.544226pt" stroked="true" strokeweight=".48pt" strokecolor="#000000">
            <v:stroke dashstyle="solid"/>
            <w10:wrap type="none"/>
          </v:line>
        </w:pict>
      </w:r>
      <w:r>
        <w:rPr>
          <w:sz w:val="16"/>
        </w:rPr>
        <w:t>Se pretende limitar el riesgo de filtración por agua directa sobre antepechos y remates superiores y por la escorrentía que se produce en estos.</w:t>
      </w:r>
    </w:p>
    <w:p>
      <w:pPr>
        <w:pStyle w:val="BodyText"/>
      </w:pPr>
    </w:p>
    <w:p>
      <w:pPr>
        <w:pStyle w:val="BodyText"/>
      </w:pPr>
    </w:p>
    <w:p>
      <w:pPr>
        <w:pStyle w:val="BodyText"/>
        <w:spacing w:before="7"/>
      </w:pPr>
    </w:p>
    <w:p>
      <w:pPr>
        <w:pStyle w:val="Heading5"/>
        <w:numPr>
          <w:ilvl w:val="3"/>
          <w:numId w:val="14"/>
        </w:numPr>
        <w:tabs>
          <w:tab w:pos="928" w:val="left" w:leader="none"/>
        </w:tabs>
        <w:spacing w:line="240" w:lineRule="auto" w:before="94" w:after="0"/>
        <w:ind w:left="927" w:right="0" w:hanging="710"/>
        <w:jc w:val="left"/>
      </w:pPr>
      <w:r>
        <w:rPr/>
        <w:t>Anclajes a la</w:t>
      </w:r>
      <w:r>
        <w:rPr>
          <w:spacing w:val="-4"/>
        </w:rPr>
        <w:t> </w:t>
      </w:r>
      <w:r>
        <w:rPr/>
        <w:t>fachada</w:t>
      </w:r>
    </w:p>
    <w:p>
      <w:pPr>
        <w:pStyle w:val="BodyText"/>
        <w:spacing w:before="159"/>
        <w:ind w:left="671" w:right="392" w:hanging="454"/>
        <w:jc w:val="both"/>
      </w:pPr>
      <w:r>
        <w:rPr/>
        <w:t>1  Cuando los anclajes de elementos tales como barandillas o mástiles se realicen en un plano  horizontal de la fachada, la junta entre el anclaje y la fachada debe realizarse de tal forma que se impida la entrada de agua a través de ella mediante el sellado, un elemento de goma, una pieza metálica u otro elemento que produzca el mismo</w:t>
      </w:r>
      <w:r>
        <w:rPr>
          <w:spacing w:val="-12"/>
        </w:rPr>
        <w:t> </w:t>
      </w:r>
      <w:r>
        <w:rPr/>
        <w:t>efecto.</w:t>
      </w:r>
    </w:p>
    <w:p>
      <w:pPr>
        <w:pStyle w:val="BodyText"/>
        <w:rPr>
          <w:sz w:val="22"/>
        </w:rPr>
      </w:pPr>
    </w:p>
    <w:p>
      <w:pPr>
        <w:pStyle w:val="BodyText"/>
        <w:spacing w:before="10"/>
        <w:rPr>
          <w:sz w:val="18"/>
        </w:rPr>
      </w:pPr>
    </w:p>
    <w:p>
      <w:pPr>
        <w:spacing w:before="0"/>
        <w:ind w:left="1958" w:right="0" w:firstLine="0"/>
        <w:jc w:val="left"/>
        <w:rPr>
          <w:sz w:val="16"/>
        </w:rPr>
      </w:pPr>
      <w:r>
        <w:rPr/>
        <w:pict>
          <v:line style="position:absolute;mso-position-horizontal-relative:page;mso-position-vertical-relative:paragraph;z-index:251732992" from="152.520004pt,-2.875779pt" to="152.520004pt,12.364221pt" stroked="true" strokeweight=".48pt" strokecolor="#000000">
            <v:stroke dashstyle="solid"/>
            <w10:wrap type="none"/>
          </v:line>
        </w:pict>
      </w:r>
      <w:r>
        <w:rPr>
          <w:sz w:val="16"/>
        </w:rPr>
        <w:t>Se pretende limitar el riesgo de filtración de agua en el encuentro del anclaje con la fachada.</w:t>
      </w:r>
    </w:p>
    <w:p>
      <w:pPr>
        <w:pStyle w:val="BodyText"/>
      </w:pPr>
    </w:p>
    <w:p>
      <w:pPr>
        <w:pStyle w:val="BodyText"/>
        <w:rPr>
          <w:sz w:val="25"/>
        </w:rPr>
      </w:pPr>
    </w:p>
    <w:p>
      <w:pPr>
        <w:pStyle w:val="Heading5"/>
        <w:numPr>
          <w:ilvl w:val="3"/>
          <w:numId w:val="14"/>
        </w:numPr>
        <w:tabs>
          <w:tab w:pos="929" w:val="left" w:leader="none"/>
        </w:tabs>
        <w:spacing w:line="240" w:lineRule="auto" w:before="94" w:after="0"/>
        <w:ind w:left="928" w:right="0" w:hanging="711"/>
        <w:jc w:val="left"/>
      </w:pPr>
      <w:r>
        <w:rPr/>
        <w:t>Aleros y</w:t>
      </w:r>
      <w:r>
        <w:rPr>
          <w:spacing w:val="-5"/>
        </w:rPr>
        <w:t> </w:t>
      </w:r>
      <w:r>
        <w:rPr/>
        <w:t>cornisas</w:t>
      </w:r>
    </w:p>
    <w:p>
      <w:pPr>
        <w:pStyle w:val="ListParagraph"/>
        <w:numPr>
          <w:ilvl w:val="0"/>
          <w:numId w:val="38"/>
        </w:numPr>
        <w:tabs>
          <w:tab w:pos="672" w:val="left" w:leader="none"/>
        </w:tabs>
        <w:spacing w:line="240" w:lineRule="auto" w:before="159" w:after="0"/>
        <w:ind w:left="672" w:right="393" w:hanging="454"/>
        <w:jc w:val="both"/>
        <w:rPr>
          <w:sz w:val="20"/>
        </w:rPr>
      </w:pPr>
      <w:r>
        <w:rPr>
          <w:sz w:val="20"/>
        </w:rPr>
        <w:t>Los aleros y las cornisas de constitución continua deben tener una pendiente hacia el exterior para evacuar el agua de 10ºcomo mínimo y los que sobresalgan más de 20 cm del plano de la fachada deben</w:t>
      </w:r>
    </w:p>
    <w:p>
      <w:pPr>
        <w:pStyle w:val="ListParagraph"/>
        <w:numPr>
          <w:ilvl w:val="1"/>
          <w:numId w:val="38"/>
        </w:numPr>
        <w:tabs>
          <w:tab w:pos="1127" w:val="left" w:leader="none"/>
        </w:tabs>
        <w:spacing w:line="240" w:lineRule="auto" w:before="120" w:after="0"/>
        <w:ind w:left="1125" w:right="392" w:hanging="454"/>
        <w:jc w:val="both"/>
        <w:rPr>
          <w:sz w:val="20"/>
        </w:rPr>
      </w:pPr>
      <w:r>
        <w:rPr>
          <w:sz w:val="20"/>
        </w:rPr>
        <w:t>ser impermeables o tener la cara superior protegida por una barrera impermeable, para evitar que el agua se filtre a través de</w:t>
      </w:r>
      <w:r>
        <w:rPr>
          <w:spacing w:val="-6"/>
          <w:sz w:val="20"/>
        </w:rPr>
        <w:t> </w:t>
      </w:r>
      <w:r>
        <w:rPr>
          <w:sz w:val="20"/>
        </w:rPr>
        <w:t>ellos;</w:t>
      </w:r>
    </w:p>
    <w:p>
      <w:pPr>
        <w:pStyle w:val="ListParagraph"/>
        <w:numPr>
          <w:ilvl w:val="1"/>
          <w:numId w:val="38"/>
        </w:numPr>
        <w:tabs>
          <w:tab w:pos="1127" w:val="left" w:leader="none"/>
        </w:tabs>
        <w:spacing w:line="240" w:lineRule="auto" w:before="120" w:after="0"/>
        <w:ind w:left="1125" w:right="392" w:hanging="454"/>
        <w:jc w:val="both"/>
        <w:rPr>
          <w:sz w:val="20"/>
        </w:rPr>
      </w:pPr>
      <w:r>
        <w:rPr>
          <w:sz w:val="20"/>
        </w:rPr>
        <w:t>disponer en el encuentro con el paramento vertical de elementos de protección prefabricados o realizados in situ que se extiendan hacia arriba al menos 15 cm y cuyo remate superior se resuelva de forma similar a la descrita en el apartado 2.4.4.1.2, para evitar que el agua se filtre en el encuentro y en el</w:t>
      </w:r>
      <w:r>
        <w:rPr>
          <w:spacing w:val="-7"/>
          <w:sz w:val="20"/>
        </w:rPr>
        <w:t> </w:t>
      </w:r>
      <w:r>
        <w:rPr>
          <w:sz w:val="20"/>
        </w:rPr>
        <w:t>remate;</w:t>
      </w:r>
    </w:p>
    <w:p>
      <w:pPr>
        <w:pStyle w:val="ListParagraph"/>
        <w:numPr>
          <w:ilvl w:val="1"/>
          <w:numId w:val="38"/>
        </w:numPr>
        <w:tabs>
          <w:tab w:pos="1126" w:val="left" w:leader="none"/>
        </w:tabs>
        <w:spacing w:line="240" w:lineRule="auto" w:before="120" w:after="0"/>
        <w:ind w:left="1125" w:right="391" w:hanging="454"/>
        <w:jc w:val="both"/>
        <w:rPr>
          <w:sz w:val="20"/>
        </w:rPr>
      </w:pPr>
      <w:r>
        <w:rPr>
          <w:sz w:val="20"/>
        </w:rPr>
        <w:t>disponer de un goterón en el borde exterior de la cara inferior para evitar que el agua de lluvia evacuada alcance la fachada por la parte inmediatamente inferior al</w:t>
      </w:r>
      <w:r>
        <w:rPr>
          <w:spacing w:val="-12"/>
          <w:sz w:val="20"/>
        </w:rPr>
        <w:t> </w:t>
      </w:r>
      <w:r>
        <w:rPr>
          <w:sz w:val="20"/>
        </w:rPr>
        <w:t>mismo.</w:t>
      </w:r>
    </w:p>
    <w:p>
      <w:pPr>
        <w:pStyle w:val="ListParagraph"/>
        <w:numPr>
          <w:ilvl w:val="0"/>
          <w:numId w:val="38"/>
        </w:numPr>
        <w:tabs>
          <w:tab w:pos="673" w:val="left" w:leader="none"/>
        </w:tabs>
        <w:spacing w:line="240" w:lineRule="auto" w:before="120" w:after="0"/>
        <w:ind w:left="672" w:right="390" w:hanging="454"/>
        <w:jc w:val="both"/>
        <w:rPr>
          <w:sz w:val="20"/>
        </w:rPr>
      </w:pPr>
      <w:r>
        <w:rPr>
          <w:sz w:val="20"/>
        </w:rPr>
        <w:t>En el caso de que no se ajusten a las condiciones antes expuestas debe adoptarse otra solución que produzca el mismo</w:t>
      </w:r>
      <w:r>
        <w:rPr>
          <w:spacing w:val="-5"/>
          <w:sz w:val="20"/>
        </w:rPr>
        <w:t> </w:t>
      </w:r>
      <w:r>
        <w:rPr>
          <w:sz w:val="20"/>
        </w:rPr>
        <w:t>efecto.</w:t>
      </w:r>
    </w:p>
    <w:p>
      <w:pPr>
        <w:pStyle w:val="ListParagraph"/>
        <w:numPr>
          <w:ilvl w:val="0"/>
          <w:numId w:val="38"/>
        </w:numPr>
        <w:tabs>
          <w:tab w:pos="672" w:val="left" w:leader="none"/>
        </w:tabs>
        <w:spacing w:line="240" w:lineRule="auto" w:before="119" w:after="0"/>
        <w:ind w:left="672" w:right="392" w:hanging="454"/>
        <w:jc w:val="both"/>
        <w:rPr>
          <w:sz w:val="20"/>
        </w:rPr>
      </w:pPr>
      <w:r>
        <w:rPr>
          <w:sz w:val="20"/>
        </w:rPr>
        <w:t>La junta de las piezas con goterón deben tener la forma del mismo para no crear a través de ella un puente hacia la</w:t>
      </w:r>
      <w:r>
        <w:rPr>
          <w:spacing w:val="-1"/>
          <w:sz w:val="20"/>
        </w:rPr>
        <w:t> </w:t>
      </w:r>
      <w:r>
        <w:rPr>
          <w:sz w:val="20"/>
        </w:rPr>
        <w:t>fachada.</w:t>
      </w:r>
    </w:p>
    <w:p>
      <w:pPr>
        <w:pStyle w:val="BodyText"/>
        <w:rPr>
          <w:sz w:val="22"/>
        </w:rPr>
      </w:pPr>
    </w:p>
    <w:p>
      <w:pPr>
        <w:pStyle w:val="BodyText"/>
        <w:spacing w:before="10"/>
        <w:rPr>
          <w:sz w:val="18"/>
        </w:rPr>
      </w:pPr>
    </w:p>
    <w:p>
      <w:pPr>
        <w:spacing w:before="1"/>
        <w:ind w:left="1958" w:right="418" w:firstLine="0"/>
        <w:jc w:val="left"/>
        <w:rPr>
          <w:sz w:val="16"/>
        </w:rPr>
      </w:pPr>
      <w:r>
        <w:rPr/>
        <w:pict>
          <v:line style="position:absolute;mso-position-horizontal-relative:page;mso-position-vertical-relative:paragraph;z-index:251734016" from="152.520004pt,-2.825695pt" to="152.520004pt,21.594305pt" stroked="true" strokeweight=".48pt" strokecolor="#000000">
            <v:stroke dashstyle="solid"/>
            <w10:wrap type="none"/>
          </v:line>
        </w:pict>
      </w:r>
      <w:r>
        <w:rPr>
          <w:sz w:val="16"/>
        </w:rPr>
        <w:t>Se pretende limitar el riesgo de filtración de agua por retención en los aleros y cornisas y por escorrentía en paramentos verticales desde</w:t>
      </w:r>
      <w:r>
        <w:rPr>
          <w:spacing w:val="-1"/>
          <w:sz w:val="16"/>
        </w:rPr>
        <w:t> </w:t>
      </w:r>
      <w:r>
        <w:rPr>
          <w:sz w:val="16"/>
        </w:rPr>
        <w:t>estos.</w:t>
      </w:r>
    </w:p>
    <w:p>
      <w:pPr>
        <w:spacing w:after="0"/>
        <w:jc w:val="left"/>
        <w:rPr>
          <w:sz w:val="16"/>
        </w:rPr>
        <w:sectPr>
          <w:pgSz w:w="11910" w:h="16840"/>
          <w:pgMar w:header="724" w:footer="636" w:top="1320" w:bottom="840" w:left="1200" w:right="738"/>
        </w:sectPr>
      </w:pPr>
    </w:p>
    <w:p>
      <w:pPr>
        <w:pStyle w:val="Heading3"/>
        <w:numPr>
          <w:ilvl w:val="1"/>
          <w:numId w:val="14"/>
        </w:numPr>
        <w:tabs>
          <w:tab w:pos="785" w:val="left" w:leader="none"/>
          <w:tab w:pos="786" w:val="left" w:leader="none"/>
        </w:tabs>
        <w:spacing w:line="240" w:lineRule="auto" w:before="90" w:after="0"/>
        <w:ind w:left="785" w:right="0" w:hanging="568"/>
        <w:jc w:val="left"/>
      </w:pPr>
      <w:r>
        <w:rPr/>
        <w:t>Cubiertas</w:t>
      </w:r>
    </w:p>
    <w:p>
      <w:pPr>
        <w:pStyle w:val="BodyText"/>
        <w:spacing w:before="2"/>
        <w:rPr>
          <w:b/>
          <w:sz w:val="26"/>
        </w:rPr>
      </w:pPr>
    </w:p>
    <w:p>
      <w:pPr>
        <w:pStyle w:val="Heading5"/>
        <w:numPr>
          <w:ilvl w:val="2"/>
          <w:numId w:val="14"/>
        </w:numPr>
        <w:tabs>
          <w:tab w:pos="786" w:val="left" w:leader="none"/>
        </w:tabs>
        <w:spacing w:line="240" w:lineRule="auto" w:before="0" w:after="0"/>
        <w:ind w:left="785" w:right="0" w:hanging="568"/>
        <w:jc w:val="left"/>
      </w:pPr>
      <w:r>
        <w:rPr/>
        <w:t>Grado de</w:t>
      </w:r>
      <w:r>
        <w:rPr>
          <w:spacing w:val="-3"/>
        </w:rPr>
        <w:t> </w:t>
      </w:r>
      <w:r>
        <w:rPr/>
        <w:t>impermeabilidad</w:t>
      </w:r>
    </w:p>
    <w:p>
      <w:pPr>
        <w:spacing w:before="159"/>
        <w:ind w:left="672" w:right="391" w:hanging="454"/>
        <w:jc w:val="both"/>
        <w:rPr>
          <w:sz w:val="20"/>
        </w:rPr>
      </w:pPr>
      <w:r>
        <w:rPr>
          <w:sz w:val="20"/>
        </w:rPr>
        <w:t>1 Para las cubiertas el </w:t>
      </w:r>
      <w:r>
        <w:rPr>
          <w:i/>
          <w:sz w:val="20"/>
        </w:rPr>
        <w:t>grado de impermeabilidad </w:t>
      </w:r>
      <w:r>
        <w:rPr>
          <w:sz w:val="20"/>
        </w:rPr>
        <w:t>exigido es único e independiente de</w:t>
      </w:r>
      <w:r>
        <w:rPr>
          <w:spacing w:val="25"/>
          <w:sz w:val="20"/>
        </w:rPr>
        <w:t> </w:t>
      </w:r>
      <w:r>
        <w:rPr>
          <w:sz w:val="20"/>
        </w:rPr>
        <w:t>factores climáticos. Cualquier </w:t>
      </w:r>
      <w:r>
        <w:rPr>
          <w:i/>
          <w:sz w:val="20"/>
        </w:rPr>
        <w:t>solución constructiva </w:t>
      </w:r>
      <w:r>
        <w:rPr>
          <w:sz w:val="20"/>
        </w:rPr>
        <w:t>alcanza este </w:t>
      </w:r>
      <w:r>
        <w:rPr>
          <w:i/>
          <w:sz w:val="20"/>
        </w:rPr>
        <w:t>grado de impermeabilidad </w:t>
      </w:r>
      <w:r>
        <w:rPr>
          <w:sz w:val="20"/>
        </w:rPr>
        <w:t>siempre que se cumplan las condiciones indicadas a</w:t>
      </w:r>
      <w:r>
        <w:rPr>
          <w:spacing w:val="-1"/>
          <w:sz w:val="20"/>
        </w:rPr>
        <w:t> </w:t>
      </w:r>
      <w:r>
        <w:rPr>
          <w:sz w:val="20"/>
        </w:rPr>
        <w:t>continuación.</w:t>
      </w:r>
    </w:p>
    <w:p>
      <w:pPr>
        <w:pStyle w:val="BodyText"/>
        <w:spacing w:before="8"/>
        <w:rPr>
          <w:sz w:val="22"/>
        </w:rPr>
      </w:pPr>
    </w:p>
    <w:p>
      <w:pPr>
        <w:pStyle w:val="ListParagraph"/>
        <w:numPr>
          <w:ilvl w:val="2"/>
          <w:numId w:val="14"/>
        </w:numPr>
        <w:tabs>
          <w:tab w:pos="786" w:val="left" w:leader="none"/>
        </w:tabs>
        <w:spacing w:line="240" w:lineRule="auto" w:before="0" w:after="0"/>
        <w:ind w:left="785" w:right="0" w:hanging="568"/>
        <w:jc w:val="left"/>
        <w:rPr>
          <w:b/>
          <w:i/>
          <w:sz w:val="20"/>
        </w:rPr>
      </w:pPr>
      <w:r>
        <w:rPr>
          <w:b/>
          <w:sz w:val="20"/>
        </w:rPr>
        <w:t>Condiciones de las </w:t>
      </w:r>
      <w:r>
        <w:rPr>
          <w:b/>
          <w:i/>
          <w:sz w:val="20"/>
        </w:rPr>
        <w:t>soluciones</w:t>
      </w:r>
      <w:r>
        <w:rPr>
          <w:b/>
          <w:i/>
          <w:spacing w:val="-15"/>
          <w:sz w:val="20"/>
        </w:rPr>
        <w:t> </w:t>
      </w:r>
      <w:r>
        <w:rPr>
          <w:b/>
          <w:i/>
          <w:sz w:val="20"/>
        </w:rPr>
        <w:t>constructivas</w:t>
      </w:r>
    </w:p>
    <w:p>
      <w:pPr>
        <w:pStyle w:val="BodyText"/>
        <w:tabs>
          <w:tab w:pos="671" w:val="left" w:leader="none"/>
        </w:tabs>
        <w:spacing w:before="158"/>
        <w:ind w:left="218"/>
      </w:pPr>
      <w:r>
        <w:rPr/>
        <w:t>1</w:t>
        <w:tab/>
        <w:t>Las cubiertas deben disponer de los elementos</w:t>
      </w:r>
      <w:r>
        <w:rPr>
          <w:spacing w:val="-16"/>
        </w:rPr>
        <w:t> </w:t>
      </w:r>
      <w:r>
        <w:rPr/>
        <w:t>siguientes:</w:t>
      </w:r>
    </w:p>
    <w:p>
      <w:pPr>
        <w:pStyle w:val="BodyText"/>
        <w:spacing w:before="6"/>
        <w:rPr>
          <w:sz w:val="30"/>
        </w:rPr>
      </w:pPr>
    </w:p>
    <w:p>
      <w:pPr>
        <w:spacing w:before="0"/>
        <w:ind w:left="1958" w:right="0" w:firstLine="0"/>
        <w:jc w:val="left"/>
        <w:rPr>
          <w:sz w:val="16"/>
        </w:rPr>
      </w:pPr>
      <w:r>
        <w:rPr/>
        <w:pict>
          <v:line style="position:absolute;mso-position-horizontal-relative:page;mso-position-vertical-relative:paragraph;z-index:251735040" from="152.520004pt,-2.875764pt" to="152.520004pt,14.824236pt" stroked="true" strokeweight=".48pt" strokecolor="#000000">
            <v:stroke dashstyle="solid"/>
            <w10:wrap type="none"/>
          </v:line>
        </w:pict>
      </w:r>
      <w:r>
        <w:rPr>
          <w:sz w:val="16"/>
        </w:rPr>
        <w:t>Se entiende que se disponen sobre el soporte resistente.</w:t>
      </w:r>
    </w:p>
    <w:p>
      <w:pPr>
        <w:pStyle w:val="BodyText"/>
      </w:pPr>
    </w:p>
    <w:p>
      <w:pPr>
        <w:pStyle w:val="BodyText"/>
        <w:spacing w:before="1"/>
        <w:rPr>
          <w:sz w:val="17"/>
        </w:rPr>
      </w:pPr>
    </w:p>
    <w:p>
      <w:pPr>
        <w:pStyle w:val="ListParagraph"/>
        <w:numPr>
          <w:ilvl w:val="0"/>
          <w:numId w:val="39"/>
        </w:numPr>
        <w:tabs>
          <w:tab w:pos="1127" w:val="left" w:leader="none"/>
        </w:tabs>
        <w:spacing w:line="240" w:lineRule="auto" w:before="94" w:after="0"/>
        <w:ind w:left="1125" w:right="391" w:hanging="454"/>
        <w:jc w:val="both"/>
        <w:rPr>
          <w:sz w:val="20"/>
        </w:rPr>
      </w:pPr>
      <w:r>
        <w:rPr>
          <w:sz w:val="20"/>
        </w:rPr>
        <w:t>un sistema de </w:t>
      </w:r>
      <w:r>
        <w:rPr>
          <w:i/>
          <w:sz w:val="20"/>
        </w:rPr>
        <w:t>formación de pendientes </w:t>
      </w:r>
      <w:r>
        <w:rPr>
          <w:sz w:val="20"/>
        </w:rPr>
        <w:t>cuando la cubierta sea plana o cuando sea inclinada y su soporte resistente no tenga la pendiente adecuada al tipo de protección y de </w:t>
      </w:r>
      <w:r>
        <w:rPr>
          <w:i/>
          <w:sz w:val="20"/>
        </w:rPr>
        <w:t>impermeabili- </w:t>
      </w:r>
      <w:r>
        <w:rPr>
          <w:i/>
          <w:sz w:val="20"/>
        </w:rPr>
        <w:t>zación </w:t>
      </w:r>
      <w:r>
        <w:rPr>
          <w:sz w:val="20"/>
        </w:rPr>
        <w:t>que se vaya a</w:t>
      </w:r>
      <w:r>
        <w:rPr>
          <w:spacing w:val="-5"/>
          <w:sz w:val="20"/>
        </w:rPr>
        <w:t> </w:t>
      </w:r>
      <w:r>
        <w:rPr>
          <w:sz w:val="20"/>
        </w:rPr>
        <w:t>utilizar;</w:t>
      </w:r>
    </w:p>
    <w:p>
      <w:pPr>
        <w:pStyle w:val="ListParagraph"/>
        <w:numPr>
          <w:ilvl w:val="0"/>
          <w:numId w:val="39"/>
        </w:numPr>
        <w:tabs>
          <w:tab w:pos="1127" w:val="left" w:leader="none"/>
        </w:tabs>
        <w:spacing w:line="240" w:lineRule="auto" w:before="120" w:after="0"/>
        <w:ind w:left="1125" w:right="391" w:hanging="454"/>
        <w:jc w:val="both"/>
        <w:rPr>
          <w:sz w:val="20"/>
        </w:rPr>
      </w:pPr>
      <w:r>
        <w:rPr>
          <w:sz w:val="20"/>
        </w:rPr>
        <w:t>una </w:t>
      </w:r>
      <w:r>
        <w:rPr>
          <w:i/>
          <w:sz w:val="20"/>
        </w:rPr>
        <w:t>barrera contra el vapor </w:t>
      </w:r>
      <w:r>
        <w:rPr>
          <w:sz w:val="20"/>
        </w:rPr>
        <w:t>inmediatamente por debajo del </w:t>
      </w:r>
      <w:r>
        <w:rPr>
          <w:i/>
          <w:sz w:val="20"/>
        </w:rPr>
        <w:t>aislante térmico </w:t>
      </w:r>
      <w:r>
        <w:rPr>
          <w:sz w:val="20"/>
        </w:rPr>
        <w:t>cuando, según el cálculo descrito en la sección HE1 del DB “Ahorro de energía”, se prevea que vayan a produ- cirse condensaciones en dicho</w:t>
      </w:r>
      <w:r>
        <w:rPr>
          <w:spacing w:val="-1"/>
          <w:sz w:val="20"/>
        </w:rPr>
        <w:t> </w:t>
      </w:r>
      <w:r>
        <w:rPr>
          <w:sz w:val="20"/>
        </w:rPr>
        <w:t>elemento;</w:t>
      </w:r>
    </w:p>
    <w:p>
      <w:pPr>
        <w:pStyle w:val="ListParagraph"/>
        <w:numPr>
          <w:ilvl w:val="0"/>
          <w:numId w:val="39"/>
        </w:numPr>
        <w:tabs>
          <w:tab w:pos="1126" w:val="left" w:leader="none"/>
        </w:tabs>
        <w:spacing w:line="240" w:lineRule="auto" w:before="120" w:after="0"/>
        <w:ind w:left="1125" w:right="393" w:hanging="454"/>
        <w:jc w:val="both"/>
        <w:rPr>
          <w:sz w:val="20"/>
        </w:rPr>
      </w:pPr>
      <w:r>
        <w:rPr>
          <w:sz w:val="20"/>
        </w:rPr>
        <w:t>una </w:t>
      </w:r>
      <w:r>
        <w:rPr>
          <w:i/>
          <w:sz w:val="20"/>
        </w:rPr>
        <w:t>capa separadora </w:t>
      </w:r>
      <w:r>
        <w:rPr>
          <w:sz w:val="20"/>
        </w:rPr>
        <w:t>bajo el </w:t>
      </w:r>
      <w:r>
        <w:rPr>
          <w:i/>
          <w:sz w:val="20"/>
        </w:rPr>
        <w:t>aislante térmico</w:t>
      </w:r>
      <w:r>
        <w:rPr>
          <w:sz w:val="20"/>
        </w:rPr>
        <w:t>, cuando deba evitarse el contacto entre materia- les químicamente</w:t>
      </w:r>
      <w:r>
        <w:rPr>
          <w:spacing w:val="-1"/>
          <w:sz w:val="20"/>
        </w:rPr>
        <w:t> </w:t>
      </w:r>
      <w:r>
        <w:rPr>
          <w:sz w:val="20"/>
        </w:rPr>
        <w:t>incompatibles;</w:t>
      </w:r>
    </w:p>
    <w:p>
      <w:pPr>
        <w:pStyle w:val="ListParagraph"/>
        <w:numPr>
          <w:ilvl w:val="0"/>
          <w:numId w:val="39"/>
        </w:numPr>
        <w:tabs>
          <w:tab w:pos="1125" w:val="left" w:leader="none"/>
          <w:tab w:pos="1126" w:val="left" w:leader="none"/>
        </w:tabs>
        <w:spacing w:line="240" w:lineRule="auto" w:before="119" w:after="0"/>
        <w:ind w:left="1125" w:right="0" w:hanging="455"/>
        <w:jc w:val="left"/>
        <w:rPr>
          <w:sz w:val="20"/>
        </w:rPr>
      </w:pPr>
      <w:r>
        <w:rPr>
          <w:sz w:val="20"/>
        </w:rPr>
        <w:t>un </w:t>
      </w:r>
      <w:r>
        <w:rPr>
          <w:i/>
          <w:sz w:val="20"/>
        </w:rPr>
        <w:t>aislante térmico</w:t>
      </w:r>
      <w:r>
        <w:rPr>
          <w:sz w:val="20"/>
        </w:rPr>
        <w:t>, según se determine en la sección HE1 del DB “Ahorro de</w:t>
      </w:r>
      <w:r>
        <w:rPr>
          <w:spacing w:val="-17"/>
          <w:sz w:val="20"/>
        </w:rPr>
        <w:t> </w:t>
      </w:r>
      <w:r>
        <w:rPr>
          <w:sz w:val="20"/>
        </w:rPr>
        <w:t>energía”;</w:t>
      </w:r>
    </w:p>
    <w:p>
      <w:pPr>
        <w:pStyle w:val="ListParagraph"/>
        <w:numPr>
          <w:ilvl w:val="0"/>
          <w:numId w:val="39"/>
        </w:numPr>
        <w:tabs>
          <w:tab w:pos="1127" w:val="left" w:leader="none"/>
        </w:tabs>
        <w:spacing w:line="240" w:lineRule="auto" w:before="121" w:after="0"/>
        <w:ind w:left="1125" w:right="390" w:hanging="454"/>
        <w:jc w:val="both"/>
        <w:rPr>
          <w:sz w:val="20"/>
        </w:rPr>
      </w:pPr>
      <w:r>
        <w:rPr>
          <w:sz w:val="20"/>
        </w:rPr>
        <w:t>una </w:t>
      </w:r>
      <w:r>
        <w:rPr>
          <w:i/>
          <w:sz w:val="20"/>
        </w:rPr>
        <w:t>capa separadora </w:t>
      </w:r>
      <w:r>
        <w:rPr>
          <w:sz w:val="20"/>
        </w:rPr>
        <w:t>bajo la capa de </w:t>
      </w:r>
      <w:r>
        <w:rPr>
          <w:i/>
          <w:sz w:val="20"/>
        </w:rPr>
        <w:t>impermeabilización</w:t>
      </w:r>
      <w:r>
        <w:rPr>
          <w:sz w:val="20"/>
        </w:rPr>
        <w:t>, cuando deba evitarse el contacto entre materiales químicamente incompatibles o la adherencia entre la </w:t>
      </w:r>
      <w:r>
        <w:rPr>
          <w:i/>
          <w:sz w:val="20"/>
        </w:rPr>
        <w:t>impermeabilización </w:t>
      </w:r>
      <w:r>
        <w:rPr>
          <w:sz w:val="20"/>
        </w:rPr>
        <w:t>y el elemento que sirve de soporte en </w:t>
      </w:r>
      <w:r>
        <w:rPr>
          <w:i/>
          <w:sz w:val="20"/>
        </w:rPr>
        <w:t>sistemas no</w:t>
      </w:r>
      <w:r>
        <w:rPr>
          <w:i/>
          <w:spacing w:val="-9"/>
          <w:sz w:val="20"/>
        </w:rPr>
        <w:t> </w:t>
      </w:r>
      <w:r>
        <w:rPr>
          <w:i/>
          <w:sz w:val="20"/>
        </w:rPr>
        <w:t>adheridos</w:t>
      </w:r>
      <w:r>
        <w:rPr>
          <w:sz w:val="20"/>
        </w:rPr>
        <w:t>;</w:t>
      </w:r>
    </w:p>
    <w:p>
      <w:pPr>
        <w:pStyle w:val="ListParagraph"/>
        <w:numPr>
          <w:ilvl w:val="0"/>
          <w:numId w:val="39"/>
        </w:numPr>
        <w:tabs>
          <w:tab w:pos="1127" w:val="left" w:leader="none"/>
        </w:tabs>
        <w:spacing w:line="240" w:lineRule="auto" w:before="120" w:after="0"/>
        <w:ind w:left="1125" w:right="390" w:hanging="454"/>
        <w:jc w:val="both"/>
        <w:rPr>
          <w:sz w:val="20"/>
        </w:rPr>
      </w:pPr>
      <w:r>
        <w:rPr>
          <w:sz w:val="20"/>
        </w:rPr>
        <w:t>una capa de </w:t>
      </w:r>
      <w:r>
        <w:rPr>
          <w:i/>
          <w:sz w:val="20"/>
        </w:rPr>
        <w:t>impermeabilización </w:t>
      </w:r>
      <w:r>
        <w:rPr>
          <w:sz w:val="20"/>
        </w:rPr>
        <w:t>cuando la cubierta sea plana o cuando sea inclinada y el sis- tema de </w:t>
      </w:r>
      <w:r>
        <w:rPr>
          <w:i/>
          <w:sz w:val="20"/>
        </w:rPr>
        <w:t>formación de pendientes </w:t>
      </w:r>
      <w:r>
        <w:rPr>
          <w:sz w:val="20"/>
        </w:rPr>
        <w:t>no tenga la pendiente exigida en la tabla 2.10 o el solapo de las piezas de la protección sea</w:t>
      </w:r>
      <w:r>
        <w:rPr>
          <w:spacing w:val="-6"/>
          <w:sz w:val="20"/>
        </w:rPr>
        <w:t> </w:t>
      </w:r>
      <w:r>
        <w:rPr>
          <w:sz w:val="20"/>
        </w:rPr>
        <w:t>insuficiente;</w:t>
      </w:r>
    </w:p>
    <w:p>
      <w:pPr>
        <w:pStyle w:val="ListParagraph"/>
        <w:numPr>
          <w:ilvl w:val="0"/>
          <w:numId w:val="39"/>
        </w:numPr>
        <w:tabs>
          <w:tab w:pos="1125" w:val="left" w:leader="none"/>
          <w:tab w:pos="1127" w:val="left" w:leader="none"/>
        </w:tabs>
        <w:spacing w:line="240" w:lineRule="auto" w:before="120" w:after="0"/>
        <w:ind w:left="1126" w:right="0" w:hanging="456"/>
        <w:jc w:val="left"/>
        <w:rPr>
          <w:sz w:val="20"/>
        </w:rPr>
      </w:pPr>
      <w:r>
        <w:rPr>
          <w:sz w:val="20"/>
        </w:rPr>
        <w:t>una </w:t>
      </w:r>
      <w:r>
        <w:rPr>
          <w:i/>
          <w:sz w:val="20"/>
        </w:rPr>
        <w:t>capa separadora </w:t>
      </w:r>
      <w:r>
        <w:rPr>
          <w:sz w:val="20"/>
        </w:rPr>
        <w:t>entre la </w:t>
      </w:r>
      <w:r>
        <w:rPr>
          <w:i/>
          <w:sz w:val="20"/>
        </w:rPr>
        <w:t>capa de protección </w:t>
      </w:r>
      <w:r>
        <w:rPr>
          <w:sz w:val="20"/>
        </w:rPr>
        <w:t>y la capa de </w:t>
      </w:r>
      <w:r>
        <w:rPr>
          <w:i/>
          <w:sz w:val="20"/>
        </w:rPr>
        <w:t>impermeabilización</w:t>
      </w:r>
      <w:r>
        <w:rPr>
          <w:sz w:val="20"/>
        </w:rPr>
        <w:t>,</w:t>
      </w:r>
      <w:r>
        <w:rPr>
          <w:spacing w:val="-25"/>
          <w:sz w:val="20"/>
        </w:rPr>
        <w:t> </w:t>
      </w:r>
      <w:r>
        <w:rPr>
          <w:sz w:val="20"/>
        </w:rPr>
        <w:t>cuando</w:t>
      </w:r>
    </w:p>
    <w:p>
      <w:pPr>
        <w:pStyle w:val="ListParagraph"/>
        <w:numPr>
          <w:ilvl w:val="1"/>
          <w:numId w:val="39"/>
        </w:numPr>
        <w:tabs>
          <w:tab w:pos="1585" w:val="left" w:leader="none"/>
          <w:tab w:pos="1586" w:val="left" w:leader="none"/>
        </w:tabs>
        <w:spacing w:line="240" w:lineRule="auto" w:before="119" w:after="0"/>
        <w:ind w:left="1585" w:right="0" w:hanging="461"/>
        <w:jc w:val="left"/>
        <w:rPr>
          <w:sz w:val="20"/>
        </w:rPr>
      </w:pPr>
      <w:r>
        <w:rPr>
          <w:sz w:val="20"/>
        </w:rPr>
        <w:t>deba evitarse la adherencia entre ambas</w:t>
      </w:r>
      <w:r>
        <w:rPr>
          <w:spacing w:val="-3"/>
          <w:sz w:val="20"/>
        </w:rPr>
        <w:t> </w:t>
      </w:r>
      <w:r>
        <w:rPr>
          <w:sz w:val="20"/>
        </w:rPr>
        <w:t>capas;</w:t>
      </w:r>
    </w:p>
    <w:p>
      <w:pPr>
        <w:pStyle w:val="ListParagraph"/>
        <w:numPr>
          <w:ilvl w:val="1"/>
          <w:numId w:val="39"/>
        </w:numPr>
        <w:tabs>
          <w:tab w:pos="1586" w:val="left" w:leader="none"/>
          <w:tab w:pos="1587" w:val="left" w:leader="none"/>
        </w:tabs>
        <w:spacing w:line="240" w:lineRule="auto" w:before="121" w:after="0"/>
        <w:ind w:left="1586" w:right="0" w:hanging="462"/>
        <w:jc w:val="left"/>
        <w:rPr>
          <w:sz w:val="20"/>
        </w:rPr>
      </w:pPr>
      <w:r>
        <w:rPr>
          <w:sz w:val="20"/>
        </w:rPr>
        <w:t>la </w:t>
      </w:r>
      <w:r>
        <w:rPr>
          <w:i/>
          <w:sz w:val="20"/>
        </w:rPr>
        <w:t>impermeabilización </w:t>
      </w:r>
      <w:r>
        <w:rPr>
          <w:sz w:val="20"/>
        </w:rPr>
        <w:t>tenga una resistencia pequeña al punzonamiento</w:t>
      </w:r>
      <w:r>
        <w:rPr>
          <w:spacing w:val="-12"/>
          <w:sz w:val="20"/>
        </w:rPr>
        <w:t> </w:t>
      </w:r>
      <w:r>
        <w:rPr>
          <w:sz w:val="20"/>
        </w:rPr>
        <w:t>estático;</w:t>
      </w:r>
    </w:p>
    <w:p>
      <w:pPr>
        <w:pStyle w:val="ListParagraph"/>
        <w:numPr>
          <w:ilvl w:val="1"/>
          <w:numId w:val="39"/>
        </w:numPr>
        <w:tabs>
          <w:tab w:pos="1586" w:val="left" w:leader="none"/>
        </w:tabs>
        <w:spacing w:line="240" w:lineRule="auto" w:before="120" w:after="0"/>
        <w:ind w:left="1579" w:right="391" w:hanging="454"/>
        <w:jc w:val="both"/>
        <w:rPr>
          <w:sz w:val="20"/>
        </w:rPr>
      </w:pPr>
      <w:r>
        <w:rPr>
          <w:sz w:val="20"/>
        </w:rPr>
        <w:t>se utilice como </w:t>
      </w:r>
      <w:r>
        <w:rPr>
          <w:i/>
          <w:sz w:val="20"/>
        </w:rPr>
        <w:t>capa de protección </w:t>
      </w:r>
      <w:r>
        <w:rPr>
          <w:sz w:val="20"/>
        </w:rPr>
        <w:t>solado flotante colocado sobre soportes, grava, una capa de rodadura de hormigón, una capa de rodadura de aglomerado asfáltico dispuesta sobre una capa de mortero o tierra vegetal; en este último caso además debe disponerse inmediatamente por encima de la </w:t>
      </w:r>
      <w:r>
        <w:rPr>
          <w:i/>
          <w:sz w:val="20"/>
        </w:rPr>
        <w:t>capa separadora, </w:t>
      </w:r>
      <w:r>
        <w:rPr>
          <w:sz w:val="20"/>
        </w:rPr>
        <w:t>una capa drenante y sobre ésta una capa filtrante; en el caso de utilizarse grava la </w:t>
      </w:r>
      <w:r>
        <w:rPr>
          <w:i/>
          <w:sz w:val="20"/>
        </w:rPr>
        <w:t>capa separadora </w:t>
      </w:r>
      <w:r>
        <w:rPr>
          <w:sz w:val="20"/>
        </w:rPr>
        <w:t>debe ser</w:t>
      </w:r>
      <w:r>
        <w:rPr>
          <w:spacing w:val="-36"/>
          <w:sz w:val="20"/>
        </w:rPr>
        <w:t> </w:t>
      </w:r>
      <w:r>
        <w:rPr>
          <w:sz w:val="20"/>
        </w:rPr>
        <w:t>antipunzonante;</w:t>
      </w:r>
    </w:p>
    <w:p>
      <w:pPr>
        <w:pStyle w:val="ListParagraph"/>
        <w:numPr>
          <w:ilvl w:val="0"/>
          <w:numId w:val="39"/>
        </w:numPr>
        <w:tabs>
          <w:tab w:pos="1125" w:val="left" w:leader="none"/>
          <w:tab w:pos="1127" w:val="left" w:leader="none"/>
        </w:tabs>
        <w:spacing w:line="240" w:lineRule="auto" w:before="120" w:after="0"/>
        <w:ind w:left="1126" w:right="0" w:hanging="456"/>
        <w:jc w:val="left"/>
        <w:rPr>
          <w:sz w:val="20"/>
        </w:rPr>
      </w:pPr>
      <w:r>
        <w:rPr>
          <w:sz w:val="20"/>
        </w:rPr>
        <w:t>una </w:t>
      </w:r>
      <w:r>
        <w:rPr>
          <w:i/>
          <w:sz w:val="20"/>
        </w:rPr>
        <w:t>capa separadora </w:t>
      </w:r>
      <w:r>
        <w:rPr>
          <w:sz w:val="20"/>
        </w:rPr>
        <w:t>entre la </w:t>
      </w:r>
      <w:r>
        <w:rPr>
          <w:i/>
          <w:sz w:val="20"/>
        </w:rPr>
        <w:t>capa de protección </w:t>
      </w:r>
      <w:r>
        <w:rPr>
          <w:sz w:val="20"/>
        </w:rPr>
        <w:t>y el </w:t>
      </w:r>
      <w:r>
        <w:rPr>
          <w:i/>
          <w:sz w:val="20"/>
        </w:rPr>
        <w:t>aislante térmico,</w:t>
      </w:r>
      <w:r>
        <w:rPr>
          <w:i/>
          <w:spacing w:val="-18"/>
          <w:sz w:val="20"/>
        </w:rPr>
        <w:t> </w:t>
      </w:r>
      <w:r>
        <w:rPr>
          <w:sz w:val="20"/>
        </w:rPr>
        <w:t>cuando</w:t>
      </w:r>
    </w:p>
    <w:p>
      <w:pPr>
        <w:pStyle w:val="ListParagraph"/>
        <w:numPr>
          <w:ilvl w:val="1"/>
          <w:numId w:val="39"/>
        </w:numPr>
        <w:tabs>
          <w:tab w:pos="1586" w:val="left" w:leader="none"/>
        </w:tabs>
        <w:spacing w:line="240" w:lineRule="auto" w:before="120" w:after="0"/>
        <w:ind w:left="1579" w:right="392" w:hanging="454"/>
        <w:jc w:val="both"/>
        <w:rPr>
          <w:sz w:val="20"/>
        </w:rPr>
      </w:pPr>
      <w:r>
        <w:rPr>
          <w:sz w:val="20"/>
        </w:rPr>
        <w:t>se utilice tierra vegetal como </w:t>
      </w:r>
      <w:r>
        <w:rPr>
          <w:i/>
          <w:sz w:val="20"/>
        </w:rPr>
        <w:t>capa de protección</w:t>
      </w:r>
      <w:r>
        <w:rPr>
          <w:sz w:val="20"/>
        </w:rPr>
        <w:t>; además debe disponerse inmediata- mente por encima de esta </w:t>
      </w:r>
      <w:r>
        <w:rPr>
          <w:i/>
          <w:sz w:val="20"/>
        </w:rPr>
        <w:t>capa separadora, </w:t>
      </w:r>
      <w:r>
        <w:rPr>
          <w:sz w:val="20"/>
        </w:rPr>
        <w:t>una capa drenante y sobre ésta una capa fil- trante;</w:t>
      </w:r>
    </w:p>
    <w:p>
      <w:pPr>
        <w:pStyle w:val="ListParagraph"/>
        <w:numPr>
          <w:ilvl w:val="1"/>
          <w:numId w:val="39"/>
        </w:numPr>
        <w:tabs>
          <w:tab w:pos="1587" w:val="left" w:leader="none"/>
        </w:tabs>
        <w:spacing w:line="240" w:lineRule="auto" w:before="120" w:after="0"/>
        <w:ind w:left="1579" w:right="392" w:hanging="454"/>
        <w:jc w:val="both"/>
        <w:rPr>
          <w:sz w:val="20"/>
        </w:rPr>
      </w:pPr>
      <w:r>
        <w:rPr>
          <w:sz w:val="20"/>
        </w:rPr>
        <w:t>la cubierta sea transitable para peatones; en este caso la </w:t>
      </w:r>
      <w:r>
        <w:rPr>
          <w:i/>
          <w:sz w:val="20"/>
        </w:rPr>
        <w:t>capa separadora </w:t>
      </w:r>
      <w:r>
        <w:rPr>
          <w:sz w:val="20"/>
        </w:rPr>
        <w:t>debe ser anti- punzonante;</w:t>
      </w:r>
    </w:p>
    <w:p>
      <w:pPr>
        <w:pStyle w:val="ListParagraph"/>
        <w:numPr>
          <w:ilvl w:val="1"/>
          <w:numId w:val="39"/>
        </w:numPr>
        <w:tabs>
          <w:tab w:pos="1586" w:val="left" w:leader="none"/>
        </w:tabs>
        <w:spacing w:line="240" w:lineRule="auto" w:before="120" w:after="0"/>
        <w:ind w:left="1579" w:right="392" w:hanging="454"/>
        <w:jc w:val="both"/>
        <w:rPr>
          <w:sz w:val="20"/>
        </w:rPr>
      </w:pPr>
      <w:r>
        <w:rPr>
          <w:sz w:val="20"/>
        </w:rPr>
        <w:t>se utilice grava como </w:t>
      </w:r>
      <w:r>
        <w:rPr>
          <w:i/>
          <w:sz w:val="20"/>
        </w:rPr>
        <w:t>capa de protección</w:t>
      </w:r>
      <w:r>
        <w:rPr>
          <w:sz w:val="20"/>
        </w:rPr>
        <w:t>; en este caso la </w:t>
      </w:r>
      <w:r>
        <w:rPr>
          <w:i/>
          <w:sz w:val="20"/>
        </w:rPr>
        <w:t>capa separadora </w:t>
      </w:r>
      <w:r>
        <w:rPr>
          <w:sz w:val="20"/>
        </w:rPr>
        <w:t>debe ser fil- trante, capaz de impedir el paso de áridos finos y</w:t>
      </w:r>
      <w:r>
        <w:rPr>
          <w:spacing w:val="-13"/>
          <w:sz w:val="20"/>
        </w:rPr>
        <w:t> </w:t>
      </w:r>
      <w:r>
        <w:rPr>
          <w:sz w:val="20"/>
        </w:rPr>
        <w:t>antipunzonante;</w:t>
      </w:r>
    </w:p>
    <w:p>
      <w:pPr>
        <w:pStyle w:val="ListParagraph"/>
        <w:numPr>
          <w:ilvl w:val="0"/>
          <w:numId w:val="40"/>
        </w:numPr>
        <w:tabs>
          <w:tab w:pos="1126" w:val="left" w:leader="none"/>
        </w:tabs>
        <w:spacing w:line="240" w:lineRule="auto" w:before="119" w:after="0"/>
        <w:ind w:left="1125" w:right="391" w:hanging="454"/>
        <w:jc w:val="both"/>
        <w:rPr>
          <w:sz w:val="20"/>
        </w:rPr>
      </w:pPr>
      <w:r>
        <w:rPr>
          <w:sz w:val="20"/>
        </w:rPr>
        <w:t>una </w:t>
      </w:r>
      <w:r>
        <w:rPr>
          <w:i/>
          <w:sz w:val="20"/>
        </w:rPr>
        <w:t>capa de protección</w:t>
      </w:r>
      <w:r>
        <w:rPr>
          <w:sz w:val="20"/>
        </w:rPr>
        <w:t>, cuando la cubierta sea plana, salvo que la capa de </w:t>
      </w:r>
      <w:r>
        <w:rPr>
          <w:i/>
          <w:sz w:val="20"/>
        </w:rPr>
        <w:t>impermeabiliza- </w:t>
      </w:r>
      <w:r>
        <w:rPr>
          <w:i/>
          <w:sz w:val="20"/>
        </w:rPr>
        <w:t>ción </w:t>
      </w:r>
      <w:r>
        <w:rPr>
          <w:sz w:val="20"/>
        </w:rPr>
        <w:t>sea</w:t>
      </w:r>
      <w:r>
        <w:rPr>
          <w:spacing w:val="-3"/>
          <w:sz w:val="20"/>
        </w:rPr>
        <w:t> </w:t>
      </w:r>
      <w:r>
        <w:rPr>
          <w:sz w:val="20"/>
        </w:rPr>
        <w:t>autoprotegida;</w:t>
      </w:r>
    </w:p>
    <w:p>
      <w:pPr>
        <w:pStyle w:val="ListParagraph"/>
        <w:numPr>
          <w:ilvl w:val="0"/>
          <w:numId w:val="40"/>
        </w:numPr>
        <w:tabs>
          <w:tab w:pos="1126" w:val="left" w:leader="none"/>
        </w:tabs>
        <w:spacing w:line="240" w:lineRule="auto" w:before="120" w:after="0"/>
        <w:ind w:left="1125" w:right="389" w:hanging="454"/>
        <w:jc w:val="both"/>
        <w:rPr>
          <w:sz w:val="20"/>
        </w:rPr>
      </w:pPr>
      <w:r>
        <w:rPr>
          <w:sz w:val="20"/>
        </w:rPr>
        <w:t>un tejado, cuando la cubierta sea inclinada, salvo que la capa de </w:t>
      </w:r>
      <w:r>
        <w:rPr>
          <w:i/>
          <w:sz w:val="20"/>
        </w:rPr>
        <w:t>impermeabilización </w:t>
      </w:r>
      <w:r>
        <w:rPr>
          <w:sz w:val="20"/>
        </w:rPr>
        <w:t>sea auto- protegida;</w:t>
      </w:r>
    </w:p>
    <w:p>
      <w:pPr>
        <w:spacing w:after="0" w:line="240" w:lineRule="auto"/>
        <w:jc w:val="both"/>
        <w:rPr>
          <w:sz w:val="20"/>
        </w:rPr>
        <w:sectPr>
          <w:pgSz w:w="11910" w:h="16840"/>
          <w:pgMar w:header="724" w:footer="636" w:top="1320" w:bottom="840" w:left="1200" w:right="738"/>
        </w:sectPr>
      </w:pPr>
    </w:p>
    <w:p>
      <w:pPr>
        <w:pStyle w:val="ListParagraph"/>
        <w:numPr>
          <w:ilvl w:val="0"/>
          <w:numId w:val="40"/>
        </w:numPr>
        <w:tabs>
          <w:tab w:pos="1125" w:val="left" w:leader="none"/>
          <w:tab w:pos="1126" w:val="left" w:leader="none"/>
        </w:tabs>
        <w:spacing w:line="240" w:lineRule="auto" w:before="89" w:after="0"/>
        <w:ind w:left="1125" w:right="392" w:hanging="454"/>
        <w:jc w:val="left"/>
        <w:rPr>
          <w:sz w:val="20"/>
        </w:rPr>
      </w:pPr>
      <w:r>
        <w:rPr>
          <w:sz w:val="20"/>
        </w:rPr>
        <w:t>un sistema de evacuación de aguas, que puede constar de canalones, sumideros y rebosade- ros, dimensionado según el cálculo descrito en la sección HS 5 del</w:t>
      </w:r>
      <w:r>
        <w:rPr>
          <w:spacing w:val="-10"/>
          <w:sz w:val="20"/>
        </w:rPr>
        <w:t> </w:t>
      </w:r>
      <w:r>
        <w:rPr>
          <w:sz w:val="20"/>
        </w:rPr>
        <w:t>DB-HS.</w:t>
      </w:r>
    </w:p>
    <w:p>
      <w:pPr>
        <w:pStyle w:val="BodyText"/>
        <w:spacing w:before="9"/>
        <w:rPr>
          <w:sz w:val="22"/>
        </w:rPr>
      </w:pPr>
    </w:p>
    <w:p>
      <w:pPr>
        <w:pStyle w:val="ListParagraph"/>
        <w:numPr>
          <w:ilvl w:val="2"/>
          <w:numId w:val="14"/>
        </w:numPr>
        <w:tabs>
          <w:tab w:pos="786" w:val="left" w:leader="none"/>
        </w:tabs>
        <w:spacing w:line="240" w:lineRule="auto" w:before="0" w:after="0"/>
        <w:ind w:left="785" w:right="0" w:hanging="568"/>
        <w:jc w:val="left"/>
        <w:rPr>
          <w:b/>
          <w:i/>
          <w:sz w:val="20"/>
        </w:rPr>
      </w:pPr>
      <w:r>
        <w:rPr>
          <w:b/>
          <w:sz w:val="20"/>
        </w:rPr>
        <w:t>Condiciones de los</w:t>
      </w:r>
      <w:r>
        <w:rPr>
          <w:b/>
          <w:spacing w:val="-3"/>
          <w:sz w:val="20"/>
        </w:rPr>
        <w:t> </w:t>
      </w:r>
      <w:r>
        <w:rPr>
          <w:b/>
          <w:i/>
          <w:sz w:val="20"/>
        </w:rPr>
        <w:t>componentes</w:t>
      </w:r>
    </w:p>
    <w:p>
      <w:pPr>
        <w:pStyle w:val="BodyText"/>
        <w:spacing w:before="1"/>
        <w:rPr>
          <w:b/>
          <w:i/>
          <w:sz w:val="26"/>
        </w:rPr>
      </w:pPr>
    </w:p>
    <w:p>
      <w:pPr>
        <w:pStyle w:val="Heading5"/>
        <w:numPr>
          <w:ilvl w:val="3"/>
          <w:numId w:val="14"/>
        </w:numPr>
        <w:tabs>
          <w:tab w:pos="928" w:val="left" w:leader="none"/>
        </w:tabs>
        <w:spacing w:line="240" w:lineRule="auto" w:before="0" w:after="0"/>
        <w:ind w:left="927" w:right="0" w:hanging="710"/>
        <w:jc w:val="left"/>
      </w:pPr>
      <w:r>
        <w:rPr/>
        <w:t>Sistema de formación de</w:t>
      </w:r>
      <w:r>
        <w:rPr>
          <w:spacing w:val="-6"/>
        </w:rPr>
        <w:t> </w:t>
      </w:r>
      <w:r>
        <w:rPr/>
        <w:t>pendientes</w:t>
      </w:r>
    </w:p>
    <w:p>
      <w:pPr>
        <w:pStyle w:val="ListParagraph"/>
        <w:numPr>
          <w:ilvl w:val="0"/>
          <w:numId w:val="41"/>
        </w:numPr>
        <w:tabs>
          <w:tab w:pos="672" w:val="left" w:leader="none"/>
        </w:tabs>
        <w:spacing w:line="240" w:lineRule="auto" w:before="158" w:after="0"/>
        <w:ind w:left="671" w:right="391" w:hanging="454"/>
        <w:jc w:val="both"/>
        <w:rPr>
          <w:sz w:val="20"/>
        </w:rPr>
      </w:pPr>
      <w:r>
        <w:rPr>
          <w:sz w:val="20"/>
        </w:rPr>
        <w:t>El sistema de </w:t>
      </w:r>
      <w:r>
        <w:rPr>
          <w:i/>
          <w:sz w:val="20"/>
        </w:rPr>
        <w:t>formación de pendientes </w:t>
      </w:r>
      <w:r>
        <w:rPr>
          <w:sz w:val="20"/>
        </w:rPr>
        <w:t>debe tener una cohesión y estabilidad suficientes frente a las solicitaciones mecánicas y térmicas, y su constitución debe ser adecuada para el recibido o fijación del resto de</w:t>
      </w:r>
      <w:r>
        <w:rPr>
          <w:spacing w:val="-3"/>
          <w:sz w:val="20"/>
        </w:rPr>
        <w:t> </w:t>
      </w:r>
      <w:r>
        <w:rPr>
          <w:i/>
          <w:sz w:val="20"/>
        </w:rPr>
        <w:t>componentes</w:t>
      </w:r>
      <w:r>
        <w:rPr>
          <w:sz w:val="20"/>
        </w:rPr>
        <w:t>.</w:t>
      </w:r>
    </w:p>
    <w:p>
      <w:pPr>
        <w:pStyle w:val="ListParagraph"/>
        <w:numPr>
          <w:ilvl w:val="0"/>
          <w:numId w:val="41"/>
        </w:numPr>
        <w:tabs>
          <w:tab w:pos="672" w:val="left" w:leader="none"/>
        </w:tabs>
        <w:spacing w:line="240" w:lineRule="auto" w:before="120" w:after="0"/>
        <w:ind w:left="671" w:right="390" w:hanging="454"/>
        <w:jc w:val="both"/>
        <w:rPr>
          <w:sz w:val="20"/>
        </w:rPr>
      </w:pPr>
      <w:r>
        <w:rPr>
          <w:sz w:val="20"/>
        </w:rPr>
        <w:t>Cuando el sistema de </w:t>
      </w:r>
      <w:r>
        <w:rPr>
          <w:i/>
          <w:sz w:val="20"/>
        </w:rPr>
        <w:t>formación de pendientes </w:t>
      </w:r>
      <w:r>
        <w:rPr>
          <w:sz w:val="20"/>
        </w:rPr>
        <w:t>sea el elemento que sirve de soporte a la capa de </w:t>
      </w:r>
      <w:r>
        <w:rPr>
          <w:i/>
          <w:sz w:val="20"/>
        </w:rPr>
        <w:t>impermeabilización</w:t>
      </w:r>
      <w:r>
        <w:rPr>
          <w:sz w:val="20"/>
        </w:rPr>
        <w:t>, el material que lo constituye debe ser compatible con el material </w:t>
      </w:r>
      <w:r>
        <w:rPr>
          <w:i/>
          <w:sz w:val="20"/>
        </w:rPr>
        <w:t>impermeabilizante </w:t>
      </w:r>
      <w:r>
        <w:rPr>
          <w:sz w:val="20"/>
        </w:rPr>
        <w:t>y con la forma de unión de dicho </w:t>
      </w:r>
      <w:r>
        <w:rPr>
          <w:i/>
          <w:sz w:val="20"/>
        </w:rPr>
        <w:t>impermeabilizante </w:t>
      </w:r>
      <w:r>
        <w:rPr>
          <w:sz w:val="20"/>
        </w:rPr>
        <w:t>a</w:t>
      </w:r>
      <w:r>
        <w:rPr>
          <w:spacing w:val="-13"/>
          <w:sz w:val="20"/>
        </w:rPr>
        <w:t> </w:t>
      </w:r>
      <w:r>
        <w:rPr>
          <w:sz w:val="20"/>
        </w:rPr>
        <w:t>él.</w:t>
      </w:r>
    </w:p>
    <w:p>
      <w:pPr>
        <w:pStyle w:val="ListParagraph"/>
        <w:numPr>
          <w:ilvl w:val="0"/>
          <w:numId w:val="41"/>
        </w:numPr>
        <w:tabs>
          <w:tab w:pos="673" w:val="left" w:leader="none"/>
        </w:tabs>
        <w:spacing w:line="240" w:lineRule="auto" w:before="120" w:after="0"/>
        <w:ind w:left="671" w:right="393" w:hanging="454"/>
        <w:jc w:val="both"/>
        <w:rPr>
          <w:sz w:val="20"/>
        </w:rPr>
      </w:pPr>
      <w:r>
        <w:rPr>
          <w:sz w:val="20"/>
        </w:rPr>
        <w:t>El sistema de </w:t>
      </w:r>
      <w:r>
        <w:rPr>
          <w:i/>
          <w:sz w:val="20"/>
        </w:rPr>
        <w:t>formación de pendientes </w:t>
      </w:r>
      <w:r>
        <w:rPr>
          <w:sz w:val="20"/>
        </w:rPr>
        <w:t>en cubiertas planas debe tener una pendiente hacia los elementos de evacuación de agua incluida dentro de los intervalos que figuran en la tabla 2.9 en función del uso de la cubierta y del tipo de</w:t>
      </w:r>
      <w:r>
        <w:rPr>
          <w:spacing w:val="-8"/>
          <w:sz w:val="20"/>
        </w:rPr>
        <w:t> </w:t>
      </w:r>
      <w:r>
        <w:rPr>
          <w:sz w:val="20"/>
        </w:rPr>
        <w:t>protección.</w:t>
      </w:r>
    </w:p>
    <w:p>
      <w:pPr>
        <w:spacing w:before="60" w:after="4"/>
        <w:ind w:left="3139" w:right="0" w:firstLine="0"/>
        <w:jc w:val="both"/>
        <w:rPr>
          <w:b/>
          <w:sz w:val="18"/>
        </w:rPr>
      </w:pPr>
      <w:r>
        <w:rPr>
          <w:b/>
          <w:sz w:val="18"/>
        </w:rPr>
        <w:t>Tabla 2.9 Pendientes de cubiertas planas</w:t>
      </w:r>
    </w:p>
    <w:tbl>
      <w:tblPr>
        <w:tblW w:w="0" w:type="auto"/>
        <w:jc w:val="left"/>
        <w:tblInd w:w="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4"/>
        <w:gridCol w:w="1669"/>
        <w:gridCol w:w="3649"/>
        <w:gridCol w:w="1898"/>
      </w:tblGrid>
      <w:tr>
        <w:trPr>
          <w:trHeight w:val="458" w:hRule="atLeast"/>
        </w:trPr>
        <w:tc>
          <w:tcPr>
            <w:tcW w:w="1764" w:type="dxa"/>
            <w:tcBorders>
              <w:top w:val="single" w:sz="4" w:space="0" w:color="000000"/>
              <w:bottom w:val="single" w:sz="4" w:space="0" w:color="000000"/>
            </w:tcBorders>
          </w:tcPr>
          <w:p>
            <w:pPr>
              <w:pStyle w:val="TableParagraph"/>
              <w:spacing w:line="204" w:lineRule="exact"/>
              <w:ind w:left="88"/>
              <w:jc w:val="left"/>
              <w:rPr>
                <w:b/>
                <w:sz w:val="18"/>
              </w:rPr>
            </w:pPr>
            <w:r>
              <w:rPr>
                <w:b/>
                <w:sz w:val="18"/>
              </w:rPr>
              <w:t>Uso</w:t>
            </w:r>
          </w:p>
        </w:tc>
        <w:tc>
          <w:tcPr>
            <w:tcW w:w="1669" w:type="dxa"/>
            <w:tcBorders>
              <w:top w:val="single" w:sz="4" w:space="0" w:color="000000"/>
              <w:bottom w:val="single" w:sz="4" w:space="0" w:color="000000"/>
            </w:tcBorders>
          </w:tcPr>
          <w:p>
            <w:pPr>
              <w:pStyle w:val="TableParagraph"/>
              <w:jc w:val="left"/>
              <w:rPr>
                <w:rFonts w:ascii="Times New Roman"/>
                <w:sz w:val="18"/>
              </w:rPr>
            </w:pPr>
          </w:p>
        </w:tc>
        <w:tc>
          <w:tcPr>
            <w:tcW w:w="3649" w:type="dxa"/>
            <w:tcBorders>
              <w:top w:val="single" w:sz="4" w:space="0" w:color="000000"/>
              <w:bottom w:val="single" w:sz="4" w:space="0" w:color="000000"/>
              <w:right w:val="single" w:sz="4" w:space="0" w:color="000000"/>
            </w:tcBorders>
          </w:tcPr>
          <w:p>
            <w:pPr>
              <w:pStyle w:val="TableParagraph"/>
              <w:spacing w:line="204" w:lineRule="exact"/>
              <w:ind w:left="444"/>
              <w:jc w:val="left"/>
              <w:rPr>
                <w:b/>
                <w:sz w:val="18"/>
              </w:rPr>
            </w:pPr>
            <w:r>
              <w:rPr>
                <w:b/>
                <w:sz w:val="18"/>
              </w:rPr>
              <w:t>Protección</w:t>
            </w:r>
          </w:p>
        </w:tc>
        <w:tc>
          <w:tcPr>
            <w:tcW w:w="1898" w:type="dxa"/>
            <w:tcBorders>
              <w:top w:val="single" w:sz="4" w:space="0" w:color="000000"/>
              <w:left w:val="single" w:sz="4" w:space="0" w:color="000000"/>
              <w:bottom w:val="single" w:sz="4" w:space="0" w:color="000000"/>
            </w:tcBorders>
          </w:tcPr>
          <w:p>
            <w:pPr>
              <w:pStyle w:val="TableParagraph"/>
              <w:ind w:left="740" w:right="493" w:hanging="221"/>
              <w:jc w:val="left"/>
              <w:rPr>
                <w:b/>
                <w:sz w:val="18"/>
              </w:rPr>
            </w:pPr>
            <w:r>
              <w:rPr>
                <w:b/>
                <w:sz w:val="18"/>
              </w:rPr>
              <w:t>Pendiente en %</w:t>
            </w:r>
          </w:p>
        </w:tc>
      </w:tr>
      <w:tr>
        <w:trPr>
          <w:trHeight w:val="225" w:hRule="atLeast"/>
        </w:trPr>
        <w:tc>
          <w:tcPr>
            <w:tcW w:w="1764" w:type="dxa"/>
            <w:tcBorders>
              <w:top w:val="single" w:sz="4" w:space="0" w:color="000000"/>
            </w:tcBorders>
          </w:tcPr>
          <w:p>
            <w:pPr>
              <w:pStyle w:val="TableParagraph"/>
              <w:jc w:val="left"/>
              <w:rPr>
                <w:rFonts w:ascii="Times New Roman"/>
                <w:sz w:val="16"/>
              </w:rPr>
            </w:pPr>
          </w:p>
        </w:tc>
        <w:tc>
          <w:tcPr>
            <w:tcW w:w="1669" w:type="dxa"/>
            <w:vMerge w:val="restart"/>
            <w:tcBorders>
              <w:top w:val="single" w:sz="4" w:space="0" w:color="000000"/>
            </w:tcBorders>
          </w:tcPr>
          <w:p>
            <w:pPr>
              <w:pStyle w:val="TableParagraph"/>
              <w:spacing w:before="120"/>
              <w:ind w:left="386"/>
              <w:jc w:val="left"/>
              <w:rPr>
                <w:b/>
                <w:sz w:val="18"/>
              </w:rPr>
            </w:pPr>
            <w:r>
              <w:rPr>
                <w:b/>
                <w:sz w:val="18"/>
              </w:rPr>
              <w:t>Peatones</w:t>
            </w:r>
          </w:p>
        </w:tc>
        <w:tc>
          <w:tcPr>
            <w:tcW w:w="3649" w:type="dxa"/>
            <w:tcBorders>
              <w:top w:val="single" w:sz="4" w:space="0" w:color="000000"/>
              <w:right w:val="single" w:sz="4" w:space="0" w:color="000000"/>
            </w:tcBorders>
          </w:tcPr>
          <w:p>
            <w:pPr>
              <w:pStyle w:val="TableParagraph"/>
              <w:spacing w:line="195" w:lineRule="exact" w:before="11"/>
              <w:ind w:left="444"/>
              <w:jc w:val="left"/>
              <w:rPr>
                <w:b/>
                <w:sz w:val="18"/>
              </w:rPr>
            </w:pPr>
            <w:r>
              <w:rPr>
                <w:b/>
                <w:sz w:val="18"/>
              </w:rPr>
              <w:t>Solado fijo</w:t>
            </w:r>
          </w:p>
        </w:tc>
        <w:tc>
          <w:tcPr>
            <w:tcW w:w="1898" w:type="dxa"/>
            <w:tcBorders>
              <w:top w:val="single" w:sz="4" w:space="0" w:color="000000"/>
              <w:left w:val="single" w:sz="4" w:space="0" w:color="000000"/>
            </w:tcBorders>
          </w:tcPr>
          <w:p>
            <w:pPr>
              <w:pStyle w:val="TableParagraph"/>
              <w:spacing w:line="199" w:lineRule="exact" w:before="7"/>
              <w:ind w:left="721"/>
              <w:jc w:val="left"/>
              <w:rPr>
                <w:b/>
                <w:sz w:val="12"/>
              </w:rPr>
            </w:pPr>
            <w:r>
              <w:rPr>
                <w:position w:val="-5"/>
                <w:sz w:val="18"/>
              </w:rPr>
              <w:t>1-5 </w:t>
            </w:r>
            <w:r>
              <w:rPr>
                <w:b/>
                <w:sz w:val="12"/>
              </w:rPr>
              <w:t>(1)</w:t>
            </w:r>
          </w:p>
        </w:tc>
      </w:tr>
      <w:tr>
        <w:trPr>
          <w:trHeight w:val="229" w:hRule="atLeast"/>
        </w:trPr>
        <w:tc>
          <w:tcPr>
            <w:tcW w:w="1764" w:type="dxa"/>
          </w:tcPr>
          <w:p>
            <w:pPr>
              <w:pStyle w:val="TableParagraph"/>
              <w:spacing w:before="2"/>
              <w:ind w:left="88"/>
              <w:jc w:val="left"/>
              <w:rPr>
                <w:b/>
                <w:sz w:val="18"/>
              </w:rPr>
            </w:pPr>
            <w:r>
              <w:rPr>
                <w:b/>
                <w:sz w:val="18"/>
              </w:rPr>
              <w:t>Transitables</w:t>
            </w:r>
          </w:p>
        </w:tc>
        <w:tc>
          <w:tcPr>
            <w:tcW w:w="1669" w:type="dxa"/>
            <w:vMerge/>
            <w:tcBorders>
              <w:top w:val="nil"/>
            </w:tcBorders>
          </w:tcPr>
          <w:p>
            <w:pPr>
              <w:rPr>
                <w:sz w:val="2"/>
                <w:szCs w:val="2"/>
              </w:rPr>
            </w:pPr>
          </w:p>
        </w:tc>
        <w:tc>
          <w:tcPr>
            <w:tcW w:w="3649" w:type="dxa"/>
            <w:tcBorders>
              <w:right w:val="single" w:sz="4" w:space="0" w:color="000000"/>
            </w:tcBorders>
          </w:tcPr>
          <w:p>
            <w:pPr>
              <w:pStyle w:val="TableParagraph"/>
              <w:spacing w:line="193" w:lineRule="exact" w:before="16"/>
              <w:ind w:left="444"/>
              <w:jc w:val="left"/>
              <w:rPr>
                <w:b/>
                <w:sz w:val="18"/>
              </w:rPr>
            </w:pPr>
            <w:r>
              <w:rPr>
                <w:b/>
                <w:sz w:val="18"/>
              </w:rPr>
              <w:t>Solado flotante</w:t>
            </w:r>
          </w:p>
        </w:tc>
        <w:tc>
          <w:tcPr>
            <w:tcW w:w="1898" w:type="dxa"/>
            <w:tcBorders>
              <w:left w:val="single" w:sz="4" w:space="0" w:color="000000"/>
            </w:tcBorders>
          </w:tcPr>
          <w:p>
            <w:pPr>
              <w:pStyle w:val="TableParagraph"/>
              <w:spacing w:line="192" w:lineRule="exact" w:before="17"/>
              <w:ind w:left="798" w:right="793"/>
              <w:rPr>
                <w:sz w:val="18"/>
              </w:rPr>
            </w:pPr>
            <w:r>
              <w:rPr>
                <w:sz w:val="18"/>
              </w:rPr>
              <w:t>1-5</w:t>
            </w:r>
          </w:p>
        </w:tc>
      </w:tr>
      <w:tr>
        <w:trPr>
          <w:trHeight w:val="213" w:hRule="atLeast"/>
        </w:trPr>
        <w:tc>
          <w:tcPr>
            <w:tcW w:w="1764" w:type="dxa"/>
            <w:tcBorders>
              <w:bottom w:val="single" w:sz="4" w:space="0" w:color="000000"/>
            </w:tcBorders>
          </w:tcPr>
          <w:p>
            <w:pPr>
              <w:pStyle w:val="TableParagraph"/>
              <w:jc w:val="left"/>
              <w:rPr>
                <w:rFonts w:ascii="Times New Roman"/>
                <w:sz w:val="14"/>
              </w:rPr>
            </w:pPr>
          </w:p>
        </w:tc>
        <w:tc>
          <w:tcPr>
            <w:tcW w:w="1669" w:type="dxa"/>
            <w:tcBorders>
              <w:bottom w:val="single" w:sz="4" w:space="0" w:color="000000"/>
            </w:tcBorders>
          </w:tcPr>
          <w:p>
            <w:pPr>
              <w:pStyle w:val="TableParagraph"/>
              <w:spacing w:line="189" w:lineRule="exact" w:before="4"/>
              <w:ind w:left="386"/>
              <w:jc w:val="left"/>
              <w:rPr>
                <w:b/>
                <w:sz w:val="18"/>
              </w:rPr>
            </w:pPr>
            <w:r>
              <w:rPr>
                <w:b/>
                <w:sz w:val="18"/>
              </w:rPr>
              <w:t>Vehículos</w:t>
            </w:r>
          </w:p>
        </w:tc>
        <w:tc>
          <w:tcPr>
            <w:tcW w:w="3649" w:type="dxa"/>
            <w:tcBorders>
              <w:bottom w:val="single" w:sz="4" w:space="0" w:color="000000"/>
              <w:right w:val="single" w:sz="4" w:space="0" w:color="000000"/>
            </w:tcBorders>
          </w:tcPr>
          <w:p>
            <w:pPr>
              <w:pStyle w:val="TableParagraph"/>
              <w:spacing w:line="189" w:lineRule="exact" w:before="4"/>
              <w:ind w:left="444"/>
              <w:jc w:val="left"/>
              <w:rPr>
                <w:b/>
                <w:sz w:val="18"/>
              </w:rPr>
            </w:pPr>
            <w:r>
              <w:rPr>
                <w:b/>
                <w:sz w:val="18"/>
              </w:rPr>
              <w:t>Capa de rodadura</w:t>
            </w:r>
          </w:p>
        </w:tc>
        <w:tc>
          <w:tcPr>
            <w:tcW w:w="1898" w:type="dxa"/>
            <w:tcBorders>
              <w:left w:val="single" w:sz="4" w:space="0" w:color="000000"/>
              <w:bottom w:val="single" w:sz="4" w:space="0" w:color="000000"/>
            </w:tcBorders>
          </w:tcPr>
          <w:p>
            <w:pPr>
              <w:pStyle w:val="TableParagraph"/>
              <w:spacing w:line="193" w:lineRule="exact"/>
              <w:ind w:left="721"/>
              <w:jc w:val="left"/>
              <w:rPr>
                <w:b/>
                <w:sz w:val="12"/>
              </w:rPr>
            </w:pPr>
            <w:r>
              <w:rPr>
                <w:position w:val="-5"/>
                <w:sz w:val="18"/>
              </w:rPr>
              <w:t>1-5 </w:t>
            </w:r>
            <w:r>
              <w:rPr>
                <w:b/>
                <w:sz w:val="12"/>
              </w:rPr>
              <w:t>(1)</w:t>
            </w:r>
          </w:p>
        </w:tc>
      </w:tr>
      <w:tr>
        <w:trPr>
          <w:trHeight w:val="228" w:hRule="atLeast"/>
        </w:trPr>
        <w:tc>
          <w:tcPr>
            <w:tcW w:w="1764" w:type="dxa"/>
            <w:vMerge w:val="restart"/>
            <w:tcBorders>
              <w:top w:val="single" w:sz="4" w:space="0" w:color="000000"/>
              <w:bottom w:val="single" w:sz="4" w:space="0" w:color="000000"/>
            </w:tcBorders>
          </w:tcPr>
          <w:p>
            <w:pPr>
              <w:pStyle w:val="TableParagraph"/>
              <w:spacing w:before="120"/>
              <w:ind w:left="88"/>
              <w:jc w:val="left"/>
              <w:rPr>
                <w:b/>
                <w:sz w:val="18"/>
              </w:rPr>
            </w:pPr>
            <w:r>
              <w:rPr>
                <w:b/>
                <w:sz w:val="18"/>
              </w:rPr>
              <w:t>No transitables</w:t>
            </w:r>
          </w:p>
        </w:tc>
        <w:tc>
          <w:tcPr>
            <w:tcW w:w="1669" w:type="dxa"/>
            <w:vMerge w:val="restart"/>
            <w:tcBorders>
              <w:top w:val="single" w:sz="4" w:space="0" w:color="000000"/>
              <w:bottom w:val="single" w:sz="4" w:space="0" w:color="000000"/>
            </w:tcBorders>
          </w:tcPr>
          <w:p>
            <w:pPr>
              <w:pStyle w:val="TableParagraph"/>
              <w:jc w:val="left"/>
              <w:rPr>
                <w:rFonts w:ascii="Times New Roman"/>
                <w:sz w:val="18"/>
              </w:rPr>
            </w:pPr>
          </w:p>
        </w:tc>
        <w:tc>
          <w:tcPr>
            <w:tcW w:w="3649" w:type="dxa"/>
            <w:tcBorders>
              <w:top w:val="single" w:sz="4" w:space="0" w:color="000000"/>
              <w:right w:val="single" w:sz="4" w:space="0" w:color="000000"/>
            </w:tcBorders>
          </w:tcPr>
          <w:p>
            <w:pPr>
              <w:pStyle w:val="TableParagraph"/>
              <w:spacing w:line="198" w:lineRule="exact" w:before="11"/>
              <w:ind w:left="444"/>
              <w:jc w:val="left"/>
              <w:rPr>
                <w:b/>
                <w:sz w:val="18"/>
              </w:rPr>
            </w:pPr>
            <w:r>
              <w:rPr>
                <w:b/>
                <w:sz w:val="18"/>
              </w:rPr>
              <w:t>Grava</w:t>
            </w:r>
          </w:p>
        </w:tc>
        <w:tc>
          <w:tcPr>
            <w:tcW w:w="1898" w:type="dxa"/>
            <w:tcBorders>
              <w:top w:val="single" w:sz="4" w:space="0" w:color="000000"/>
              <w:left w:val="single" w:sz="4" w:space="0" w:color="000000"/>
            </w:tcBorders>
          </w:tcPr>
          <w:p>
            <w:pPr>
              <w:pStyle w:val="TableParagraph"/>
              <w:spacing w:line="197" w:lineRule="exact" w:before="12"/>
              <w:ind w:left="798" w:right="793"/>
              <w:rPr>
                <w:sz w:val="18"/>
              </w:rPr>
            </w:pPr>
            <w:r>
              <w:rPr>
                <w:sz w:val="18"/>
              </w:rPr>
              <w:t>1-5</w:t>
            </w:r>
          </w:p>
        </w:tc>
      </w:tr>
      <w:tr>
        <w:trPr>
          <w:trHeight w:val="213" w:hRule="atLeast"/>
        </w:trPr>
        <w:tc>
          <w:tcPr>
            <w:tcW w:w="1764" w:type="dxa"/>
            <w:vMerge/>
            <w:tcBorders>
              <w:top w:val="nil"/>
              <w:bottom w:val="single" w:sz="4" w:space="0" w:color="000000"/>
            </w:tcBorders>
          </w:tcPr>
          <w:p>
            <w:pPr>
              <w:rPr>
                <w:sz w:val="2"/>
                <w:szCs w:val="2"/>
              </w:rPr>
            </w:pPr>
          </w:p>
        </w:tc>
        <w:tc>
          <w:tcPr>
            <w:tcW w:w="1669" w:type="dxa"/>
            <w:vMerge/>
            <w:tcBorders>
              <w:top w:val="nil"/>
              <w:bottom w:val="single" w:sz="4" w:space="0" w:color="000000"/>
            </w:tcBorders>
          </w:tcPr>
          <w:p>
            <w:pPr>
              <w:rPr>
                <w:sz w:val="2"/>
                <w:szCs w:val="2"/>
              </w:rPr>
            </w:pPr>
          </w:p>
        </w:tc>
        <w:tc>
          <w:tcPr>
            <w:tcW w:w="3649" w:type="dxa"/>
            <w:tcBorders>
              <w:bottom w:val="single" w:sz="4" w:space="0" w:color="000000"/>
              <w:right w:val="single" w:sz="4" w:space="0" w:color="000000"/>
            </w:tcBorders>
          </w:tcPr>
          <w:p>
            <w:pPr>
              <w:pStyle w:val="TableParagraph"/>
              <w:spacing w:line="189" w:lineRule="exact" w:before="3"/>
              <w:ind w:left="444"/>
              <w:jc w:val="left"/>
              <w:rPr>
                <w:b/>
                <w:sz w:val="18"/>
              </w:rPr>
            </w:pPr>
            <w:r>
              <w:rPr>
                <w:b/>
                <w:sz w:val="18"/>
              </w:rPr>
              <w:t>Lámina autoprotegida</w:t>
            </w:r>
          </w:p>
        </w:tc>
        <w:tc>
          <w:tcPr>
            <w:tcW w:w="1898" w:type="dxa"/>
            <w:tcBorders>
              <w:left w:val="single" w:sz="4" w:space="0" w:color="000000"/>
              <w:bottom w:val="single" w:sz="4" w:space="0" w:color="000000"/>
            </w:tcBorders>
          </w:tcPr>
          <w:p>
            <w:pPr>
              <w:pStyle w:val="TableParagraph"/>
              <w:spacing w:line="188" w:lineRule="exact" w:before="5"/>
              <w:ind w:left="770"/>
              <w:jc w:val="left"/>
              <w:rPr>
                <w:sz w:val="18"/>
              </w:rPr>
            </w:pPr>
            <w:r>
              <w:rPr>
                <w:sz w:val="18"/>
              </w:rPr>
              <w:t>1-15</w:t>
            </w:r>
          </w:p>
        </w:tc>
      </w:tr>
      <w:tr>
        <w:trPr>
          <w:trHeight w:val="236" w:hRule="atLeast"/>
        </w:trPr>
        <w:tc>
          <w:tcPr>
            <w:tcW w:w="1764" w:type="dxa"/>
            <w:tcBorders>
              <w:top w:val="single" w:sz="4" w:space="0" w:color="000000"/>
              <w:bottom w:val="single" w:sz="4" w:space="0" w:color="000000"/>
            </w:tcBorders>
          </w:tcPr>
          <w:p>
            <w:pPr>
              <w:pStyle w:val="TableParagraph"/>
              <w:spacing w:line="205" w:lineRule="exact" w:before="11"/>
              <w:ind w:left="88"/>
              <w:jc w:val="left"/>
              <w:rPr>
                <w:b/>
                <w:sz w:val="18"/>
              </w:rPr>
            </w:pPr>
            <w:r>
              <w:rPr>
                <w:b/>
                <w:sz w:val="18"/>
              </w:rPr>
              <w:t>Ajardinadas</w:t>
            </w:r>
          </w:p>
        </w:tc>
        <w:tc>
          <w:tcPr>
            <w:tcW w:w="1669" w:type="dxa"/>
            <w:tcBorders>
              <w:top w:val="single" w:sz="4" w:space="0" w:color="000000"/>
              <w:bottom w:val="single" w:sz="4" w:space="0" w:color="000000"/>
            </w:tcBorders>
          </w:tcPr>
          <w:p>
            <w:pPr>
              <w:pStyle w:val="TableParagraph"/>
              <w:jc w:val="left"/>
              <w:rPr>
                <w:rFonts w:ascii="Times New Roman"/>
                <w:sz w:val="16"/>
              </w:rPr>
            </w:pPr>
          </w:p>
        </w:tc>
        <w:tc>
          <w:tcPr>
            <w:tcW w:w="3649" w:type="dxa"/>
            <w:tcBorders>
              <w:top w:val="single" w:sz="4" w:space="0" w:color="000000"/>
              <w:bottom w:val="single" w:sz="4" w:space="0" w:color="000000"/>
              <w:right w:val="single" w:sz="4" w:space="0" w:color="000000"/>
            </w:tcBorders>
          </w:tcPr>
          <w:p>
            <w:pPr>
              <w:pStyle w:val="TableParagraph"/>
              <w:spacing w:line="205" w:lineRule="exact" w:before="11"/>
              <w:ind w:left="443"/>
              <w:jc w:val="left"/>
              <w:rPr>
                <w:b/>
                <w:sz w:val="18"/>
              </w:rPr>
            </w:pPr>
            <w:r>
              <w:rPr>
                <w:b/>
                <w:sz w:val="18"/>
              </w:rPr>
              <w:t>Tierra vegetal</w:t>
            </w:r>
          </w:p>
        </w:tc>
        <w:tc>
          <w:tcPr>
            <w:tcW w:w="1898" w:type="dxa"/>
            <w:tcBorders>
              <w:top w:val="single" w:sz="4" w:space="0" w:color="000000"/>
              <w:left w:val="single" w:sz="4" w:space="0" w:color="000000"/>
              <w:bottom w:val="single" w:sz="4" w:space="0" w:color="000000"/>
            </w:tcBorders>
          </w:tcPr>
          <w:p>
            <w:pPr>
              <w:pStyle w:val="TableParagraph"/>
              <w:spacing w:line="204" w:lineRule="exact" w:before="12"/>
              <w:ind w:left="798" w:right="793"/>
              <w:rPr>
                <w:sz w:val="18"/>
              </w:rPr>
            </w:pPr>
            <w:r>
              <w:rPr>
                <w:sz w:val="18"/>
              </w:rPr>
              <w:t>1-5</w:t>
            </w:r>
          </w:p>
        </w:tc>
      </w:tr>
    </w:tbl>
    <w:p>
      <w:pPr>
        <w:tabs>
          <w:tab w:pos="1016" w:val="left" w:leader="none"/>
        </w:tabs>
        <w:spacing w:before="0"/>
        <w:ind w:left="674" w:right="0" w:firstLine="0"/>
        <w:jc w:val="left"/>
        <w:rPr>
          <w:sz w:val="16"/>
        </w:rPr>
      </w:pPr>
      <w:r>
        <w:rPr>
          <w:position w:val="6"/>
          <w:sz w:val="10"/>
        </w:rPr>
        <w:t>(1)</w:t>
        <w:tab/>
      </w:r>
      <w:r>
        <w:rPr>
          <w:sz w:val="16"/>
        </w:rPr>
        <w:t>Para rampas no se aplica la limitación de pendiente máxima.</w:t>
      </w:r>
    </w:p>
    <w:p>
      <w:pPr>
        <w:pStyle w:val="ListParagraph"/>
        <w:numPr>
          <w:ilvl w:val="0"/>
          <w:numId w:val="41"/>
        </w:numPr>
        <w:tabs>
          <w:tab w:pos="672" w:val="left" w:leader="none"/>
        </w:tabs>
        <w:spacing w:line="240" w:lineRule="auto" w:before="59" w:after="0"/>
        <w:ind w:left="672" w:right="392" w:hanging="454"/>
        <w:jc w:val="both"/>
        <w:rPr>
          <w:sz w:val="20"/>
        </w:rPr>
      </w:pPr>
      <w:r>
        <w:rPr>
          <w:sz w:val="20"/>
        </w:rPr>
        <w:t>El sistema de </w:t>
      </w:r>
      <w:r>
        <w:rPr>
          <w:i/>
          <w:sz w:val="20"/>
        </w:rPr>
        <w:t>formación de pendientes </w:t>
      </w:r>
      <w:r>
        <w:rPr>
          <w:sz w:val="20"/>
        </w:rPr>
        <w:t>en cubiertas inclinadas, cuando éstas no tengan capa de </w:t>
      </w:r>
      <w:r>
        <w:rPr>
          <w:i/>
          <w:sz w:val="20"/>
        </w:rPr>
        <w:t>impermeabilización</w:t>
      </w:r>
      <w:r>
        <w:rPr>
          <w:sz w:val="20"/>
        </w:rPr>
        <w:t>, debe tener una pendiente hacia los elementos de evacuación de agua mayor que la obtenida en la tabla 2.10 en función del tipo de</w:t>
      </w:r>
      <w:r>
        <w:rPr>
          <w:spacing w:val="-11"/>
          <w:sz w:val="20"/>
        </w:rPr>
        <w:t> </w:t>
      </w:r>
      <w:r>
        <w:rPr>
          <w:sz w:val="20"/>
        </w:rPr>
        <w:t>tejado.</w:t>
      </w:r>
    </w:p>
    <w:p>
      <w:pPr>
        <w:spacing w:before="60" w:after="7"/>
        <w:ind w:left="2934" w:right="0" w:firstLine="0"/>
        <w:jc w:val="both"/>
        <w:rPr>
          <w:b/>
          <w:sz w:val="18"/>
        </w:rPr>
      </w:pPr>
      <w:r>
        <w:rPr/>
        <w:pict>
          <v:line style="position:absolute;mso-position-horizontal-relative:page;mso-position-vertical-relative:paragraph;z-index:251736064" from="427.079987pt,13.722203pt" to="495.719987pt,13.722203pt" stroked="true" strokeweight=".48001pt" strokecolor="#000000">
            <v:stroke dashstyle="solid"/>
            <w10:wrap type="none"/>
          </v:line>
        </w:pict>
      </w:r>
      <w:r>
        <w:rPr/>
        <w:pict>
          <v:group style="position:absolute;margin-left:113.82pt;margin-top:45.042229pt;width:381.9pt;height:252.3pt;mso-position-horizontal-relative:page;mso-position-vertical-relative:paragraph;z-index:-267233280" coordorigin="2276,901" coordsize="7638,5046">
            <v:line style="position:absolute" from="2276,906" to="9914,906" stroked="true" strokeweight=".47998pt" strokecolor="#000000">
              <v:stroke dashstyle="solid"/>
            </v:line>
            <v:shape style="position:absolute;left:2671;top:1774;width:7244;height:216" coordorigin="2671,1774" coordsize="7244,216" path="m2671,1774l9914,1774m2671,1990l9914,1990e" filled="false" stroked="true" strokeweight=".48001pt" strokecolor="#000000">
              <v:path arrowok="t"/>
              <v:stroke dashstyle="solid"/>
            </v:shape>
            <v:line style="position:absolute" from="2276,5462" to="9914,5462" stroked="true" strokeweight=".47998pt" strokecolor="#000000">
              <v:stroke dashstyle="solid"/>
            </v:line>
            <v:line style="position:absolute" from="2276,5942" to="2671,5942" stroked="true" strokeweight=".47998pt" strokecolor="#000000">
              <v:stroke dashstyle="solid"/>
            </v:line>
            <v:line style="position:absolute" from="2676,910" to="2676,5947" stroked="true" strokeweight=".48pt" strokecolor="#000000">
              <v:stroke dashstyle="solid"/>
            </v:line>
            <v:shape style="position:absolute;left:2680;top:5942;width:7234;height:2" coordorigin="2681,5942" coordsize="7234,0" path="m2681,5942l8542,5942m8551,5942l9914,5942e" filled="false" stroked="true" strokeweight=".47998pt" strokecolor="#000000">
              <v:path arrowok="t"/>
              <v:stroke dashstyle="solid"/>
            </v:shape>
            <v:shape style="position:absolute;left:2745;top:1233;width:619;height:750" type="#_x0000_t202" filled="false" stroked="false">
              <v:textbox inset="0,0,0,0">
                <w:txbxContent>
                  <w:p>
                    <w:pPr>
                      <w:spacing w:line="207" w:lineRule="exact" w:before="0"/>
                      <w:ind w:left="0" w:right="0" w:firstLine="0"/>
                      <w:jc w:val="left"/>
                      <w:rPr>
                        <w:b/>
                        <w:sz w:val="12"/>
                      </w:rPr>
                    </w:pPr>
                    <w:r>
                      <w:rPr>
                        <w:b/>
                        <w:sz w:val="18"/>
                      </w:rPr>
                      <w:t>Teja</w:t>
                    </w:r>
                    <w:r>
                      <w:rPr>
                        <w:b/>
                        <w:spacing w:val="-3"/>
                        <w:sz w:val="18"/>
                      </w:rPr>
                      <w:t> </w:t>
                    </w:r>
                    <w:r>
                      <w:rPr>
                        <w:b/>
                        <w:position w:val="6"/>
                        <w:sz w:val="12"/>
                      </w:rPr>
                      <w:t>(3)</w:t>
                    </w:r>
                  </w:p>
                  <w:p>
                    <w:pPr>
                      <w:spacing w:line="240" w:lineRule="auto" w:before="1"/>
                      <w:rPr>
                        <w:sz w:val="29"/>
                      </w:rPr>
                    </w:pPr>
                  </w:p>
                  <w:p>
                    <w:pPr>
                      <w:spacing w:before="1"/>
                      <w:ind w:left="0" w:right="0" w:firstLine="0"/>
                      <w:jc w:val="left"/>
                      <w:rPr>
                        <w:b/>
                        <w:sz w:val="18"/>
                      </w:rPr>
                    </w:pPr>
                    <w:r>
                      <w:rPr>
                        <w:b/>
                        <w:sz w:val="18"/>
                      </w:rPr>
                      <w:t>Pizarra</w:t>
                    </w:r>
                  </w:p>
                </w:txbxContent>
              </v:textbox>
              <w10:wrap type="none"/>
            </v:shape>
            <v:shape style="position:absolute;left:2745;top:3418;width:662;height:616" type="#_x0000_t202" filled="false" stroked="false">
              <v:textbox inset="0,0,0,0">
                <w:txbxContent>
                  <w:p>
                    <w:pPr>
                      <w:spacing w:line="240" w:lineRule="auto" w:before="0"/>
                      <w:ind w:left="0" w:right="1" w:firstLine="0"/>
                      <w:jc w:val="left"/>
                      <w:rPr>
                        <w:b/>
                        <w:sz w:val="18"/>
                      </w:rPr>
                    </w:pPr>
                    <w:r>
                      <w:rPr>
                        <w:b/>
                        <w:sz w:val="18"/>
                      </w:rPr>
                      <w:t>Placas y perfiles</w:t>
                    </w:r>
                  </w:p>
                </w:txbxContent>
              </v:textbox>
              <w10:wrap type="none"/>
            </v:shape>
            <w10:wrap type="none"/>
          </v:group>
        </w:pict>
      </w:r>
      <w:r>
        <w:rPr/>
        <w:pict>
          <v:line style="position:absolute;mso-position-horizontal-relative:page;mso-position-vertical-relative:paragraph;z-index:-267232256" from="242.100006pt,77.862206pt" to="495.720006pt,77.862206pt" stroked="true" strokeweight=".48001pt" strokecolor="#000000">
            <v:stroke dashstyle="solid"/>
            <w10:wrap type="none"/>
          </v:line>
        </w:pict>
      </w:r>
      <w:r>
        <w:rPr/>
        <w:pict>
          <v:shape style="position:absolute;margin-left:119.148361pt;margin-top:134.203369pt;width:12.35pt;height:49.9pt;mso-position-horizontal-relative:page;mso-position-vertical-relative:paragraph;z-index:251741184" type="#_x0000_t202" filled="false" stroked="false">
            <v:textbox inset="0,0,0,0" style="layout-flow:vertical;mso-layout-flow-alt:bottom-to-top">
              <w:txbxContent>
                <w:p>
                  <w:pPr>
                    <w:spacing w:before="16"/>
                    <w:ind w:left="20" w:right="0" w:firstLine="0"/>
                    <w:jc w:val="left"/>
                    <w:rPr>
                      <w:b/>
                      <w:sz w:val="12"/>
                    </w:rPr>
                  </w:pPr>
                  <w:r>
                    <w:rPr>
                      <w:b/>
                      <w:position w:val="-5"/>
                      <w:sz w:val="18"/>
                    </w:rPr>
                    <w:t>Tejado </w:t>
                  </w:r>
                  <w:r>
                    <w:rPr>
                      <w:b/>
                      <w:sz w:val="12"/>
                    </w:rPr>
                    <w:t>(1) (2)</w:t>
                  </w:r>
                </w:p>
              </w:txbxContent>
            </v:textbox>
            <w10:wrap type="none"/>
          </v:shape>
        </w:pict>
      </w:r>
      <w:r>
        <w:rPr>
          <w:b/>
          <w:sz w:val="18"/>
        </w:rPr>
        <w:t>Tabla 2.10 Pendientes de cubiertas inclinadas</w:t>
      </w:r>
    </w:p>
    <w:tbl>
      <w:tblPr>
        <w:tblW w:w="0" w:type="auto"/>
        <w:jc w:val="left"/>
        <w:tblInd w:w="2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8"/>
        <w:gridCol w:w="3704"/>
        <w:gridCol w:w="1164"/>
      </w:tblGrid>
      <w:tr>
        <w:trPr>
          <w:trHeight w:val="631" w:hRule="atLeast"/>
        </w:trPr>
        <w:tc>
          <w:tcPr>
            <w:tcW w:w="1368" w:type="dxa"/>
            <w:vMerge w:val="restart"/>
          </w:tcPr>
          <w:p>
            <w:pPr>
              <w:pStyle w:val="TableParagraph"/>
              <w:jc w:val="left"/>
              <w:rPr>
                <w:rFonts w:ascii="Times New Roman"/>
                <w:sz w:val="18"/>
              </w:rPr>
            </w:pPr>
          </w:p>
        </w:tc>
        <w:tc>
          <w:tcPr>
            <w:tcW w:w="3704" w:type="dxa"/>
            <w:tcBorders>
              <w:right w:val="single" w:sz="4" w:space="0" w:color="000000"/>
            </w:tcBorders>
          </w:tcPr>
          <w:p>
            <w:pPr>
              <w:pStyle w:val="TableParagraph"/>
              <w:jc w:val="left"/>
              <w:rPr>
                <w:rFonts w:ascii="Times New Roman"/>
                <w:sz w:val="18"/>
              </w:rPr>
            </w:pPr>
          </w:p>
        </w:tc>
        <w:tc>
          <w:tcPr>
            <w:tcW w:w="1164" w:type="dxa"/>
            <w:tcBorders>
              <w:left w:val="single" w:sz="4" w:space="0" w:color="000000"/>
            </w:tcBorders>
          </w:tcPr>
          <w:p>
            <w:pPr>
              <w:pStyle w:val="TableParagraph"/>
              <w:spacing w:before="2"/>
              <w:ind w:left="248" w:right="47"/>
              <w:rPr>
                <w:b/>
                <w:sz w:val="18"/>
              </w:rPr>
            </w:pPr>
            <w:r>
              <w:rPr>
                <w:b/>
                <w:sz w:val="18"/>
              </w:rPr>
              <w:t>Pendiente mínima</w:t>
            </w:r>
          </w:p>
          <w:p>
            <w:pPr>
              <w:pStyle w:val="TableParagraph"/>
              <w:spacing w:line="194" w:lineRule="exact"/>
              <w:ind w:left="244" w:right="47"/>
              <w:rPr>
                <w:b/>
                <w:sz w:val="18"/>
              </w:rPr>
            </w:pPr>
            <w:r>
              <w:rPr>
                <w:b/>
                <w:sz w:val="18"/>
              </w:rPr>
              <w:t>en %</w:t>
            </w:r>
          </w:p>
        </w:tc>
      </w:tr>
      <w:tr>
        <w:trPr>
          <w:trHeight w:val="217" w:hRule="atLeast"/>
        </w:trPr>
        <w:tc>
          <w:tcPr>
            <w:tcW w:w="1368" w:type="dxa"/>
            <w:vMerge/>
            <w:tcBorders>
              <w:top w:val="nil"/>
            </w:tcBorders>
          </w:tcPr>
          <w:p>
            <w:pPr>
              <w:rPr>
                <w:sz w:val="2"/>
                <w:szCs w:val="2"/>
              </w:rPr>
            </w:pPr>
          </w:p>
        </w:tc>
        <w:tc>
          <w:tcPr>
            <w:tcW w:w="3704" w:type="dxa"/>
            <w:tcBorders>
              <w:right w:val="single" w:sz="4" w:space="0" w:color="000000"/>
            </w:tcBorders>
          </w:tcPr>
          <w:p>
            <w:pPr>
              <w:pStyle w:val="TableParagraph"/>
              <w:spacing w:line="195" w:lineRule="exact" w:before="2"/>
              <w:ind w:left="68"/>
              <w:jc w:val="left"/>
              <w:rPr>
                <w:b/>
                <w:sz w:val="18"/>
              </w:rPr>
            </w:pPr>
            <w:r>
              <w:rPr>
                <w:b/>
                <w:sz w:val="18"/>
              </w:rPr>
              <w:t>Teja curva</w:t>
            </w:r>
          </w:p>
        </w:tc>
        <w:tc>
          <w:tcPr>
            <w:tcW w:w="1164" w:type="dxa"/>
            <w:tcBorders>
              <w:left w:val="single" w:sz="4" w:space="0" w:color="000000"/>
            </w:tcBorders>
          </w:tcPr>
          <w:p>
            <w:pPr>
              <w:pStyle w:val="TableParagraph"/>
              <w:spacing w:line="194" w:lineRule="exact" w:before="4"/>
              <w:ind w:right="379"/>
              <w:jc w:val="right"/>
              <w:rPr>
                <w:sz w:val="18"/>
              </w:rPr>
            </w:pPr>
            <w:r>
              <w:rPr>
                <w:sz w:val="18"/>
              </w:rPr>
              <w:t>32</w:t>
            </w:r>
          </w:p>
        </w:tc>
      </w:tr>
      <w:tr>
        <w:trPr>
          <w:trHeight w:val="216" w:hRule="atLeast"/>
        </w:trPr>
        <w:tc>
          <w:tcPr>
            <w:tcW w:w="1368" w:type="dxa"/>
            <w:vMerge/>
            <w:tcBorders>
              <w:top w:val="nil"/>
            </w:tcBorders>
          </w:tcPr>
          <w:p>
            <w:pPr>
              <w:rPr>
                <w:sz w:val="2"/>
                <w:szCs w:val="2"/>
              </w:rPr>
            </w:pPr>
          </w:p>
        </w:tc>
        <w:tc>
          <w:tcPr>
            <w:tcW w:w="3704" w:type="dxa"/>
            <w:tcBorders>
              <w:right w:val="single" w:sz="4" w:space="0" w:color="000000"/>
            </w:tcBorders>
          </w:tcPr>
          <w:p>
            <w:pPr>
              <w:pStyle w:val="TableParagraph"/>
              <w:spacing w:line="196" w:lineRule="exact" w:before="1"/>
              <w:ind w:left="68"/>
              <w:jc w:val="left"/>
              <w:rPr>
                <w:b/>
                <w:sz w:val="18"/>
              </w:rPr>
            </w:pPr>
            <w:r>
              <w:rPr>
                <w:b/>
                <w:sz w:val="18"/>
              </w:rPr>
              <w:t>Teja mixta y plana monocanal</w:t>
            </w:r>
          </w:p>
        </w:tc>
        <w:tc>
          <w:tcPr>
            <w:tcW w:w="1164" w:type="dxa"/>
            <w:tcBorders>
              <w:left w:val="single" w:sz="4" w:space="0" w:color="000000"/>
            </w:tcBorders>
          </w:tcPr>
          <w:p>
            <w:pPr>
              <w:pStyle w:val="TableParagraph"/>
              <w:spacing w:line="194" w:lineRule="exact" w:before="2"/>
              <w:ind w:right="379"/>
              <w:jc w:val="right"/>
              <w:rPr>
                <w:sz w:val="18"/>
              </w:rPr>
            </w:pPr>
            <w:r>
              <w:rPr>
                <w:sz w:val="18"/>
              </w:rPr>
              <w:t>30</w:t>
            </w:r>
          </w:p>
        </w:tc>
      </w:tr>
      <w:tr>
        <w:trPr>
          <w:trHeight w:val="217" w:hRule="atLeast"/>
        </w:trPr>
        <w:tc>
          <w:tcPr>
            <w:tcW w:w="1368" w:type="dxa"/>
            <w:vMerge/>
            <w:tcBorders>
              <w:top w:val="nil"/>
            </w:tcBorders>
          </w:tcPr>
          <w:p>
            <w:pPr>
              <w:rPr>
                <w:sz w:val="2"/>
                <w:szCs w:val="2"/>
              </w:rPr>
            </w:pPr>
          </w:p>
        </w:tc>
        <w:tc>
          <w:tcPr>
            <w:tcW w:w="3704" w:type="dxa"/>
            <w:tcBorders>
              <w:right w:val="single" w:sz="4" w:space="0" w:color="000000"/>
            </w:tcBorders>
          </w:tcPr>
          <w:p>
            <w:pPr>
              <w:pStyle w:val="TableParagraph"/>
              <w:spacing w:line="196" w:lineRule="exact" w:before="1"/>
              <w:ind w:left="68"/>
              <w:jc w:val="left"/>
              <w:rPr>
                <w:b/>
                <w:sz w:val="18"/>
              </w:rPr>
            </w:pPr>
            <w:r>
              <w:rPr>
                <w:b/>
                <w:sz w:val="18"/>
              </w:rPr>
              <w:t>Teja plana marsellesa o alicantina</w:t>
            </w:r>
          </w:p>
        </w:tc>
        <w:tc>
          <w:tcPr>
            <w:tcW w:w="1164" w:type="dxa"/>
            <w:tcBorders>
              <w:left w:val="single" w:sz="4" w:space="0" w:color="000000"/>
            </w:tcBorders>
          </w:tcPr>
          <w:p>
            <w:pPr>
              <w:pStyle w:val="TableParagraph"/>
              <w:spacing w:line="194" w:lineRule="exact" w:before="2"/>
              <w:ind w:right="379"/>
              <w:jc w:val="right"/>
              <w:rPr>
                <w:sz w:val="18"/>
              </w:rPr>
            </w:pPr>
            <w:r>
              <w:rPr>
                <w:sz w:val="18"/>
              </w:rPr>
              <w:t>40</w:t>
            </w:r>
          </w:p>
        </w:tc>
      </w:tr>
      <w:tr>
        <w:trPr>
          <w:trHeight w:val="217" w:hRule="atLeast"/>
        </w:trPr>
        <w:tc>
          <w:tcPr>
            <w:tcW w:w="1368" w:type="dxa"/>
            <w:vMerge/>
            <w:tcBorders>
              <w:top w:val="nil"/>
            </w:tcBorders>
          </w:tcPr>
          <w:p>
            <w:pPr>
              <w:rPr>
                <w:sz w:val="2"/>
                <w:szCs w:val="2"/>
              </w:rPr>
            </w:pPr>
          </w:p>
        </w:tc>
        <w:tc>
          <w:tcPr>
            <w:tcW w:w="3704" w:type="dxa"/>
            <w:tcBorders>
              <w:right w:val="single" w:sz="4" w:space="0" w:color="000000"/>
            </w:tcBorders>
          </w:tcPr>
          <w:p>
            <w:pPr>
              <w:pStyle w:val="TableParagraph"/>
              <w:spacing w:line="196" w:lineRule="exact" w:before="1"/>
              <w:ind w:left="68"/>
              <w:jc w:val="left"/>
              <w:rPr>
                <w:b/>
                <w:sz w:val="18"/>
              </w:rPr>
            </w:pPr>
            <w:r>
              <w:rPr>
                <w:b/>
                <w:sz w:val="18"/>
              </w:rPr>
              <w:t>Teja plana con encaje</w:t>
            </w:r>
          </w:p>
        </w:tc>
        <w:tc>
          <w:tcPr>
            <w:tcW w:w="1164" w:type="dxa"/>
            <w:tcBorders>
              <w:left w:val="single" w:sz="4" w:space="0" w:color="000000"/>
            </w:tcBorders>
          </w:tcPr>
          <w:p>
            <w:pPr>
              <w:pStyle w:val="TableParagraph"/>
              <w:spacing w:line="194" w:lineRule="exact" w:before="2"/>
              <w:ind w:right="379"/>
              <w:jc w:val="right"/>
              <w:rPr>
                <w:sz w:val="18"/>
              </w:rPr>
            </w:pPr>
            <w:r>
              <w:rPr>
                <w:sz w:val="18"/>
              </w:rPr>
              <w:t>50</w:t>
            </w:r>
          </w:p>
        </w:tc>
      </w:tr>
      <w:tr>
        <w:trPr>
          <w:trHeight w:val="215" w:hRule="atLeast"/>
        </w:trPr>
        <w:tc>
          <w:tcPr>
            <w:tcW w:w="1368" w:type="dxa"/>
            <w:vMerge/>
            <w:tcBorders>
              <w:top w:val="nil"/>
            </w:tcBorders>
          </w:tcPr>
          <w:p>
            <w:pPr>
              <w:rPr>
                <w:sz w:val="2"/>
                <w:szCs w:val="2"/>
              </w:rPr>
            </w:pPr>
          </w:p>
        </w:tc>
        <w:tc>
          <w:tcPr>
            <w:tcW w:w="3704" w:type="dxa"/>
            <w:tcBorders>
              <w:right w:val="single" w:sz="4" w:space="0" w:color="000000"/>
            </w:tcBorders>
          </w:tcPr>
          <w:p>
            <w:pPr>
              <w:pStyle w:val="TableParagraph"/>
              <w:jc w:val="left"/>
              <w:rPr>
                <w:rFonts w:ascii="Times New Roman"/>
                <w:sz w:val="14"/>
              </w:rPr>
            </w:pPr>
          </w:p>
        </w:tc>
        <w:tc>
          <w:tcPr>
            <w:tcW w:w="1164" w:type="dxa"/>
            <w:tcBorders>
              <w:left w:val="single" w:sz="4" w:space="0" w:color="000000"/>
            </w:tcBorders>
          </w:tcPr>
          <w:p>
            <w:pPr>
              <w:pStyle w:val="TableParagraph"/>
              <w:spacing w:line="193" w:lineRule="exact" w:before="2"/>
              <w:ind w:right="379"/>
              <w:jc w:val="right"/>
              <w:rPr>
                <w:sz w:val="18"/>
              </w:rPr>
            </w:pPr>
            <w:r>
              <w:rPr>
                <w:sz w:val="18"/>
              </w:rPr>
              <w:t>60</w:t>
            </w:r>
          </w:p>
        </w:tc>
      </w:tr>
      <w:tr>
        <w:trPr>
          <w:trHeight w:val="212" w:hRule="atLeast"/>
        </w:trPr>
        <w:tc>
          <w:tcPr>
            <w:tcW w:w="1368" w:type="dxa"/>
            <w:tcBorders>
              <w:bottom w:val="single" w:sz="4" w:space="0" w:color="000000"/>
            </w:tcBorders>
          </w:tcPr>
          <w:p>
            <w:pPr>
              <w:pStyle w:val="TableParagraph"/>
              <w:spacing w:line="189" w:lineRule="exact" w:before="2"/>
              <w:ind w:left="68"/>
              <w:jc w:val="left"/>
              <w:rPr>
                <w:b/>
                <w:sz w:val="18"/>
              </w:rPr>
            </w:pPr>
            <w:r>
              <w:rPr>
                <w:b/>
                <w:sz w:val="18"/>
              </w:rPr>
              <w:t>Cinc</w:t>
            </w:r>
          </w:p>
        </w:tc>
        <w:tc>
          <w:tcPr>
            <w:tcW w:w="3704" w:type="dxa"/>
            <w:tcBorders>
              <w:bottom w:val="single" w:sz="4" w:space="0" w:color="000000"/>
              <w:right w:val="single" w:sz="4" w:space="0" w:color="000000"/>
            </w:tcBorders>
          </w:tcPr>
          <w:p>
            <w:pPr>
              <w:pStyle w:val="TableParagraph"/>
              <w:jc w:val="left"/>
              <w:rPr>
                <w:rFonts w:ascii="Times New Roman"/>
                <w:sz w:val="14"/>
              </w:rPr>
            </w:pPr>
          </w:p>
        </w:tc>
        <w:tc>
          <w:tcPr>
            <w:tcW w:w="1164" w:type="dxa"/>
            <w:tcBorders>
              <w:left w:val="single" w:sz="4" w:space="0" w:color="000000"/>
            </w:tcBorders>
          </w:tcPr>
          <w:p>
            <w:pPr>
              <w:pStyle w:val="TableParagraph"/>
              <w:spacing w:line="188" w:lineRule="exact" w:before="4"/>
              <w:ind w:right="379"/>
              <w:jc w:val="right"/>
              <w:rPr>
                <w:sz w:val="18"/>
              </w:rPr>
            </w:pPr>
            <w:r>
              <w:rPr>
                <w:sz w:val="18"/>
              </w:rPr>
              <w:t>10</w:t>
            </w:r>
          </w:p>
        </w:tc>
      </w:tr>
      <w:tr>
        <w:trPr>
          <w:trHeight w:val="212" w:hRule="atLeast"/>
        </w:trPr>
        <w:tc>
          <w:tcPr>
            <w:tcW w:w="1368" w:type="dxa"/>
            <w:tcBorders>
              <w:top w:val="single" w:sz="4" w:space="0" w:color="000000"/>
            </w:tcBorders>
          </w:tcPr>
          <w:p>
            <w:pPr>
              <w:pStyle w:val="TableParagraph"/>
              <w:spacing w:line="193" w:lineRule="exact"/>
              <w:ind w:left="68"/>
              <w:jc w:val="left"/>
              <w:rPr>
                <w:b/>
                <w:sz w:val="18"/>
              </w:rPr>
            </w:pPr>
            <w:r>
              <w:rPr>
                <w:b/>
                <w:sz w:val="18"/>
              </w:rPr>
              <w:t>Fibrocemento</w:t>
            </w:r>
          </w:p>
        </w:tc>
        <w:tc>
          <w:tcPr>
            <w:tcW w:w="3704" w:type="dxa"/>
            <w:tcBorders>
              <w:top w:val="single" w:sz="4" w:space="0" w:color="000000"/>
              <w:right w:val="single" w:sz="4" w:space="0" w:color="000000"/>
            </w:tcBorders>
          </w:tcPr>
          <w:p>
            <w:pPr>
              <w:pStyle w:val="TableParagraph"/>
              <w:spacing w:line="193" w:lineRule="exact"/>
              <w:ind w:left="67"/>
              <w:jc w:val="left"/>
              <w:rPr>
                <w:b/>
                <w:sz w:val="18"/>
              </w:rPr>
            </w:pPr>
            <w:r>
              <w:rPr>
                <w:b/>
                <w:sz w:val="18"/>
              </w:rPr>
              <w:t>Placas simétricas de onda grande</w:t>
            </w:r>
          </w:p>
        </w:tc>
        <w:tc>
          <w:tcPr>
            <w:tcW w:w="1164" w:type="dxa"/>
            <w:tcBorders>
              <w:left w:val="single" w:sz="4" w:space="0" w:color="000000"/>
            </w:tcBorders>
          </w:tcPr>
          <w:p>
            <w:pPr>
              <w:pStyle w:val="TableParagraph"/>
              <w:spacing w:line="193" w:lineRule="exact"/>
              <w:ind w:right="379"/>
              <w:jc w:val="right"/>
              <w:rPr>
                <w:sz w:val="18"/>
              </w:rPr>
            </w:pPr>
            <w:r>
              <w:rPr>
                <w:sz w:val="18"/>
              </w:rPr>
              <w:t>10</w:t>
            </w:r>
          </w:p>
        </w:tc>
      </w:tr>
      <w:tr>
        <w:trPr>
          <w:trHeight w:val="216" w:hRule="atLeast"/>
        </w:trPr>
        <w:tc>
          <w:tcPr>
            <w:tcW w:w="1368" w:type="dxa"/>
          </w:tcPr>
          <w:p>
            <w:pPr>
              <w:pStyle w:val="TableParagraph"/>
              <w:jc w:val="left"/>
              <w:rPr>
                <w:rFonts w:ascii="Times New Roman"/>
                <w:sz w:val="14"/>
              </w:rPr>
            </w:pPr>
          </w:p>
        </w:tc>
        <w:tc>
          <w:tcPr>
            <w:tcW w:w="3704" w:type="dxa"/>
            <w:tcBorders>
              <w:right w:val="single" w:sz="4" w:space="0" w:color="000000"/>
            </w:tcBorders>
          </w:tcPr>
          <w:p>
            <w:pPr>
              <w:pStyle w:val="TableParagraph"/>
              <w:spacing w:line="196" w:lineRule="exact" w:before="1"/>
              <w:ind w:left="68"/>
              <w:jc w:val="left"/>
              <w:rPr>
                <w:b/>
                <w:sz w:val="18"/>
              </w:rPr>
            </w:pPr>
            <w:r>
              <w:rPr>
                <w:b/>
                <w:sz w:val="18"/>
              </w:rPr>
              <w:t>Placas asimétricas de nervadura grande</w:t>
            </w:r>
          </w:p>
        </w:tc>
        <w:tc>
          <w:tcPr>
            <w:tcW w:w="1164" w:type="dxa"/>
            <w:tcBorders>
              <w:left w:val="single" w:sz="4" w:space="0" w:color="000000"/>
            </w:tcBorders>
          </w:tcPr>
          <w:p>
            <w:pPr>
              <w:pStyle w:val="TableParagraph"/>
              <w:spacing w:line="194" w:lineRule="exact" w:before="2"/>
              <w:ind w:right="379"/>
              <w:jc w:val="right"/>
              <w:rPr>
                <w:sz w:val="18"/>
              </w:rPr>
            </w:pPr>
            <w:r>
              <w:rPr>
                <w:sz w:val="18"/>
              </w:rPr>
              <w:t>10</w:t>
            </w:r>
          </w:p>
        </w:tc>
      </w:tr>
      <w:tr>
        <w:trPr>
          <w:trHeight w:val="212" w:hRule="atLeast"/>
        </w:trPr>
        <w:tc>
          <w:tcPr>
            <w:tcW w:w="1368" w:type="dxa"/>
            <w:tcBorders>
              <w:bottom w:val="single" w:sz="4" w:space="0" w:color="000000"/>
            </w:tcBorders>
          </w:tcPr>
          <w:p>
            <w:pPr>
              <w:pStyle w:val="TableParagraph"/>
              <w:jc w:val="left"/>
              <w:rPr>
                <w:rFonts w:ascii="Times New Roman"/>
                <w:sz w:val="14"/>
              </w:rPr>
            </w:pPr>
          </w:p>
        </w:tc>
        <w:tc>
          <w:tcPr>
            <w:tcW w:w="3704" w:type="dxa"/>
            <w:tcBorders>
              <w:bottom w:val="single" w:sz="4" w:space="0" w:color="000000"/>
              <w:right w:val="single" w:sz="4" w:space="0" w:color="000000"/>
            </w:tcBorders>
          </w:tcPr>
          <w:p>
            <w:pPr>
              <w:pStyle w:val="TableParagraph"/>
              <w:spacing w:line="191" w:lineRule="exact" w:before="1"/>
              <w:ind w:left="68"/>
              <w:jc w:val="left"/>
              <w:rPr>
                <w:b/>
                <w:sz w:val="18"/>
              </w:rPr>
            </w:pPr>
            <w:r>
              <w:rPr>
                <w:b/>
                <w:sz w:val="18"/>
              </w:rPr>
              <w:t>Placas asimétricas de nervadura media</w:t>
            </w:r>
          </w:p>
        </w:tc>
        <w:tc>
          <w:tcPr>
            <w:tcW w:w="1164" w:type="dxa"/>
            <w:tcBorders>
              <w:left w:val="single" w:sz="4" w:space="0" w:color="000000"/>
            </w:tcBorders>
          </w:tcPr>
          <w:p>
            <w:pPr>
              <w:pStyle w:val="TableParagraph"/>
              <w:spacing w:line="189" w:lineRule="exact" w:before="2"/>
              <w:ind w:right="379"/>
              <w:jc w:val="right"/>
              <w:rPr>
                <w:sz w:val="18"/>
              </w:rPr>
            </w:pPr>
            <w:r>
              <w:rPr>
                <w:sz w:val="18"/>
              </w:rPr>
              <w:t>25</w:t>
            </w:r>
          </w:p>
        </w:tc>
      </w:tr>
      <w:tr>
        <w:trPr>
          <w:trHeight w:val="212" w:hRule="atLeast"/>
        </w:trPr>
        <w:tc>
          <w:tcPr>
            <w:tcW w:w="1368" w:type="dxa"/>
            <w:tcBorders>
              <w:top w:val="single" w:sz="4" w:space="0" w:color="000000"/>
            </w:tcBorders>
          </w:tcPr>
          <w:p>
            <w:pPr>
              <w:pStyle w:val="TableParagraph"/>
              <w:spacing w:line="192" w:lineRule="exact"/>
              <w:ind w:left="68"/>
              <w:jc w:val="left"/>
              <w:rPr>
                <w:b/>
                <w:sz w:val="18"/>
              </w:rPr>
            </w:pPr>
            <w:r>
              <w:rPr>
                <w:b/>
                <w:sz w:val="18"/>
              </w:rPr>
              <w:t>Sintéticos</w:t>
            </w:r>
          </w:p>
        </w:tc>
        <w:tc>
          <w:tcPr>
            <w:tcW w:w="3704" w:type="dxa"/>
            <w:tcBorders>
              <w:top w:val="single" w:sz="4" w:space="0" w:color="000000"/>
              <w:right w:val="single" w:sz="4" w:space="0" w:color="000000"/>
            </w:tcBorders>
          </w:tcPr>
          <w:p>
            <w:pPr>
              <w:pStyle w:val="TableParagraph"/>
              <w:spacing w:line="192" w:lineRule="exact"/>
              <w:ind w:left="68"/>
              <w:jc w:val="left"/>
              <w:rPr>
                <w:b/>
                <w:sz w:val="18"/>
              </w:rPr>
            </w:pPr>
            <w:r>
              <w:rPr>
                <w:b/>
                <w:sz w:val="18"/>
              </w:rPr>
              <w:t>Perfiles de ondulado grande</w:t>
            </w:r>
          </w:p>
        </w:tc>
        <w:tc>
          <w:tcPr>
            <w:tcW w:w="1164" w:type="dxa"/>
            <w:tcBorders>
              <w:left w:val="single" w:sz="4" w:space="0" w:color="000000"/>
            </w:tcBorders>
          </w:tcPr>
          <w:p>
            <w:pPr>
              <w:pStyle w:val="TableParagraph"/>
              <w:spacing w:line="192" w:lineRule="exact"/>
              <w:ind w:right="379"/>
              <w:jc w:val="right"/>
              <w:rPr>
                <w:sz w:val="18"/>
              </w:rPr>
            </w:pPr>
            <w:r>
              <w:rPr>
                <w:sz w:val="18"/>
              </w:rPr>
              <w:t>10</w:t>
            </w:r>
          </w:p>
        </w:tc>
      </w:tr>
      <w:tr>
        <w:trPr>
          <w:trHeight w:val="217" w:hRule="atLeast"/>
        </w:trPr>
        <w:tc>
          <w:tcPr>
            <w:tcW w:w="1368" w:type="dxa"/>
          </w:tcPr>
          <w:p>
            <w:pPr>
              <w:pStyle w:val="TableParagraph"/>
              <w:jc w:val="left"/>
              <w:rPr>
                <w:rFonts w:ascii="Times New Roman"/>
                <w:sz w:val="14"/>
              </w:rPr>
            </w:pPr>
          </w:p>
        </w:tc>
        <w:tc>
          <w:tcPr>
            <w:tcW w:w="3704" w:type="dxa"/>
            <w:tcBorders>
              <w:right w:val="single" w:sz="4" w:space="0" w:color="000000"/>
            </w:tcBorders>
          </w:tcPr>
          <w:p>
            <w:pPr>
              <w:pStyle w:val="TableParagraph"/>
              <w:spacing w:line="196" w:lineRule="exact" w:before="1"/>
              <w:ind w:left="68"/>
              <w:jc w:val="left"/>
              <w:rPr>
                <w:b/>
                <w:sz w:val="18"/>
              </w:rPr>
            </w:pPr>
            <w:r>
              <w:rPr>
                <w:b/>
                <w:sz w:val="18"/>
              </w:rPr>
              <w:t>Perfiles de ondulado pequeño</w:t>
            </w:r>
          </w:p>
        </w:tc>
        <w:tc>
          <w:tcPr>
            <w:tcW w:w="1164" w:type="dxa"/>
            <w:tcBorders>
              <w:left w:val="single" w:sz="4" w:space="0" w:color="000000"/>
            </w:tcBorders>
          </w:tcPr>
          <w:p>
            <w:pPr>
              <w:pStyle w:val="TableParagraph"/>
              <w:spacing w:line="194" w:lineRule="exact" w:before="2"/>
              <w:ind w:right="379"/>
              <w:jc w:val="right"/>
              <w:rPr>
                <w:sz w:val="18"/>
              </w:rPr>
            </w:pPr>
            <w:r>
              <w:rPr>
                <w:sz w:val="18"/>
              </w:rPr>
              <w:t>15</w:t>
            </w:r>
          </w:p>
        </w:tc>
      </w:tr>
      <w:tr>
        <w:trPr>
          <w:trHeight w:val="216" w:hRule="atLeast"/>
        </w:trPr>
        <w:tc>
          <w:tcPr>
            <w:tcW w:w="1368" w:type="dxa"/>
          </w:tcPr>
          <w:p>
            <w:pPr>
              <w:pStyle w:val="TableParagraph"/>
              <w:jc w:val="left"/>
              <w:rPr>
                <w:rFonts w:ascii="Times New Roman"/>
                <w:sz w:val="14"/>
              </w:rPr>
            </w:pPr>
          </w:p>
        </w:tc>
        <w:tc>
          <w:tcPr>
            <w:tcW w:w="3704" w:type="dxa"/>
            <w:tcBorders>
              <w:right w:val="single" w:sz="4" w:space="0" w:color="000000"/>
            </w:tcBorders>
          </w:tcPr>
          <w:p>
            <w:pPr>
              <w:pStyle w:val="TableParagraph"/>
              <w:spacing w:line="195" w:lineRule="exact" w:before="1"/>
              <w:ind w:left="68"/>
              <w:jc w:val="left"/>
              <w:rPr>
                <w:b/>
                <w:sz w:val="18"/>
              </w:rPr>
            </w:pPr>
            <w:r>
              <w:rPr>
                <w:b/>
                <w:sz w:val="18"/>
              </w:rPr>
              <w:t>Perfiles de grecado grande</w:t>
            </w:r>
          </w:p>
        </w:tc>
        <w:tc>
          <w:tcPr>
            <w:tcW w:w="1164" w:type="dxa"/>
            <w:tcBorders>
              <w:left w:val="single" w:sz="4" w:space="0" w:color="000000"/>
            </w:tcBorders>
          </w:tcPr>
          <w:p>
            <w:pPr>
              <w:pStyle w:val="TableParagraph"/>
              <w:spacing w:line="194" w:lineRule="exact" w:before="2"/>
              <w:ind w:right="427"/>
              <w:jc w:val="right"/>
              <w:rPr>
                <w:sz w:val="18"/>
              </w:rPr>
            </w:pPr>
            <w:r>
              <w:rPr>
                <w:sz w:val="18"/>
              </w:rPr>
              <w:t>5</w:t>
            </w:r>
          </w:p>
        </w:tc>
      </w:tr>
      <w:tr>
        <w:trPr>
          <w:trHeight w:val="216" w:hRule="atLeast"/>
        </w:trPr>
        <w:tc>
          <w:tcPr>
            <w:tcW w:w="1368" w:type="dxa"/>
          </w:tcPr>
          <w:p>
            <w:pPr>
              <w:pStyle w:val="TableParagraph"/>
              <w:jc w:val="left"/>
              <w:rPr>
                <w:rFonts w:ascii="Times New Roman"/>
                <w:sz w:val="14"/>
              </w:rPr>
            </w:pPr>
          </w:p>
        </w:tc>
        <w:tc>
          <w:tcPr>
            <w:tcW w:w="3704" w:type="dxa"/>
            <w:tcBorders>
              <w:right w:val="single" w:sz="4" w:space="0" w:color="000000"/>
            </w:tcBorders>
          </w:tcPr>
          <w:p>
            <w:pPr>
              <w:pStyle w:val="TableParagraph"/>
              <w:spacing w:line="196" w:lineRule="exact" w:before="1"/>
              <w:ind w:left="68"/>
              <w:jc w:val="left"/>
              <w:rPr>
                <w:b/>
                <w:sz w:val="18"/>
              </w:rPr>
            </w:pPr>
            <w:r>
              <w:rPr>
                <w:b/>
                <w:sz w:val="18"/>
              </w:rPr>
              <w:t>Perfiles de grecado medio</w:t>
            </w:r>
          </w:p>
        </w:tc>
        <w:tc>
          <w:tcPr>
            <w:tcW w:w="1164" w:type="dxa"/>
            <w:tcBorders>
              <w:left w:val="single" w:sz="4" w:space="0" w:color="000000"/>
            </w:tcBorders>
          </w:tcPr>
          <w:p>
            <w:pPr>
              <w:pStyle w:val="TableParagraph"/>
              <w:spacing w:line="194" w:lineRule="exact" w:before="2"/>
              <w:ind w:right="427"/>
              <w:jc w:val="right"/>
              <w:rPr>
                <w:sz w:val="18"/>
              </w:rPr>
            </w:pPr>
            <w:r>
              <w:rPr>
                <w:sz w:val="18"/>
              </w:rPr>
              <w:t>8</w:t>
            </w:r>
          </w:p>
        </w:tc>
      </w:tr>
      <w:tr>
        <w:trPr>
          <w:trHeight w:val="212" w:hRule="atLeast"/>
        </w:trPr>
        <w:tc>
          <w:tcPr>
            <w:tcW w:w="1368" w:type="dxa"/>
            <w:tcBorders>
              <w:bottom w:val="single" w:sz="4" w:space="0" w:color="000000"/>
            </w:tcBorders>
          </w:tcPr>
          <w:p>
            <w:pPr>
              <w:pStyle w:val="TableParagraph"/>
              <w:jc w:val="left"/>
              <w:rPr>
                <w:rFonts w:ascii="Times New Roman"/>
                <w:sz w:val="14"/>
              </w:rPr>
            </w:pPr>
          </w:p>
        </w:tc>
        <w:tc>
          <w:tcPr>
            <w:tcW w:w="3704" w:type="dxa"/>
            <w:tcBorders>
              <w:bottom w:val="single" w:sz="4" w:space="0" w:color="000000"/>
              <w:right w:val="single" w:sz="4" w:space="0" w:color="000000"/>
            </w:tcBorders>
          </w:tcPr>
          <w:p>
            <w:pPr>
              <w:pStyle w:val="TableParagraph"/>
              <w:spacing w:line="191" w:lineRule="exact" w:before="1"/>
              <w:ind w:left="68"/>
              <w:jc w:val="left"/>
              <w:rPr>
                <w:b/>
                <w:sz w:val="18"/>
              </w:rPr>
            </w:pPr>
            <w:r>
              <w:rPr>
                <w:b/>
                <w:sz w:val="18"/>
              </w:rPr>
              <w:t>Perfiles nervados</w:t>
            </w:r>
          </w:p>
        </w:tc>
        <w:tc>
          <w:tcPr>
            <w:tcW w:w="1164" w:type="dxa"/>
            <w:tcBorders>
              <w:left w:val="single" w:sz="4" w:space="0" w:color="000000"/>
            </w:tcBorders>
          </w:tcPr>
          <w:p>
            <w:pPr>
              <w:pStyle w:val="TableParagraph"/>
              <w:spacing w:line="189" w:lineRule="exact" w:before="2"/>
              <w:ind w:right="379"/>
              <w:jc w:val="right"/>
              <w:rPr>
                <w:sz w:val="18"/>
              </w:rPr>
            </w:pPr>
            <w:r>
              <w:rPr>
                <w:sz w:val="18"/>
              </w:rPr>
              <w:t>10</w:t>
            </w:r>
          </w:p>
        </w:tc>
      </w:tr>
      <w:tr>
        <w:trPr>
          <w:trHeight w:val="212" w:hRule="atLeast"/>
        </w:trPr>
        <w:tc>
          <w:tcPr>
            <w:tcW w:w="1368" w:type="dxa"/>
            <w:tcBorders>
              <w:top w:val="single" w:sz="4" w:space="0" w:color="000000"/>
            </w:tcBorders>
          </w:tcPr>
          <w:p>
            <w:pPr>
              <w:pStyle w:val="TableParagraph"/>
              <w:spacing w:line="192" w:lineRule="exact"/>
              <w:ind w:left="68"/>
              <w:jc w:val="left"/>
              <w:rPr>
                <w:b/>
                <w:sz w:val="18"/>
              </w:rPr>
            </w:pPr>
            <w:r>
              <w:rPr>
                <w:b/>
                <w:sz w:val="18"/>
              </w:rPr>
              <w:t>Galvanizados</w:t>
            </w:r>
          </w:p>
        </w:tc>
        <w:tc>
          <w:tcPr>
            <w:tcW w:w="3704" w:type="dxa"/>
            <w:tcBorders>
              <w:top w:val="single" w:sz="4" w:space="0" w:color="000000"/>
              <w:right w:val="single" w:sz="4" w:space="0" w:color="000000"/>
            </w:tcBorders>
          </w:tcPr>
          <w:p>
            <w:pPr>
              <w:pStyle w:val="TableParagraph"/>
              <w:spacing w:line="192" w:lineRule="exact"/>
              <w:ind w:left="68"/>
              <w:jc w:val="left"/>
              <w:rPr>
                <w:b/>
                <w:sz w:val="18"/>
              </w:rPr>
            </w:pPr>
            <w:r>
              <w:rPr>
                <w:b/>
                <w:sz w:val="18"/>
              </w:rPr>
              <w:t>Perfiles de ondulado pequeño</w:t>
            </w:r>
          </w:p>
        </w:tc>
        <w:tc>
          <w:tcPr>
            <w:tcW w:w="1164" w:type="dxa"/>
            <w:tcBorders>
              <w:left w:val="single" w:sz="4" w:space="0" w:color="000000"/>
            </w:tcBorders>
          </w:tcPr>
          <w:p>
            <w:pPr>
              <w:pStyle w:val="TableParagraph"/>
              <w:spacing w:line="192" w:lineRule="exact"/>
              <w:ind w:right="379"/>
              <w:jc w:val="right"/>
              <w:rPr>
                <w:sz w:val="18"/>
              </w:rPr>
            </w:pPr>
            <w:r>
              <w:rPr>
                <w:sz w:val="18"/>
              </w:rPr>
              <w:t>15</w:t>
            </w:r>
          </w:p>
        </w:tc>
      </w:tr>
      <w:tr>
        <w:trPr>
          <w:trHeight w:val="217" w:hRule="atLeast"/>
        </w:trPr>
        <w:tc>
          <w:tcPr>
            <w:tcW w:w="1368" w:type="dxa"/>
          </w:tcPr>
          <w:p>
            <w:pPr>
              <w:pStyle w:val="TableParagraph"/>
              <w:jc w:val="left"/>
              <w:rPr>
                <w:rFonts w:ascii="Times New Roman"/>
                <w:sz w:val="14"/>
              </w:rPr>
            </w:pPr>
          </w:p>
        </w:tc>
        <w:tc>
          <w:tcPr>
            <w:tcW w:w="3704" w:type="dxa"/>
            <w:tcBorders>
              <w:right w:val="single" w:sz="4" w:space="0" w:color="000000"/>
            </w:tcBorders>
          </w:tcPr>
          <w:p>
            <w:pPr>
              <w:pStyle w:val="TableParagraph"/>
              <w:spacing w:line="196" w:lineRule="exact" w:before="1"/>
              <w:ind w:left="68"/>
              <w:jc w:val="left"/>
              <w:rPr>
                <w:b/>
                <w:sz w:val="18"/>
              </w:rPr>
            </w:pPr>
            <w:r>
              <w:rPr>
                <w:b/>
                <w:sz w:val="18"/>
              </w:rPr>
              <w:t>Perfiles de grecado o nervado grande</w:t>
            </w:r>
          </w:p>
        </w:tc>
        <w:tc>
          <w:tcPr>
            <w:tcW w:w="1164" w:type="dxa"/>
            <w:tcBorders>
              <w:left w:val="single" w:sz="4" w:space="0" w:color="000000"/>
            </w:tcBorders>
          </w:tcPr>
          <w:p>
            <w:pPr>
              <w:pStyle w:val="TableParagraph"/>
              <w:spacing w:line="194" w:lineRule="exact" w:before="2"/>
              <w:ind w:right="427"/>
              <w:jc w:val="right"/>
              <w:rPr>
                <w:sz w:val="18"/>
              </w:rPr>
            </w:pPr>
            <w:r>
              <w:rPr>
                <w:sz w:val="18"/>
              </w:rPr>
              <w:t>5</w:t>
            </w:r>
          </w:p>
        </w:tc>
      </w:tr>
      <w:tr>
        <w:trPr>
          <w:trHeight w:val="217" w:hRule="atLeast"/>
        </w:trPr>
        <w:tc>
          <w:tcPr>
            <w:tcW w:w="1368" w:type="dxa"/>
          </w:tcPr>
          <w:p>
            <w:pPr>
              <w:pStyle w:val="TableParagraph"/>
              <w:jc w:val="left"/>
              <w:rPr>
                <w:rFonts w:ascii="Times New Roman"/>
                <w:sz w:val="14"/>
              </w:rPr>
            </w:pPr>
          </w:p>
        </w:tc>
        <w:tc>
          <w:tcPr>
            <w:tcW w:w="3704" w:type="dxa"/>
            <w:tcBorders>
              <w:right w:val="single" w:sz="4" w:space="0" w:color="000000"/>
            </w:tcBorders>
          </w:tcPr>
          <w:p>
            <w:pPr>
              <w:pStyle w:val="TableParagraph"/>
              <w:spacing w:line="196" w:lineRule="exact" w:before="1"/>
              <w:ind w:left="68"/>
              <w:jc w:val="left"/>
              <w:rPr>
                <w:b/>
                <w:sz w:val="18"/>
              </w:rPr>
            </w:pPr>
            <w:r>
              <w:rPr>
                <w:b/>
                <w:sz w:val="18"/>
              </w:rPr>
              <w:t>Perfiles de grecado o nervado medio</w:t>
            </w:r>
          </w:p>
        </w:tc>
        <w:tc>
          <w:tcPr>
            <w:tcW w:w="1164" w:type="dxa"/>
            <w:tcBorders>
              <w:left w:val="single" w:sz="4" w:space="0" w:color="000000"/>
            </w:tcBorders>
          </w:tcPr>
          <w:p>
            <w:pPr>
              <w:pStyle w:val="TableParagraph"/>
              <w:spacing w:line="194" w:lineRule="exact" w:before="2"/>
              <w:ind w:right="427"/>
              <w:jc w:val="right"/>
              <w:rPr>
                <w:sz w:val="18"/>
              </w:rPr>
            </w:pPr>
            <w:r>
              <w:rPr>
                <w:sz w:val="18"/>
              </w:rPr>
              <w:t>8</w:t>
            </w:r>
          </w:p>
        </w:tc>
      </w:tr>
      <w:tr>
        <w:trPr>
          <w:trHeight w:val="216" w:hRule="atLeast"/>
        </w:trPr>
        <w:tc>
          <w:tcPr>
            <w:tcW w:w="1368" w:type="dxa"/>
          </w:tcPr>
          <w:p>
            <w:pPr>
              <w:pStyle w:val="TableParagraph"/>
              <w:jc w:val="left"/>
              <w:rPr>
                <w:rFonts w:ascii="Times New Roman"/>
                <w:sz w:val="14"/>
              </w:rPr>
            </w:pPr>
          </w:p>
        </w:tc>
        <w:tc>
          <w:tcPr>
            <w:tcW w:w="3704" w:type="dxa"/>
            <w:tcBorders>
              <w:right w:val="single" w:sz="4" w:space="0" w:color="000000"/>
            </w:tcBorders>
          </w:tcPr>
          <w:p>
            <w:pPr>
              <w:pStyle w:val="TableParagraph"/>
              <w:spacing w:line="195" w:lineRule="exact" w:before="1"/>
              <w:ind w:left="68"/>
              <w:jc w:val="left"/>
              <w:rPr>
                <w:b/>
                <w:sz w:val="18"/>
              </w:rPr>
            </w:pPr>
            <w:r>
              <w:rPr>
                <w:b/>
                <w:sz w:val="18"/>
              </w:rPr>
              <w:t>Perfiles de nervado pequeño</w:t>
            </w:r>
          </w:p>
        </w:tc>
        <w:tc>
          <w:tcPr>
            <w:tcW w:w="1164" w:type="dxa"/>
            <w:tcBorders>
              <w:left w:val="single" w:sz="4" w:space="0" w:color="000000"/>
            </w:tcBorders>
          </w:tcPr>
          <w:p>
            <w:pPr>
              <w:pStyle w:val="TableParagraph"/>
              <w:spacing w:line="194" w:lineRule="exact" w:before="2"/>
              <w:ind w:right="379"/>
              <w:jc w:val="right"/>
              <w:rPr>
                <w:sz w:val="18"/>
              </w:rPr>
            </w:pPr>
            <w:r>
              <w:rPr>
                <w:sz w:val="18"/>
              </w:rPr>
              <w:t>10</w:t>
            </w:r>
          </w:p>
        </w:tc>
      </w:tr>
      <w:tr>
        <w:trPr>
          <w:trHeight w:val="211" w:hRule="atLeast"/>
        </w:trPr>
        <w:tc>
          <w:tcPr>
            <w:tcW w:w="1368" w:type="dxa"/>
            <w:tcBorders>
              <w:bottom w:val="single" w:sz="4" w:space="0" w:color="000000"/>
            </w:tcBorders>
          </w:tcPr>
          <w:p>
            <w:pPr>
              <w:pStyle w:val="TableParagraph"/>
              <w:jc w:val="left"/>
              <w:rPr>
                <w:rFonts w:ascii="Times New Roman"/>
                <w:sz w:val="14"/>
              </w:rPr>
            </w:pPr>
          </w:p>
        </w:tc>
        <w:tc>
          <w:tcPr>
            <w:tcW w:w="3704" w:type="dxa"/>
            <w:tcBorders>
              <w:bottom w:val="single" w:sz="4" w:space="0" w:color="000000"/>
              <w:right w:val="single" w:sz="4" w:space="0" w:color="000000"/>
            </w:tcBorders>
          </w:tcPr>
          <w:p>
            <w:pPr>
              <w:pStyle w:val="TableParagraph"/>
              <w:spacing w:line="191" w:lineRule="exact" w:before="1"/>
              <w:ind w:left="68"/>
              <w:jc w:val="left"/>
              <w:rPr>
                <w:b/>
                <w:sz w:val="18"/>
              </w:rPr>
            </w:pPr>
            <w:r>
              <w:rPr>
                <w:b/>
                <w:sz w:val="18"/>
              </w:rPr>
              <w:t>Paneles</w:t>
            </w:r>
          </w:p>
        </w:tc>
        <w:tc>
          <w:tcPr>
            <w:tcW w:w="1164" w:type="dxa"/>
            <w:tcBorders>
              <w:left w:val="single" w:sz="4" w:space="0" w:color="000000"/>
            </w:tcBorders>
          </w:tcPr>
          <w:p>
            <w:pPr>
              <w:pStyle w:val="TableParagraph"/>
              <w:spacing w:line="189" w:lineRule="exact" w:before="2"/>
              <w:ind w:right="427"/>
              <w:jc w:val="right"/>
              <w:rPr>
                <w:sz w:val="18"/>
              </w:rPr>
            </w:pPr>
            <w:r>
              <w:rPr>
                <w:sz w:val="18"/>
              </w:rPr>
              <w:t>5</w:t>
            </w:r>
          </w:p>
        </w:tc>
      </w:tr>
      <w:tr>
        <w:trPr>
          <w:trHeight w:val="207" w:hRule="atLeast"/>
        </w:trPr>
        <w:tc>
          <w:tcPr>
            <w:tcW w:w="1368" w:type="dxa"/>
            <w:tcBorders>
              <w:top w:val="single" w:sz="4" w:space="0" w:color="000000"/>
            </w:tcBorders>
          </w:tcPr>
          <w:p>
            <w:pPr>
              <w:pStyle w:val="TableParagraph"/>
              <w:spacing w:line="187" w:lineRule="exact"/>
              <w:ind w:left="68"/>
              <w:jc w:val="left"/>
              <w:rPr>
                <w:b/>
                <w:sz w:val="18"/>
              </w:rPr>
            </w:pPr>
            <w:r>
              <w:rPr>
                <w:b/>
                <w:sz w:val="18"/>
              </w:rPr>
              <w:t>Aleaciones</w:t>
            </w:r>
          </w:p>
        </w:tc>
        <w:tc>
          <w:tcPr>
            <w:tcW w:w="3704" w:type="dxa"/>
            <w:tcBorders>
              <w:top w:val="single" w:sz="4" w:space="0" w:color="000000"/>
              <w:right w:val="single" w:sz="4" w:space="0" w:color="000000"/>
            </w:tcBorders>
          </w:tcPr>
          <w:p>
            <w:pPr>
              <w:pStyle w:val="TableParagraph"/>
              <w:spacing w:line="187" w:lineRule="exact"/>
              <w:ind w:left="68"/>
              <w:jc w:val="left"/>
              <w:rPr>
                <w:b/>
                <w:sz w:val="18"/>
              </w:rPr>
            </w:pPr>
            <w:r>
              <w:rPr>
                <w:b/>
                <w:sz w:val="18"/>
              </w:rPr>
              <w:t>Perfiles de ondulado pequeño</w:t>
            </w:r>
          </w:p>
        </w:tc>
        <w:tc>
          <w:tcPr>
            <w:tcW w:w="1164" w:type="dxa"/>
            <w:tcBorders>
              <w:left w:val="single" w:sz="4" w:space="0" w:color="000000"/>
            </w:tcBorders>
          </w:tcPr>
          <w:p>
            <w:pPr>
              <w:pStyle w:val="TableParagraph"/>
              <w:spacing w:line="187" w:lineRule="exact"/>
              <w:ind w:right="379"/>
              <w:jc w:val="right"/>
              <w:rPr>
                <w:sz w:val="18"/>
              </w:rPr>
            </w:pPr>
            <w:r>
              <w:rPr>
                <w:sz w:val="18"/>
              </w:rPr>
              <w:t>15</w:t>
            </w:r>
          </w:p>
        </w:tc>
      </w:tr>
      <w:tr>
        <w:trPr>
          <w:trHeight w:val="220" w:hRule="atLeast"/>
        </w:trPr>
        <w:tc>
          <w:tcPr>
            <w:tcW w:w="1368" w:type="dxa"/>
          </w:tcPr>
          <w:p>
            <w:pPr>
              <w:pStyle w:val="TableParagraph"/>
              <w:spacing w:line="201" w:lineRule="exact"/>
              <w:ind w:left="68"/>
              <w:jc w:val="left"/>
              <w:rPr>
                <w:b/>
                <w:sz w:val="18"/>
              </w:rPr>
            </w:pPr>
            <w:r>
              <w:rPr>
                <w:b/>
                <w:sz w:val="18"/>
              </w:rPr>
              <w:t>ligeras</w:t>
            </w:r>
          </w:p>
        </w:tc>
        <w:tc>
          <w:tcPr>
            <w:tcW w:w="3704" w:type="dxa"/>
            <w:tcBorders>
              <w:right w:val="single" w:sz="4" w:space="0" w:color="000000"/>
            </w:tcBorders>
          </w:tcPr>
          <w:p>
            <w:pPr>
              <w:pStyle w:val="TableParagraph"/>
              <w:spacing w:line="194" w:lineRule="exact" w:before="6"/>
              <w:ind w:left="68"/>
              <w:jc w:val="left"/>
              <w:rPr>
                <w:b/>
                <w:sz w:val="18"/>
              </w:rPr>
            </w:pPr>
            <w:r>
              <w:rPr>
                <w:b/>
                <w:sz w:val="18"/>
              </w:rPr>
              <w:t>Perfiles de nervado medio</w:t>
            </w:r>
          </w:p>
        </w:tc>
        <w:tc>
          <w:tcPr>
            <w:tcW w:w="1164" w:type="dxa"/>
            <w:tcBorders>
              <w:left w:val="single" w:sz="4" w:space="0" w:color="000000"/>
            </w:tcBorders>
          </w:tcPr>
          <w:p>
            <w:pPr>
              <w:pStyle w:val="TableParagraph"/>
              <w:spacing w:line="193" w:lineRule="exact" w:before="7"/>
              <w:ind w:right="427"/>
              <w:jc w:val="right"/>
              <w:rPr>
                <w:sz w:val="18"/>
              </w:rPr>
            </w:pPr>
            <w:r>
              <w:rPr>
                <w:sz w:val="18"/>
              </w:rPr>
              <w:t>5</w:t>
            </w:r>
          </w:p>
        </w:tc>
      </w:tr>
      <w:tr>
        <w:trPr>
          <w:trHeight w:val="227" w:hRule="atLeast"/>
        </w:trPr>
        <w:tc>
          <w:tcPr>
            <w:tcW w:w="1368" w:type="dxa"/>
          </w:tcPr>
          <w:p>
            <w:pPr>
              <w:pStyle w:val="TableParagraph"/>
              <w:spacing w:line="205" w:lineRule="exact" w:before="2"/>
              <w:ind w:left="68"/>
              <w:jc w:val="left"/>
              <w:rPr>
                <w:b/>
                <w:sz w:val="18"/>
              </w:rPr>
            </w:pPr>
            <w:r>
              <w:rPr>
                <w:b/>
                <w:sz w:val="18"/>
              </w:rPr>
              <w:t>Bituminosas</w:t>
            </w:r>
          </w:p>
        </w:tc>
        <w:tc>
          <w:tcPr>
            <w:tcW w:w="3704" w:type="dxa"/>
            <w:tcBorders>
              <w:right w:val="single" w:sz="4" w:space="0" w:color="000000"/>
            </w:tcBorders>
          </w:tcPr>
          <w:p>
            <w:pPr>
              <w:pStyle w:val="TableParagraph"/>
              <w:spacing w:line="205" w:lineRule="exact" w:before="2"/>
              <w:ind w:left="66"/>
              <w:jc w:val="left"/>
              <w:rPr>
                <w:b/>
                <w:sz w:val="18"/>
              </w:rPr>
            </w:pPr>
            <w:r>
              <w:rPr>
                <w:b/>
                <w:sz w:val="18"/>
              </w:rPr>
              <w:t>Placa en sistema monocapa</w:t>
            </w:r>
          </w:p>
        </w:tc>
        <w:tc>
          <w:tcPr>
            <w:tcW w:w="1164" w:type="dxa"/>
            <w:tcBorders>
              <w:left w:val="single" w:sz="4" w:space="0" w:color="000000"/>
            </w:tcBorders>
          </w:tcPr>
          <w:p>
            <w:pPr>
              <w:pStyle w:val="TableParagraph"/>
              <w:spacing w:line="203" w:lineRule="exact" w:before="4"/>
              <w:ind w:right="379"/>
              <w:jc w:val="right"/>
              <w:rPr>
                <w:sz w:val="18"/>
              </w:rPr>
            </w:pPr>
            <w:r>
              <w:rPr>
                <w:sz w:val="18"/>
              </w:rPr>
              <w:t>25</w:t>
            </w:r>
          </w:p>
        </w:tc>
      </w:tr>
      <w:tr>
        <w:trPr>
          <w:trHeight w:val="252" w:hRule="atLeast"/>
        </w:trPr>
        <w:tc>
          <w:tcPr>
            <w:tcW w:w="1368" w:type="dxa"/>
          </w:tcPr>
          <w:p>
            <w:pPr>
              <w:pStyle w:val="TableParagraph"/>
              <w:jc w:val="left"/>
              <w:rPr>
                <w:rFonts w:ascii="Times New Roman"/>
                <w:sz w:val="18"/>
              </w:rPr>
            </w:pPr>
          </w:p>
        </w:tc>
        <w:tc>
          <w:tcPr>
            <w:tcW w:w="3704" w:type="dxa"/>
            <w:tcBorders>
              <w:right w:val="single" w:sz="4" w:space="0" w:color="000000"/>
            </w:tcBorders>
          </w:tcPr>
          <w:p>
            <w:pPr>
              <w:pStyle w:val="TableParagraph"/>
              <w:spacing w:before="10"/>
              <w:ind w:left="68"/>
              <w:jc w:val="left"/>
              <w:rPr>
                <w:b/>
                <w:sz w:val="18"/>
              </w:rPr>
            </w:pPr>
            <w:r>
              <w:rPr>
                <w:b/>
                <w:sz w:val="18"/>
              </w:rPr>
              <w:t>Placa en sistema bicapa</w:t>
            </w:r>
          </w:p>
        </w:tc>
        <w:tc>
          <w:tcPr>
            <w:tcW w:w="1164" w:type="dxa"/>
            <w:tcBorders>
              <w:left w:val="single" w:sz="4" w:space="0" w:color="000000"/>
            </w:tcBorders>
          </w:tcPr>
          <w:p>
            <w:pPr>
              <w:pStyle w:val="TableParagraph"/>
              <w:spacing w:before="11"/>
              <w:ind w:right="379"/>
              <w:jc w:val="right"/>
              <w:rPr>
                <w:sz w:val="18"/>
              </w:rPr>
            </w:pPr>
            <w:r>
              <w:rPr>
                <w:sz w:val="18"/>
              </w:rPr>
              <w:t>15</w:t>
            </w:r>
          </w:p>
        </w:tc>
      </w:tr>
    </w:tbl>
    <w:p>
      <w:pPr>
        <w:tabs>
          <w:tab w:pos="1016" w:val="left" w:leader="none"/>
        </w:tabs>
        <w:spacing w:before="0"/>
        <w:ind w:left="1016" w:right="393" w:hanging="342"/>
        <w:jc w:val="left"/>
        <w:rPr>
          <w:sz w:val="16"/>
        </w:rPr>
      </w:pPr>
      <w:r>
        <w:rPr>
          <w:position w:val="6"/>
          <w:sz w:val="10"/>
        </w:rPr>
        <w:t>(1)</w:t>
        <w:tab/>
      </w:r>
      <w:r>
        <w:rPr>
          <w:sz w:val="16"/>
        </w:rPr>
        <w:t>En caso de cubiertas con varios sistemas de protección superpuestos se establece como pendiente mínima la menor de las pendientes para cada uno de los sistemas de</w:t>
      </w:r>
      <w:r>
        <w:rPr>
          <w:spacing w:val="1"/>
          <w:sz w:val="16"/>
        </w:rPr>
        <w:t> </w:t>
      </w:r>
      <w:r>
        <w:rPr>
          <w:sz w:val="16"/>
        </w:rPr>
        <w:t>protección.</w:t>
      </w:r>
    </w:p>
    <w:p>
      <w:pPr>
        <w:tabs>
          <w:tab w:pos="1034" w:val="left" w:leader="none"/>
        </w:tabs>
        <w:spacing w:line="240" w:lineRule="auto" w:before="0"/>
        <w:ind w:left="1034" w:right="393" w:hanging="360"/>
        <w:jc w:val="left"/>
        <w:rPr>
          <w:sz w:val="16"/>
        </w:rPr>
      </w:pPr>
      <w:r>
        <w:rPr>
          <w:position w:val="6"/>
          <w:sz w:val="10"/>
        </w:rPr>
        <w:t>(2)</w:t>
        <w:tab/>
      </w:r>
      <w:r>
        <w:rPr>
          <w:sz w:val="16"/>
        </w:rPr>
        <w:t>Para los sistemas y piezas de formato especial las pendientes deben establecerse de acuerdo con las correspondientes especificaciones de</w:t>
      </w:r>
      <w:r>
        <w:rPr>
          <w:spacing w:val="-3"/>
          <w:sz w:val="16"/>
        </w:rPr>
        <w:t> </w:t>
      </w:r>
      <w:r>
        <w:rPr>
          <w:sz w:val="16"/>
        </w:rPr>
        <w:t>aplicación.</w:t>
      </w:r>
    </w:p>
    <w:p>
      <w:pPr>
        <w:spacing w:after="0" w:line="240" w:lineRule="auto"/>
        <w:jc w:val="left"/>
        <w:rPr>
          <w:sz w:val="16"/>
        </w:rPr>
        <w:sectPr>
          <w:pgSz w:w="11910" w:h="16840"/>
          <w:pgMar w:header="724" w:footer="636" w:top="1320" w:bottom="840" w:left="1200" w:right="738"/>
        </w:sectPr>
      </w:pPr>
    </w:p>
    <w:p>
      <w:pPr>
        <w:spacing w:before="86"/>
        <w:ind w:left="1034" w:right="392" w:hanging="360"/>
        <w:jc w:val="both"/>
        <w:rPr>
          <w:sz w:val="16"/>
        </w:rPr>
      </w:pPr>
      <w:r>
        <w:rPr>
          <w:position w:val="6"/>
          <w:sz w:val="10"/>
        </w:rPr>
        <w:t>(3) </w:t>
      </w:r>
      <w:r>
        <w:rPr>
          <w:sz w:val="16"/>
        </w:rPr>
        <w:t>Estas pendientes son para faldones menores a 6,5 m, una situación de exposición normal y una situación climática desfavorable; para condiciones diferentes a éstas, se debe tomar el valor de la pendiente mínima establecida en norma UNE 127100 (“Tejas de hormigón. Código de práctica para la concepción y el montaje de cubiertas con tejas de hormigón”) ó en norma UNE 136020 (“Tejas cerámicas. Código de práctica para la concepción y el montaje de cubiertas con tejas cerámicas”).</w:t>
      </w:r>
    </w:p>
    <w:p>
      <w:pPr>
        <w:pStyle w:val="BodyText"/>
        <w:rPr>
          <w:sz w:val="18"/>
        </w:rPr>
      </w:pPr>
    </w:p>
    <w:p>
      <w:pPr>
        <w:pStyle w:val="BodyText"/>
        <w:rPr>
          <w:sz w:val="18"/>
        </w:rPr>
      </w:pPr>
    </w:p>
    <w:p>
      <w:pPr>
        <w:spacing w:before="116"/>
        <w:ind w:left="1958" w:right="392" w:firstLine="0"/>
        <w:jc w:val="both"/>
        <w:rPr>
          <w:sz w:val="16"/>
        </w:rPr>
      </w:pPr>
      <w:r>
        <w:rPr/>
        <w:pict>
          <v:line style="position:absolute;mso-position-horizontal-relative:page;mso-position-vertical-relative:paragraph;z-index:251742208" from="152.520004pt,5.923877pt" to="152.520004pt,61.123877pt" stroked="true" strokeweight=".48pt" strokecolor="#000000">
            <v:stroke dashstyle="solid"/>
            <w10:wrap type="none"/>
          </v:line>
        </w:pict>
      </w:r>
      <w:r>
        <w:rPr>
          <w:sz w:val="16"/>
        </w:rPr>
        <w:t>En el caso de pizarra: Esta pendiente es válida para todo tipo de lluvia eficaz, proyección horizontal y tipo de sujeción, siempre que las piezas tengan el recubrimiento especificado en UNE 22190-3 (“Productos de pizarra para tejados inclinados y revestimientos. Parte 3: Sistemas de colocación”). Podrían utilizarse pendientes menores, tomando los valores según lo especificado en la Tabla 6 de la UNE 22190-3 (“Pro- ductos de pizarra para tejados inclinados y revestimientos. Parte 3: Sistemas de colocación”) en función de las condiciones específicas de cada caso.</w:t>
      </w:r>
    </w:p>
    <w:p>
      <w:pPr>
        <w:pStyle w:val="BodyText"/>
        <w:spacing w:before="3"/>
        <w:rPr>
          <w:sz w:val="25"/>
        </w:rPr>
      </w:pPr>
    </w:p>
    <w:p>
      <w:pPr>
        <w:pStyle w:val="Heading6"/>
        <w:numPr>
          <w:ilvl w:val="3"/>
          <w:numId w:val="14"/>
        </w:numPr>
        <w:tabs>
          <w:tab w:pos="928" w:val="left" w:leader="none"/>
        </w:tabs>
        <w:spacing w:line="240" w:lineRule="auto" w:before="94" w:after="0"/>
        <w:ind w:left="927" w:right="0" w:hanging="710"/>
        <w:jc w:val="left"/>
        <w:rPr>
          <w:i/>
        </w:rPr>
      </w:pPr>
      <w:r>
        <w:rPr>
          <w:i/>
        </w:rPr>
        <w:t>Aislante</w:t>
      </w:r>
      <w:r>
        <w:rPr>
          <w:i/>
          <w:spacing w:val="-2"/>
        </w:rPr>
        <w:t> </w:t>
      </w:r>
      <w:r>
        <w:rPr>
          <w:i/>
        </w:rPr>
        <w:t>térmico</w:t>
      </w:r>
    </w:p>
    <w:p>
      <w:pPr>
        <w:pStyle w:val="ListParagraph"/>
        <w:numPr>
          <w:ilvl w:val="0"/>
          <w:numId w:val="42"/>
        </w:numPr>
        <w:tabs>
          <w:tab w:pos="672" w:val="left" w:leader="none"/>
        </w:tabs>
        <w:spacing w:line="240" w:lineRule="auto" w:before="159" w:after="0"/>
        <w:ind w:left="672" w:right="394" w:hanging="454"/>
        <w:jc w:val="both"/>
        <w:rPr>
          <w:sz w:val="20"/>
        </w:rPr>
      </w:pPr>
      <w:r>
        <w:rPr>
          <w:sz w:val="20"/>
        </w:rPr>
        <w:t>El material del </w:t>
      </w:r>
      <w:r>
        <w:rPr>
          <w:i/>
          <w:sz w:val="20"/>
        </w:rPr>
        <w:t>aislante térmico </w:t>
      </w:r>
      <w:r>
        <w:rPr>
          <w:sz w:val="20"/>
        </w:rPr>
        <w:t>debe tener una cohesión y una estabilidad suficiente para proporcionar al sistema la solidez necesaria frente a las solicitaciones</w:t>
      </w:r>
      <w:r>
        <w:rPr>
          <w:spacing w:val="-15"/>
          <w:sz w:val="20"/>
        </w:rPr>
        <w:t> </w:t>
      </w:r>
      <w:r>
        <w:rPr>
          <w:sz w:val="20"/>
        </w:rPr>
        <w:t>mecánicas.</w:t>
      </w:r>
    </w:p>
    <w:p>
      <w:pPr>
        <w:pStyle w:val="ListParagraph"/>
        <w:numPr>
          <w:ilvl w:val="0"/>
          <w:numId w:val="42"/>
        </w:numPr>
        <w:tabs>
          <w:tab w:pos="672" w:val="left" w:leader="none"/>
        </w:tabs>
        <w:spacing w:line="240" w:lineRule="auto" w:before="120" w:after="0"/>
        <w:ind w:left="672" w:right="392" w:hanging="454"/>
        <w:jc w:val="both"/>
        <w:rPr>
          <w:sz w:val="20"/>
        </w:rPr>
      </w:pPr>
      <w:r>
        <w:rPr>
          <w:sz w:val="20"/>
        </w:rPr>
        <w:t>Cuando el </w:t>
      </w:r>
      <w:r>
        <w:rPr>
          <w:i/>
          <w:sz w:val="20"/>
        </w:rPr>
        <w:t>aislante térmico </w:t>
      </w:r>
      <w:r>
        <w:rPr>
          <w:sz w:val="20"/>
        </w:rPr>
        <w:t>esté en contacto con la capa de </w:t>
      </w:r>
      <w:r>
        <w:rPr>
          <w:i/>
          <w:sz w:val="20"/>
        </w:rPr>
        <w:t>impermeabilización</w:t>
      </w:r>
      <w:r>
        <w:rPr>
          <w:sz w:val="20"/>
        </w:rPr>
        <w:t>, ambos materiales deben ser compatibles; en caso contrario debe disponerse una </w:t>
      </w:r>
      <w:r>
        <w:rPr>
          <w:i/>
          <w:sz w:val="20"/>
        </w:rPr>
        <w:t>capa separadora </w:t>
      </w:r>
      <w:r>
        <w:rPr>
          <w:sz w:val="20"/>
        </w:rPr>
        <w:t>entre</w:t>
      </w:r>
      <w:r>
        <w:rPr>
          <w:spacing w:val="-13"/>
          <w:sz w:val="20"/>
        </w:rPr>
        <w:t> </w:t>
      </w:r>
      <w:r>
        <w:rPr>
          <w:sz w:val="20"/>
        </w:rPr>
        <w:t>ellos.</w:t>
      </w:r>
    </w:p>
    <w:p>
      <w:pPr>
        <w:pStyle w:val="ListParagraph"/>
        <w:numPr>
          <w:ilvl w:val="0"/>
          <w:numId w:val="42"/>
        </w:numPr>
        <w:tabs>
          <w:tab w:pos="672" w:val="left" w:leader="none"/>
        </w:tabs>
        <w:spacing w:line="240" w:lineRule="auto" w:before="119" w:after="0"/>
        <w:ind w:left="672" w:right="391" w:hanging="454"/>
        <w:jc w:val="both"/>
        <w:rPr>
          <w:sz w:val="20"/>
        </w:rPr>
      </w:pPr>
      <w:r>
        <w:rPr>
          <w:sz w:val="20"/>
        </w:rPr>
        <w:t>Cuando el </w:t>
      </w:r>
      <w:r>
        <w:rPr>
          <w:i/>
          <w:sz w:val="20"/>
        </w:rPr>
        <w:t>aislante térmico </w:t>
      </w:r>
      <w:r>
        <w:rPr>
          <w:sz w:val="20"/>
        </w:rPr>
        <w:t>se disponga encima de la capa de </w:t>
      </w:r>
      <w:r>
        <w:rPr>
          <w:i/>
          <w:sz w:val="20"/>
        </w:rPr>
        <w:t>impermeabilización </w:t>
      </w:r>
      <w:r>
        <w:rPr>
          <w:sz w:val="20"/>
        </w:rPr>
        <w:t>y quede expuesto al contacto con el agua, dicho aislante debe tener unas características adecuadas para esta situación.</w:t>
      </w:r>
    </w:p>
    <w:p>
      <w:pPr>
        <w:pStyle w:val="BodyText"/>
        <w:spacing w:before="9"/>
        <w:rPr>
          <w:sz w:val="22"/>
        </w:rPr>
      </w:pPr>
    </w:p>
    <w:p>
      <w:pPr>
        <w:pStyle w:val="ListParagraph"/>
        <w:numPr>
          <w:ilvl w:val="3"/>
          <w:numId w:val="14"/>
        </w:numPr>
        <w:tabs>
          <w:tab w:pos="928" w:val="left" w:leader="none"/>
        </w:tabs>
        <w:spacing w:line="240" w:lineRule="auto" w:before="0" w:after="0"/>
        <w:ind w:left="927" w:right="0" w:hanging="710"/>
        <w:jc w:val="left"/>
        <w:rPr>
          <w:b/>
          <w:i/>
          <w:sz w:val="20"/>
        </w:rPr>
      </w:pPr>
      <w:r>
        <w:rPr>
          <w:b/>
          <w:sz w:val="20"/>
        </w:rPr>
        <w:t>Capa de</w:t>
      </w:r>
      <w:r>
        <w:rPr>
          <w:b/>
          <w:spacing w:val="-1"/>
          <w:sz w:val="20"/>
        </w:rPr>
        <w:t> </w:t>
      </w:r>
      <w:r>
        <w:rPr>
          <w:b/>
          <w:i/>
          <w:sz w:val="20"/>
        </w:rPr>
        <w:t>impermeabilización</w:t>
      </w:r>
    </w:p>
    <w:p>
      <w:pPr>
        <w:pStyle w:val="ListParagraph"/>
        <w:numPr>
          <w:ilvl w:val="0"/>
          <w:numId w:val="43"/>
        </w:numPr>
        <w:tabs>
          <w:tab w:pos="672" w:val="left" w:leader="none"/>
        </w:tabs>
        <w:spacing w:line="240" w:lineRule="auto" w:before="159" w:after="0"/>
        <w:ind w:left="672" w:right="392" w:hanging="454"/>
        <w:jc w:val="both"/>
        <w:rPr>
          <w:sz w:val="20"/>
        </w:rPr>
      </w:pPr>
      <w:r>
        <w:rPr>
          <w:sz w:val="20"/>
        </w:rPr>
        <w:t>Cuando se disponga una capa de </w:t>
      </w:r>
      <w:r>
        <w:rPr>
          <w:i/>
          <w:sz w:val="20"/>
        </w:rPr>
        <w:t>impermeabilización</w:t>
      </w:r>
      <w:r>
        <w:rPr>
          <w:sz w:val="20"/>
        </w:rPr>
        <w:t>, ésta debe aplicarse y fijarse de acuerdo con las condiciones para cada tipo de material constitutivo de la</w:t>
      </w:r>
      <w:r>
        <w:rPr>
          <w:spacing w:val="-10"/>
          <w:sz w:val="20"/>
        </w:rPr>
        <w:t> </w:t>
      </w:r>
      <w:r>
        <w:rPr>
          <w:sz w:val="20"/>
        </w:rPr>
        <w:t>misma.</w:t>
      </w:r>
    </w:p>
    <w:p>
      <w:pPr>
        <w:pStyle w:val="ListParagraph"/>
        <w:numPr>
          <w:ilvl w:val="0"/>
          <w:numId w:val="43"/>
        </w:numPr>
        <w:tabs>
          <w:tab w:pos="672" w:val="left" w:leader="none"/>
        </w:tabs>
        <w:spacing w:line="240" w:lineRule="auto" w:before="119" w:after="0"/>
        <w:ind w:left="672" w:right="391" w:hanging="454"/>
        <w:jc w:val="both"/>
        <w:rPr>
          <w:sz w:val="20"/>
        </w:rPr>
      </w:pPr>
      <w:r>
        <w:rPr>
          <w:sz w:val="20"/>
        </w:rPr>
        <w:t>Se pueden usar los materiales especificados a continuación u otro material que produzca el mismo efecto.</w:t>
      </w:r>
    </w:p>
    <w:p>
      <w:pPr>
        <w:pStyle w:val="BodyText"/>
        <w:spacing w:before="9"/>
        <w:rPr>
          <w:sz w:val="23"/>
        </w:rPr>
      </w:pPr>
    </w:p>
    <w:p>
      <w:pPr>
        <w:pStyle w:val="ListParagraph"/>
        <w:numPr>
          <w:ilvl w:val="4"/>
          <w:numId w:val="14"/>
        </w:numPr>
        <w:tabs>
          <w:tab w:pos="1071" w:val="left" w:leader="none"/>
        </w:tabs>
        <w:spacing w:line="240" w:lineRule="auto" w:before="0" w:after="0"/>
        <w:ind w:left="1070" w:right="0" w:hanging="853"/>
        <w:jc w:val="left"/>
        <w:rPr>
          <w:b/>
          <w:sz w:val="20"/>
        </w:rPr>
      </w:pPr>
      <w:r>
        <w:rPr>
          <w:b/>
          <w:i/>
          <w:sz w:val="20"/>
        </w:rPr>
        <w:t>Impermeabilización </w:t>
      </w:r>
      <w:r>
        <w:rPr>
          <w:b/>
          <w:sz w:val="20"/>
        </w:rPr>
        <w:t>con materiales bituminosos y bituminosos</w:t>
      </w:r>
      <w:r>
        <w:rPr>
          <w:b/>
          <w:spacing w:val="-14"/>
          <w:sz w:val="20"/>
        </w:rPr>
        <w:t> </w:t>
      </w:r>
      <w:r>
        <w:rPr>
          <w:b/>
          <w:sz w:val="20"/>
        </w:rPr>
        <w:t>modificados</w:t>
      </w:r>
    </w:p>
    <w:p>
      <w:pPr>
        <w:pStyle w:val="ListParagraph"/>
        <w:numPr>
          <w:ilvl w:val="0"/>
          <w:numId w:val="44"/>
        </w:numPr>
        <w:tabs>
          <w:tab w:pos="671" w:val="left" w:leader="none"/>
          <w:tab w:pos="672" w:val="left" w:leader="none"/>
        </w:tabs>
        <w:spacing w:line="240" w:lineRule="auto" w:before="158" w:after="0"/>
        <w:ind w:left="671" w:right="0" w:hanging="454"/>
        <w:jc w:val="left"/>
        <w:rPr>
          <w:sz w:val="20"/>
        </w:rPr>
      </w:pPr>
      <w:r>
        <w:rPr>
          <w:sz w:val="20"/>
        </w:rPr>
        <w:t>Las láminas pueden ser de oxiasfalto o de betún</w:t>
      </w:r>
      <w:r>
        <w:rPr>
          <w:spacing w:val="-11"/>
          <w:sz w:val="20"/>
        </w:rPr>
        <w:t> </w:t>
      </w:r>
      <w:r>
        <w:rPr>
          <w:sz w:val="20"/>
        </w:rPr>
        <w:t>modificado.</w:t>
      </w:r>
    </w:p>
    <w:p>
      <w:pPr>
        <w:pStyle w:val="ListParagraph"/>
        <w:numPr>
          <w:ilvl w:val="0"/>
          <w:numId w:val="44"/>
        </w:numPr>
        <w:tabs>
          <w:tab w:pos="672" w:val="left" w:leader="none"/>
        </w:tabs>
        <w:spacing w:line="240" w:lineRule="auto" w:before="119" w:after="0"/>
        <w:ind w:left="672" w:right="392" w:hanging="454"/>
        <w:jc w:val="both"/>
        <w:rPr>
          <w:i/>
          <w:sz w:val="20"/>
        </w:rPr>
      </w:pPr>
      <w:r>
        <w:rPr>
          <w:sz w:val="20"/>
        </w:rPr>
        <w:t>Cuando la pendiente de la cubierta sea mayor que 15%, deben utilizarse </w:t>
      </w:r>
      <w:r>
        <w:rPr>
          <w:i/>
          <w:sz w:val="20"/>
        </w:rPr>
        <w:t>sistemas fijados </w:t>
      </w:r>
      <w:r>
        <w:rPr>
          <w:i/>
          <w:sz w:val="20"/>
        </w:rPr>
        <w:t>mecánicamente.</w:t>
      </w:r>
    </w:p>
    <w:p>
      <w:pPr>
        <w:pStyle w:val="ListParagraph"/>
        <w:numPr>
          <w:ilvl w:val="0"/>
          <w:numId w:val="44"/>
        </w:numPr>
        <w:tabs>
          <w:tab w:pos="672" w:val="left" w:leader="none"/>
        </w:tabs>
        <w:spacing w:line="240" w:lineRule="auto" w:before="121" w:after="0"/>
        <w:ind w:left="672" w:right="391" w:hanging="454"/>
        <w:jc w:val="both"/>
        <w:rPr>
          <w:sz w:val="20"/>
        </w:rPr>
      </w:pPr>
      <w:r>
        <w:rPr>
          <w:sz w:val="20"/>
        </w:rPr>
        <w:t>Cuando la pendiente de la cubierta esté comprendida entre 5 y 15%, deben utilizarse </w:t>
      </w:r>
      <w:r>
        <w:rPr>
          <w:i/>
          <w:sz w:val="20"/>
        </w:rPr>
        <w:t>sistemas </w:t>
      </w:r>
      <w:r>
        <w:rPr>
          <w:i/>
          <w:sz w:val="20"/>
        </w:rPr>
        <w:t>adheridos</w:t>
      </w:r>
      <w:r>
        <w:rPr>
          <w:sz w:val="20"/>
        </w:rPr>
        <w:t>.</w:t>
      </w:r>
    </w:p>
    <w:p>
      <w:pPr>
        <w:pStyle w:val="ListParagraph"/>
        <w:numPr>
          <w:ilvl w:val="0"/>
          <w:numId w:val="44"/>
        </w:numPr>
        <w:tabs>
          <w:tab w:pos="673" w:val="left" w:leader="none"/>
        </w:tabs>
        <w:spacing w:line="240" w:lineRule="auto" w:before="120" w:after="0"/>
        <w:ind w:left="672" w:right="391" w:hanging="454"/>
        <w:jc w:val="both"/>
        <w:rPr>
          <w:sz w:val="20"/>
        </w:rPr>
      </w:pPr>
      <w:r>
        <w:rPr>
          <w:sz w:val="20"/>
        </w:rPr>
        <w:t>Cuando se quiera independizar el </w:t>
      </w:r>
      <w:r>
        <w:rPr>
          <w:i/>
          <w:sz w:val="20"/>
        </w:rPr>
        <w:t>impermeabilizante </w:t>
      </w:r>
      <w:r>
        <w:rPr>
          <w:sz w:val="20"/>
        </w:rPr>
        <w:t>del elemento que le sirve de soporte para mejorar la absorción de movimientos estructurales, deben utilizarse </w:t>
      </w:r>
      <w:r>
        <w:rPr>
          <w:i/>
          <w:sz w:val="20"/>
        </w:rPr>
        <w:t>sistemas no</w:t>
      </w:r>
      <w:r>
        <w:rPr>
          <w:i/>
          <w:spacing w:val="-26"/>
          <w:sz w:val="20"/>
        </w:rPr>
        <w:t> </w:t>
      </w:r>
      <w:r>
        <w:rPr>
          <w:i/>
          <w:sz w:val="20"/>
        </w:rPr>
        <w:t>adheridos</w:t>
      </w:r>
      <w:r>
        <w:rPr>
          <w:sz w:val="20"/>
        </w:rPr>
        <w:t>.</w:t>
      </w:r>
    </w:p>
    <w:p>
      <w:pPr>
        <w:pStyle w:val="ListParagraph"/>
        <w:numPr>
          <w:ilvl w:val="0"/>
          <w:numId w:val="44"/>
        </w:numPr>
        <w:tabs>
          <w:tab w:pos="671" w:val="left" w:leader="none"/>
          <w:tab w:pos="673" w:val="left" w:leader="none"/>
        </w:tabs>
        <w:spacing w:line="240" w:lineRule="auto" w:before="119" w:after="0"/>
        <w:ind w:left="672" w:right="0" w:hanging="455"/>
        <w:jc w:val="left"/>
        <w:rPr>
          <w:sz w:val="20"/>
        </w:rPr>
      </w:pPr>
      <w:r>
        <w:rPr>
          <w:sz w:val="20"/>
        </w:rPr>
        <w:t>Cuando se utilicen </w:t>
      </w:r>
      <w:r>
        <w:rPr>
          <w:i/>
          <w:sz w:val="20"/>
        </w:rPr>
        <w:t>sistemas no adheridos </w:t>
      </w:r>
      <w:r>
        <w:rPr>
          <w:sz w:val="20"/>
        </w:rPr>
        <w:t>debe emplearse una </w:t>
      </w:r>
      <w:r>
        <w:rPr>
          <w:i/>
          <w:sz w:val="20"/>
        </w:rPr>
        <w:t>capa de protección</w:t>
      </w:r>
      <w:r>
        <w:rPr>
          <w:i/>
          <w:spacing w:val="-17"/>
          <w:sz w:val="20"/>
        </w:rPr>
        <w:t> </w:t>
      </w:r>
      <w:r>
        <w:rPr>
          <w:sz w:val="20"/>
        </w:rPr>
        <w:t>pesada.</w:t>
      </w:r>
    </w:p>
    <w:p>
      <w:pPr>
        <w:pStyle w:val="BodyText"/>
        <w:spacing w:before="8"/>
        <w:rPr>
          <w:sz w:val="23"/>
        </w:rPr>
      </w:pPr>
    </w:p>
    <w:p>
      <w:pPr>
        <w:pStyle w:val="ListParagraph"/>
        <w:numPr>
          <w:ilvl w:val="4"/>
          <w:numId w:val="14"/>
        </w:numPr>
        <w:tabs>
          <w:tab w:pos="1071" w:val="left" w:leader="none"/>
        </w:tabs>
        <w:spacing w:line="240" w:lineRule="auto" w:before="1" w:after="0"/>
        <w:ind w:left="1070" w:right="0" w:hanging="853"/>
        <w:jc w:val="left"/>
        <w:rPr>
          <w:b/>
          <w:sz w:val="20"/>
        </w:rPr>
      </w:pPr>
      <w:r>
        <w:rPr>
          <w:b/>
          <w:i/>
          <w:sz w:val="20"/>
        </w:rPr>
        <w:t>Impermeabilización </w:t>
      </w:r>
      <w:r>
        <w:rPr>
          <w:b/>
          <w:sz w:val="20"/>
        </w:rPr>
        <w:t>con poli (cloruro de vinilo)</w:t>
      </w:r>
      <w:r>
        <w:rPr>
          <w:b/>
          <w:spacing w:val="-10"/>
          <w:sz w:val="20"/>
        </w:rPr>
        <w:t> </w:t>
      </w:r>
      <w:r>
        <w:rPr>
          <w:b/>
          <w:sz w:val="20"/>
        </w:rPr>
        <w:t>plastificado</w:t>
      </w:r>
    </w:p>
    <w:p>
      <w:pPr>
        <w:pStyle w:val="ListParagraph"/>
        <w:numPr>
          <w:ilvl w:val="0"/>
          <w:numId w:val="45"/>
        </w:numPr>
        <w:tabs>
          <w:tab w:pos="672" w:val="left" w:leader="none"/>
        </w:tabs>
        <w:spacing w:line="240" w:lineRule="auto" w:before="157" w:after="0"/>
        <w:ind w:left="672" w:right="391" w:hanging="454"/>
        <w:jc w:val="both"/>
        <w:rPr>
          <w:sz w:val="20"/>
        </w:rPr>
      </w:pPr>
      <w:r>
        <w:rPr>
          <w:sz w:val="20"/>
        </w:rPr>
        <w:t>Cuando la pendiente de la cubierta sea mayor que 15%, deben utilizarse </w:t>
      </w:r>
      <w:r>
        <w:rPr>
          <w:i/>
          <w:sz w:val="20"/>
        </w:rPr>
        <w:t>sistemas fijados </w:t>
      </w:r>
      <w:r>
        <w:rPr>
          <w:i/>
          <w:sz w:val="20"/>
        </w:rPr>
        <w:t>mecánicamente</w:t>
      </w:r>
      <w:r>
        <w:rPr>
          <w:sz w:val="20"/>
        </w:rPr>
        <w:t>.</w:t>
      </w:r>
    </w:p>
    <w:p>
      <w:pPr>
        <w:pStyle w:val="ListParagraph"/>
        <w:numPr>
          <w:ilvl w:val="0"/>
          <w:numId w:val="45"/>
        </w:numPr>
        <w:tabs>
          <w:tab w:pos="672" w:val="left" w:leader="none"/>
        </w:tabs>
        <w:spacing w:line="240" w:lineRule="auto" w:before="120" w:after="0"/>
        <w:ind w:left="672" w:right="392" w:hanging="454"/>
        <w:jc w:val="both"/>
        <w:rPr>
          <w:sz w:val="20"/>
        </w:rPr>
      </w:pPr>
      <w:r>
        <w:rPr>
          <w:sz w:val="20"/>
        </w:rPr>
        <w:t>Cuando la cubierta no tenga protección, deben utilizarse </w:t>
      </w:r>
      <w:r>
        <w:rPr>
          <w:i/>
          <w:sz w:val="20"/>
        </w:rPr>
        <w:t>sistemas adheridos </w:t>
      </w:r>
      <w:r>
        <w:rPr>
          <w:sz w:val="20"/>
        </w:rPr>
        <w:t>o </w:t>
      </w:r>
      <w:r>
        <w:rPr>
          <w:i/>
          <w:sz w:val="20"/>
        </w:rPr>
        <w:t>fijados </w:t>
      </w:r>
      <w:r>
        <w:rPr>
          <w:i/>
          <w:sz w:val="20"/>
        </w:rPr>
        <w:t>mecánicamente</w:t>
      </w:r>
      <w:r>
        <w:rPr>
          <w:sz w:val="20"/>
        </w:rPr>
        <w:t>.</w:t>
      </w:r>
    </w:p>
    <w:p>
      <w:pPr>
        <w:pStyle w:val="ListParagraph"/>
        <w:numPr>
          <w:ilvl w:val="0"/>
          <w:numId w:val="45"/>
        </w:numPr>
        <w:tabs>
          <w:tab w:pos="671" w:val="left" w:leader="none"/>
          <w:tab w:pos="673" w:val="left" w:leader="none"/>
        </w:tabs>
        <w:spacing w:line="240" w:lineRule="auto" w:before="119" w:after="0"/>
        <w:ind w:left="672" w:right="0" w:hanging="455"/>
        <w:jc w:val="left"/>
        <w:rPr>
          <w:sz w:val="20"/>
        </w:rPr>
      </w:pPr>
      <w:r>
        <w:rPr>
          <w:sz w:val="20"/>
        </w:rPr>
        <w:t>Cuando se utilicen </w:t>
      </w:r>
      <w:r>
        <w:rPr>
          <w:i/>
          <w:sz w:val="20"/>
        </w:rPr>
        <w:t>sistemas no adheridos</w:t>
      </w:r>
      <w:r>
        <w:rPr>
          <w:sz w:val="20"/>
        </w:rPr>
        <w:t>, debe emplearse una </w:t>
      </w:r>
      <w:r>
        <w:rPr>
          <w:i/>
          <w:sz w:val="20"/>
        </w:rPr>
        <w:t>capa de protección</w:t>
      </w:r>
      <w:r>
        <w:rPr>
          <w:i/>
          <w:spacing w:val="-16"/>
          <w:sz w:val="20"/>
        </w:rPr>
        <w:t> </w:t>
      </w:r>
      <w:r>
        <w:rPr>
          <w:sz w:val="20"/>
        </w:rPr>
        <w:t>pesada.</w:t>
      </w:r>
    </w:p>
    <w:p>
      <w:pPr>
        <w:pStyle w:val="BodyText"/>
        <w:spacing w:before="9"/>
        <w:rPr>
          <w:sz w:val="23"/>
        </w:rPr>
      </w:pPr>
    </w:p>
    <w:p>
      <w:pPr>
        <w:pStyle w:val="ListParagraph"/>
        <w:numPr>
          <w:ilvl w:val="4"/>
          <w:numId w:val="14"/>
        </w:numPr>
        <w:tabs>
          <w:tab w:pos="1071" w:val="left" w:leader="none"/>
        </w:tabs>
        <w:spacing w:line="240" w:lineRule="auto" w:before="0" w:after="0"/>
        <w:ind w:left="1070" w:right="0" w:hanging="853"/>
        <w:jc w:val="left"/>
        <w:rPr>
          <w:b/>
          <w:sz w:val="20"/>
        </w:rPr>
      </w:pPr>
      <w:r>
        <w:rPr>
          <w:b/>
          <w:i/>
          <w:sz w:val="20"/>
        </w:rPr>
        <w:t>Impermeabilización </w:t>
      </w:r>
      <w:r>
        <w:rPr>
          <w:b/>
          <w:sz w:val="20"/>
        </w:rPr>
        <w:t>con etileno propileno dieno</w:t>
      </w:r>
      <w:r>
        <w:rPr>
          <w:b/>
          <w:spacing w:val="-8"/>
          <w:sz w:val="20"/>
        </w:rPr>
        <w:t> </w:t>
      </w:r>
      <w:r>
        <w:rPr>
          <w:b/>
          <w:sz w:val="20"/>
        </w:rPr>
        <w:t>monómero</w:t>
      </w:r>
    </w:p>
    <w:p>
      <w:pPr>
        <w:pStyle w:val="ListParagraph"/>
        <w:numPr>
          <w:ilvl w:val="0"/>
          <w:numId w:val="46"/>
        </w:numPr>
        <w:tabs>
          <w:tab w:pos="672" w:val="left" w:leader="none"/>
        </w:tabs>
        <w:spacing w:line="240" w:lineRule="auto" w:before="157" w:after="0"/>
        <w:ind w:left="672" w:right="392" w:hanging="454"/>
        <w:jc w:val="both"/>
        <w:rPr>
          <w:sz w:val="20"/>
        </w:rPr>
      </w:pPr>
      <w:r>
        <w:rPr>
          <w:sz w:val="20"/>
        </w:rPr>
        <w:t>Cuando la pendiente de la cubierta sea mayor que 15%, deben utilizarse </w:t>
      </w:r>
      <w:r>
        <w:rPr>
          <w:i/>
          <w:sz w:val="20"/>
        </w:rPr>
        <w:t>sistemas fijados </w:t>
      </w:r>
      <w:r>
        <w:rPr>
          <w:i/>
          <w:sz w:val="20"/>
        </w:rPr>
        <w:t>mecánicamente</w:t>
      </w:r>
      <w:r>
        <w:rPr>
          <w:sz w:val="20"/>
        </w:rPr>
        <w:t>.</w:t>
      </w:r>
    </w:p>
    <w:p>
      <w:pPr>
        <w:pStyle w:val="ListParagraph"/>
        <w:numPr>
          <w:ilvl w:val="0"/>
          <w:numId w:val="46"/>
        </w:numPr>
        <w:tabs>
          <w:tab w:pos="672" w:val="left" w:leader="none"/>
        </w:tabs>
        <w:spacing w:line="240" w:lineRule="auto" w:before="120" w:after="0"/>
        <w:ind w:left="672" w:right="392" w:hanging="454"/>
        <w:jc w:val="both"/>
        <w:rPr>
          <w:sz w:val="20"/>
        </w:rPr>
      </w:pPr>
      <w:r>
        <w:rPr>
          <w:sz w:val="20"/>
        </w:rPr>
        <w:t>Cuando la cubierta no tenga protección, deben utilizarse </w:t>
      </w:r>
      <w:r>
        <w:rPr>
          <w:i/>
          <w:sz w:val="20"/>
        </w:rPr>
        <w:t>sistemas adheridos </w:t>
      </w:r>
      <w:r>
        <w:rPr>
          <w:sz w:val="20"/>
        </w:rPr>
        <w:t>o </w:t>
      </w:r>
      <w:r>
        <w:rPr>
          <w:i/>
          <w:sz w:val="20"/>
        </w:rPr>
        <w:t>fijados </w:t>
      </w:r>
      <w:r>
        <w:rPr>
          <w:i/>
          <w:sz w:val="20"/>
        </w:rPr>
        <w:t>mecánicamente</w:t>
      </w:r>
      <w:r>
        <w:rPr>
          <w:sz w:val="20"/>
        </w:rPr>
        <w:t>.</w:t>
      </w:r>
    </w:p>
    <w:p>
      <w:pPr>
        <w:pStyle w:val="ListParagraph"/>
        <w:numPr>
          <w:ilvl w:val="0"/>
          <w:numId w:val="46"/>
        </w:numPr>
        <w:tabs>
          <w:tab w:pos="671" w:val="left" w:leader="none"/>
          <w:tab w:pos="672" w:val="left" w:leader="none"/>
        </w:tabs>
        <w:spacing w:line="240" w:lineRule="auto" w:before="121" w:after="0"/>
        <w:ind w:left="671" w:right="0" w:hanging="454"/>
        <w:jc w:val="left"/>
        <w:rPr>
          <w:sz w:val="20"/>
        </w:rPr>
      </w:pPr>
      <w:r>
        <w:rPr>
          <w:sz w:val="20"/>
        </w:rPr>
        <w:t>Cuando se utilicen </w:t>
      </w:r>
      <w:r>
        <w:rPr>
          <w:i/>
          <w:sz w:val="20"/>
        </w:rPr>
        <w:t>sistemas no adheridos</w:t>
      </w:r>
      <w:r>
        <w:rPr>
          <w:sz w:val="20"/>
        </w:rPr>
        <w:t>, debe emplearse una </w:t>
      </w:r>
      <w:r>
        <w:rPr>
          <w:i/>
          <w:sz w:val="20"/>
        </w:rPr>
        <w:t>capa de protección</w:t>
      </w:r>
      <w:r>
        <w:rPr>
          <w:i/>
          <w:spacing w:val="-16"/>
          <w:sz w:val="20"/>
        </w:rPr>
        <w:t> </w:t>
      </w:r>
      <w:r>
        <w:rPr>
          <w:sz w:val="20"/>
        </w:rPr>
        <w:t>pesada.</w:t>
      </w:r>
    </w:p>
    <w:p>
      <w:pPr>
        <w:spacing w:after="0" w:line="240" w:lineRule="auto"/>
        <w:jc w:val="left"/>
        <w:rPr>
          <w:sz w:val="20"/>
        </w:rPr>
        <w:sectPr>
          <w:pgSz w:w="11910" w:h="16840"/>
          <w:pgMar w:header="724" w:footer="636" w:top="1320" w:bottom="840" w:left="1200" w:right="738"/>
        </w:sectPr>
      </w:pPr>
    </w:p>
    <w:p>
      <w:pPr>
        <w:pStyle w:val="ListParagraph"/>
        <w:numPr>
          <w:ilvl w:val="4"/>
          <w:numId w:val="14"/>
        </w:numPr>
        <w:tabs>
          <w:tab w:pos="1071" w:val="left" w:leader="none"/>
        </w:tabs>
        <w:spacing w:line="240" w:lineRule="auto" w:before="101" w:after="0"/>
        <w:ind w:left="1070" w:right="0" w:hanging="853"/>
        <w:jc w:val="left"/>
        <w:rPr>
          <w:b/>
          <w:sz w:val="20"/>
        </w:rPr>
      </w:pPr>
      <w:r>
        <w:rPr>
          <w:b/>
          <w:i/>
          <w:sz w:val="20"/>
        </w:rPr>
        <w:t>Impermeabilización </w:t>
      </w:r>
      <w:r>
        <w:rPr>
          <w:b/>
          <w:sz w:val="20"/>
        </w:rPr>
        <w:t>con</w:t>
      </w:r>
      <w:r>
        <w:rPr>
          <w:b/>
          <w:spacing w:val="-4"/>
          <w:sz w:val="20"/>
        </w:rPr>
        <w:t> </w:t>
      </w:r>
      <w:r>
        <w:rPr>
          <w:b/>
          <w:sz w:val="20"/>
        </w:rPr>
        <w:t>poliolefinas</w:t>
      </w:r>
    </w:p>
    <w:p>
      <w:pPr>
        <w:pStyle w:val="BodyText"/>
        <w:tabs>
          <w:tab w:pos="671" w:val="left" w:leader="none"/>
        </w:tabs>
        <w:spacing w:before="158"/>
        <w:ind w:left="218"/>
      </w:pPr>
      <w:r>
        <w:rPr/>
        <w:t>1</w:t>
        <w:tab/>
        <w:t>Deben utilizarse láminas de alta</w:t>
      </w:r>
      <w:r>
        <w:rPr>
          <w:spacing w:val="-1"/>
        </w:rPr>
        <w:t> </w:t>
      </w:r>
      <w:r>
        <w:rPr/>
        <w:t>flexibilidad.</w:t>
      </w:r>
    </w:p>
    <w:p>
      <w:pPr>
        <w:pStyle w:val="BodyText"/>
        <w:spacing w:before="8"/>
        <w:rPr>
          <w:sz w:val="23"/>
        </w:rPr>
      </w:pPr>
    </w:p>
    <w:p>
      <w:pPr>
        <w:pStyle w:val="ListParagraph"/>
        <w:numPr>
          <w:ilvl w:val="4"/>
          <w:numId w:val="14"/>
        </w:numPr>
        <w:tabs>
          <w:tab w:pos="1071" w:val="left" w:leader="none"/>
        </w:tabs>
        <w:spacing w:line="240" w:lineRule="auto" w:before="0" w:after="0"/>
        <w:ind w:left="1070" w:right="0" w:hanging="853"/>
        <w:jc w:val="left"/>
        <w:rPr>
          <w:b/>
          <w:sz w:val="20"/>
        </w:rPr>
      </w:pPr>
      <w:r>
        <w:rPr>
          <w:b/>
          <w:i/>
          <w:sz w:val="20"/>
        </w:rPr>
        <w:t>Impermeabilización </w:t>
      </w:r>
      <w:r>
        <w:rPr>
          <w:b/>
          <w:sz w:val="20"/>
        </w:rPr>
        <w:t>con un sistema de</w:t>
      </w:r>
      <w:r>
        <w:rPr>
          <w:b/>
          <w:spacing w:val="-5"/>
          <w:sz w:val="20"/>
        </w:rPr>
        <w:t> </w:t>
      </w:r>
      <w:r>
        <w:rPr>
          <w:b/>
          <w:sz w:val="20"/>
        </w:rPr>
        <w:t>placas</w:t>
      </w:r>
    </w:p>
    <w:p>
      <w:pPr>
        <w:pStyle w:val="ListParagraph"/>
        <w:numPr>
          <w:ilvl w:val="0"/>
          <w:numId w:val="47"/>
        </w:numPr>
        <w:tabs>
          <w:tab w:pos="672" w:val="left" w:leader="none"/>
        </w:tabs>
        <w:spacing w:line="240" w:lineRule="auto" w:before="158" w:after="0"/>
        <w:ind w:left="672" w:right="391" w:hanging="454"/>
        <w:jc w:val="both"/>
        <w:rPr>
          <w:sz w:val="20"/>
        </w:rPr>
      </w:pPr>
      <w:r>
        <w:rPr>
          <w:sz w:val="20"/>
        </w:rPr>
        <w:t>El solapo de las placas debe establecerse de acuerdo con la pendiente del elemento que les sirve de soporte y de otros factores relacionados con la situación de la cubierta, tales como </w:t>
      </w:r>
      <w:r>
        <w:rPr>
          <w:i/>
          <w:sz w:val="20"/>
        </w:rPr>
        <w:t>zona eólica</w:t>
      </w:r>
      <w:r>
        <w:rPr>
          <w:sz w:val="20"/>
        </w:rPr>
        <w:t>, tormentas y altitud</w:t>
      </w:r>
      <w:r>
        <w:rPr>
          <w:spacing w:val="-1"/>
          <w:sz w:val="20"/>
        </w:rPr>
        <w:t> </w:t>
      </w:r>
      <w:r>
        <w:rPr>
          <w:sz w:val="20"/>
        </w:rPr>
        <w:t>topográfica.</w:t>
      </w:r>
    </w:p>
    <w:p>
      <w:pPr>
        <w:pStyle w:val="ListParagraph"/>
        <w:numPr>
          <w:ilvl w:val="0"/>
          <w:numId w:val="47"/>
        </w:numPr>
        <w:tabs>
          <w:tab w:pos="672" w:val="left" w:leader="none"/>
        </w:tabs>
        <w:spacing w:line="240" w:lineRule="auto" w:before="120" w:after="0"/>
        <w:ind w:left="672" w:right="392" w:hanging="454"/>
        <w:jc w:val="both"/>
        <w:rPr>
          <w:sz w:val="20"/>
        </w:rPr>
      </w:pPr>
      <w:r>
        <w:rPr>
          <w:sz w:val="20"/>
        </w:rPr>
        <w:t>Debe recibirse o fijarse al soporte una cantidad de piezas suficiente para garantizar su estabilidad dependiendo de la pendiente de la cubierta, del tipo de piezas y del solapo de las mismas, así como de la zona geográfica del emplazamiento del</w:t>
      </w:r>
      <w:r>
        <w:rPr>
          <w:spacing w:val="-3"/>
          <w:sz w:val="20"/>
        </w:rPr>
        <w:t> </w:t>
      </w:r>
      <w:r>
        <w:rPr>
          <w:sz w:val="20"/>
        </w:rPr>
        <w:t>edificio.</w:t>
      </w:r>
    </w:p>
    <w:p>
      <w:pPr>
        <w:pStyle w:val="BodyText"/>
        <w:spacing w:before="8"/>
        <w:rPr>
          <w:sz w:val="23"/>
        </w:rPr>
      </w:pPr>
    </w:p>
    <w:p>
      <w:pPr>
        <w:pStyle w:val="Heading6"/>
        <w:numPr>
          <w:ilvl w:val="3"/>
          <w:numId w:val="14"/>
        </w:numPr>
        <w:tabs>
          <w:tab w:pos="1070" w:val="left" w:leader="none"/>
          <w:tab w:pos="1071" w:val="left" w:leader="none"/>
        </w:tabs>
        <w:spacing w:line="240" w:lineRule="auto" w:before="0" w:after="0"/>
        <w:ind w:left="1070" w:right="0" w:hanging="853"/>
        <w:jc w:val="left"/>
        <w:rPr>
          <w:i/>
        </w:rPr>
      </w:pPr>
      <w:r>
        <w:rPr>
          <w:i/>
        </w:rPr>
        <w:t>Cámara de aire</w:t>
      </w:r>
      <w:r>
        <w:rPr>
          <w:i/>
          <w:spacing w:val="-4"/>
        </w:rPr>
        <w:t> </w:t>
      </w:r>
      <w:r>
        <w:rPr>
          <w:i/>
        </w:rPr>
        <w:t>ventilada</w:t>
      </w:r>
    </w:p>
    <w:p>
      <w:pPr>
        <w:pStyle w:val="BodyText"/>
        <w:spacing w:before="158"/>
        <w:ind w:left="672" w:right="391" w:hanging="454"/>
        <w:jc w:val="both"/>
      </w:pPr>
      <w:r>
        <w:rPr/>
        <w:t>1     Cuando se disponga una cámara de aire, ésta debe situarse en el lado exterior del </w:t>
      </w:r>
      <w:r>
        <w:rPr>
          <w:i/>
        </w:rPr>
        <w:t>aislante térmico  </w:t>
      </w:r>
      <w:r>
        <w:rPr/>
        <w:t>y ventilarse mediante un conjunto de aberturas de tal forma que el cociente entre su </w:t>
      </w:r>
      <w:r>
        <w:rPr>
          <w:i/>
        </w:rPr>
        <w:t>área efectiva</w:t>
      </w:r>
      <w:r>
        <w:rPr>
          <w:i/>
          <w:position w:val="1"/>
        </w:rPr>
        <w:t> </w:t>
      </w:r>
      <w:r>
        <w:rPr>
          <w:position w:val="1"/>
        </w:rPr>
        <w:t>total, S</w:t>
      </w:r>
      <w:r>
        <w:rPr>
          <w:sz w:val="13"/>
        </w:rPr>
        <w:t>s, </w:t>
      </w:r>
      <w:r>
        <w:rPr>
          <w:position w:val="1"/>
        </w:rPr>
        <w:t>en cm</w:t>
      </w:r>
      <w:r>
        <w:rPr>
          <w:position w:val="1"/>
          <w:vertAlign w:val="superscript"/>
        </w:rPr>
        <w:t>2</w:t>
      </w:r>
      <w:r>
        <w:rPr>
          <w:position w:val="1"/>
          <w:vertAlign w:val="baseline"/>
        </w:rPr>
        <w:t>, y la superficie de la cubierta, A</w:t>
      </w:r>
      <w:r>
        <w:rPr>
          <w:sz w:val="13"/>
          <w:vertAlign w:val="baseline"/>
        </w:rPr>
        <w:t>c</w:t>
      </w:r>
      <w:r>
        <w:rPr>
          <w:position w:val="1"/>
          <w:vertAlign w:val="baseline"/>
        </w:rPr>
        <w:t>, en m</w:t>
      </w:r>
      <w:r>
        <w:rPr>
          <w:position w:val="1"/>
          <w:vertAlign w:val="superscript"/>
        </w:rPr>
        <w:t>2</w:t>
      </w:r>
      <w:r>
        <w:rPr>
          <w:position w:val="1"/>
          <w:vertAlign w:val="baseline"/>
        </w:rPr>
        <w:t> cumpla la siguiente</w:t>
      </w:r>
      <w:r>
        <w:rPr>
          <w:spacing w:val="-11"/>
          <w:position w:val="1"/>
          <w:vertAlign w:val="baseline"/>
        </w:rPr>
        <w:t> </w:t>
      </w:r>
      <w:r>
        <w:rPr>
          <w:position w:val="1"/>
          <w:vertAlign w:val="baseline"/>
        </w:rPr>
        <w:t>condición:</w:t>
      </w:r>
    </w:p>
    <w:p>
      <w:pPr>
        <w:spacing w:after="0"/>
        <w:jc w:val="both"/>
        <w:sectPr>
          <w:pgSz w:w="11910" w:h="16840"/>
          <w:pgMar w:header="724" w:footer="636" w:top="1320" w:bottom="840" w:left="1200" w:right="738"/>
        </w:sectPr>
      </w:pPr>
    </w:p>
    <w:p>
      <w:pPr>
        <w:pStyle w:val="BodyText"/>
        <w:spacing w:line="324" w:lineRule="exact" w:before="75"/>
        <w:ind w:left="671"/>
        <w:rPr>
          <w:sz w:val="14"/>
        </w:rPr>
      </w:pPr>
      <w:r>
        <w:rPr/>
        <w:pict>
          <v:line style="position:absolute;mso-position-horizontal-relative:page;mso-position-vertical-relative:paragraph;z-index:-267229184" from="118.080002pt,17.169859pt" to="132.540002pt,17.169859pt" stroked="true" strokeweight=".499pt" strokecolor="#000000">
            <v:stroke dashstyle="solid"/>
            <w10:wrap type="none"/>
          </v:line>
        </w:pict>
      </w:r>
      <w:r>
        <w:rPr/>
        <w:t>30 &gt; </w:t>
      </w:r>
      <w:r>
        <w:rPr>
          <w:spacing w:val="5"/>
        </w:rPr>
        <w:t> </w:t>
      </w:r>
      <w:r>
        <w:rPr>
          <w:position w:val="13"/>
        </w:rPr>
        <w:t>S</w:t>
      </w:r>
      <w:r>
        <w:rPr>
          <w:position w:val="8"/>
          <w:sz w:val="14"/>
        </w:rPr>
        <w:t>s</w:t>
      </w:r>
    </w:p>
    <w:p>
      <w:pPr>
        <w:spacing w:line="231" w:lineRule="exact" w:before="0"/>
        <w:ind w:left="0" w:right="0" w:firstLine="0"/>
        <w:jc w:val="right"/>
        <w:rPr>
          <w:sz w:val="14"/>
        </w:rPr>
      </w:pPr>
      <w:r>
        <w:rPr>
          <w:spacing w:val="10"/>
          <w:sz w:val="20"/>
        </w:rPr>
        <w:t>A</w:t>
      </w:r>
      <w:r>
        <w:rPr>
          <w:spacing w:val="10"/>
          <w:position w:val="-4"/>
          <w:sz w:val="14"/>
        </w:rPr>
        <w:t>c</w:t>
      </w:r>
    </w:p>
    <w:p>
      <w:pPr>
        <w:pStyle w:val="BodyText"/>
        <w:spacing w:before="9"/>
        <w:rPr>
          <w:sz w:val="17"/>
        </w:rPr>
      </w:pPr>
      <w:r>
        <w:rPr/>
        <w:br w:type="column"/>
      </w:r>
      <w:r>
        <w:rPr>
          <w:sz w:val="17"/>
        </w:rPr>
      </w:r>
    </w:p>
    <w:p>
      <w:pPr>
        <w:pStyle w:val="BodyText"/>
        <w:tabs>
          <w:tab w:pos="7561" w:val="left" w:leader="none"/>
        </w:tabs>
        <w:ind w:left="112"/>
      </w:pPr>
      <w:r>
        <w:rPr/>
        <w:t>&gt; 3</w:t>
        <w:tab/>
        <w:t>(2.3)</w:t>
      </w:r>
    </w:p>
    <w:p>
      <w:pPr>
        <w:pStyle w:val="BodyText"/>
        <w:rPr>
          <w:sz w:val="22"/>
        </w:rPr>
      </w:pPr>
    </w:p>
    <w:p>
      <w:pPr>
        <w:pStyle w:val="BodyText"/>
        <w:spacing w:before="4"/>
        <w:rPr>
          <w:sz w:val="32"/>
        </w:rPr>
      </w:pPr>
    </w:p>
    <w:p>
      <w:pPr>
        <w:spacing w:before="0"/>
        <w:ind w:left="512" w:right="400" w:firstLine="0"/>
        <w:jc w:val="left"/>
        <w:rPr>
          <w:sz w:val="16"/>
        </w:rPr>
      </w:pPr>
      <w:r>
        <w:rPr/>
        <w:pict>
          <v:line style="position:absolute;mso-position-horizontal-relative:page;mso-position-vertical-relative:paragraph;z-index:251744256" from="152.520004pt,-2.875798pt" to="152.520004pt,21.544202pt" stroked="true" strokeweight=".48pt" strokecolor="#000000">
            <v:stroke dashstyle="solid"/>
            <w10:wrap type="none"/>
          </v:line>
        </w:pict>
      </w:r>
      <w:r>
        <w:rPr>
          <w:sz w:val="16"/>
        </w:rPr>
        <w:t>Las aberturas pueden disponerse en cualquier parte de la cubierta, ya sea en el alero, en la cumbrera, en el solape entre las piezas,</w:t>
      </w:r>
      <w:r>
        <w:rPr>
          <w:spacing w:val="-1"/>
          <w:sz w:val="16"/>
        </w:rPr>
        <w:t> </w:t>
      </w:r>
      <w:r>
        <w:rPr>
          <w:sz w:val="16"/>
        </w:rPr>
        <w:t>etc.</w:t>
      </w:r>
    </w:p>
    <w:p>
      <w:pPr>
        <w:spacing w:after="0"/>
        <w:jc w:val="left"/>
        <w:rPr>
          <w:sz w:val="16"/>
        </w:rPr>
        <w:sectPr>
          <w:type w:val="continuous"/>
          <w:pgSz w:w="11910" w:h="16840"/>
          <w:pgMar w:top="1580" w:bottom="280" w:left="1200" w:right="738"/>
          <w:cols w:num="2" w:equalWidth="0">
            <w:col w:w="1406" w:space="40"/>
            <w:col w:w="8526"/>
          </w:cols>
        </w:sectPr>
      </w:pPr>
    </w:p>
    <w:p>
      <w:pPr>
        <w:pStyle w:val="BodyText"/>
      </w:pPr>
    </w:p>
    <w:p>
      <w:pPr>
        <w:pStyle w:val="BodyText"/>
        <w:spacing w:before="10"/>
        <w:rPr>
          <w:sz w:val="25"/>
        </w:rPr>
      </w:pPr>
    </w:p>
    <w:p>
      <w:pPr>
        <w:pStyle w:val="Heading6"/>
        <w:numPr>
          <w:ilvl w:val="3"/>
          <w:numId w:val="14"/>
        </w:numPr>
        <w:tabs>
          <w:tab w:pos="1070" w:val="left" w:leader="none"/>
          <w:tab w:pos="1071" w:val="left" w:leader="none"/>
        </w:tabs>
        <w:spacing w:line="240" w:lineRule="auto" w:before="94" w:after="0"/>
        <w:ind w:left="1070" w:right="0" w:hanging="853"/>
        <w:jc w:val="left"/>
        <w:rPr>
          <w:i/>
        </w:rPr>
      </w:pPr>
      <w:r>
        <w:rPr>
          <w:i/>
        </w:rPr>
        <w:t>Capa de</w:t>
      </w:r>
      <w:r>
        <w:rPr>
          <w:i/>
          <w:spacing w:val="-3"/>
        </w:rPr>
        <w:t> </w:t>
      </w:r>
      <w:r>
        <w:rPr>
          <w:i/>
        </w:rPr>
        <w:t>protección</w:t>
      </w:r>
    </w:p>
    <w:p>
      <w:pPr>
        <w:pStyle w:val="ListParagraph"/>
        <w:numPr>
          <w:ilvl w:val="0"/>
          <w:numId w:val="48"/>
        </w:numPr>
        <w:tabs>
          <w:tab w:pos="672" w:val="left" w:leader="none"/>
        </w:tabs>
        <w:spacing w:line="240" w:lineRule="auto" w:before="158" w:after="0"/>
        <w:ind w:left="672" w:right="392" w:hanging="454"/>
        <w:jc w:val="both"/>
        <w:rPr>
          <w:sz w:val="20"/>
        </w:rPr>
      </w:pPr>
      <w:r>
        <w:rPr>
          <w:sz w:val="20"/>
        </w:rPr>
        <w:t>Cuando se disponga una </w:t>
      </w:r>
      <w:r>
        <w:rPr>
          <w:i/>
          <w:sz w:val="20"/>
        </w:rPr>
        <w:t>capa de protección</w:t>
      </w:r>
      <w:r>
        <w:rPr>
          <w:sz w:val="20"/>
        </w:rPr>
        <w:t>, el material que forma la capa debe ser resistente a la intemperie en función de las condiciones ambientales previstas y debe tener un peso suficiente para contrarrestar la succión del</w:t>
      </w:r>
      <w:r>
        <w:rPr>
          <w:spacing w:val="-5"/>
          <w:sz w:val="20"/>
        </w:rPr>
        <w:t> </w:t>
      </w:r>
      <w:r>
        <w:rPr>
          <w:sz w:val="20"/>
        </w:rPr>
        <w:t>viento.</w:t>
      </w:r>
    </w:p>
    <w:p>
      <w:pPr>
        <w:pStyle w:val="ListParagraph"/>
        <w:numPr>
          <w:ilvl w:val="0"/>
          <w:numId w:val="48"/>
        </w:numPr>
        <w:tabs>
          <w:tab w:pos="671" w:val="left" w:leader="none"/>
          <w:tab w:pos="672" w:val="left" w:leader="none"/>
        </w:tabs>
        <w:spacing w:line="240" w:lineRule="auto" w:before="120" w:after="0"/>
        <w:ind w:left="671" w:right="0" w:hanging="454"/>
        <w:jc w:val="left"/>
        <w:rPr>
          <w:sz w:val="20"/>
        </w:rPr>
      </w:pPr>
      <w:r>
        <w:rPr>
          <w:sz w:val="20"/>
        </w:rPr>
        <w:t>Se pueden usar los materiales siguientes u otro material que produzca el mismo</w:t>
      </w:r>
      <w:r>
        <w:rPr>
          <w:spacing w:val="-19"/>
          <w:sz w:val="20"/>
        </w:rPr>
        <w:t> </w:t>
      </w:r>
      <w:r>
        <w:rPr>
          <w:sz w:val="20"/>
        </w:rPr>
        <w:t>efecto:</w:t>
      </w:r>
    </w:p>
    <w:p>
      <w:pPr>
        <w:pStyle w:val="ListParagraph"/>
        <w:numPr>
          <w:ilvl w:val="1"/>
          <w:numId w:val="48"/>
        </w:numPr>
        <w:tabs>
          <w:tab w:pos="1126" w:val="left" w:leader="none"/>
          <w:tab w:pos="1127" w:val="left" w:leader="none"/>
        </w:tabs>
        <w:spacing w:line="240" w:lineRule="auto" w:before="120" w:after="0"/>
        <w:ind w:left="1125" w:right="392" w:hanging="454"/>
        <w:jc w:val="left"/>
        <w:rPr>
          <w:sz w:val="20"/>
        </w:rPr>
      </w:pPr>
      <w:r>
        <w:rPr>
          <w:sz w:val="20"/>
        </w:rPr>
        <w:t>cuando la cubierta no sea transitable, grava, solado fijo o flotante, mortero, tejas y otros materiales que conformen una capa pesada y</w:t>
      </w:r>
      <w:r>
        <w:rPr>
          <w:spacing w:val="-7"/>
          <w:sz w:val="20"/>
        </w:rPr>
        <w:t> </w:t>
      </w:r>
      <w:r>
        <w:rPr>
          <w:sz w:val="20"/>
        </w:rPr>
        <w:t>estable;</w:t>
      </w:r>
    </w:p>
    <w:p>
      <w:pPr>
        <w:pStyle w:val="ListParagraph"/>
        <w:numPr>
          <w:ilvl w:val="1"/>
          <w:numId w:val="48"/>
        </w:numPr>
        <w:tabs>
          <w:tab w:pos="1125" w:val="left" w:leader="none"/>
          <w:tab w:pos="1126" w:val="left" w:leader="none"/>
        </w:tabs>
        <w:spacing w:line="240" w:lineRule="auto" w:before="120" w:after="0"/>
        <w:ind w:left="1125" w:right="0" w:hanging="454"/>
        <w:jc w:val="left"/>
        <w:rPr>
          <w:sz w:val="20"/>
        </w:rPr>
      </w:pPr>
      <w:r>
        <w:rPr>
          <w:sz w:val="20"/>
        </w:rPr>
        <w:t>cuando la cubierta sea transitable para peatones, solado fijo, flotante o capa de</w:t>
      </w:r>
      <w:r>
        <w:rPr>
          <w:spacing w:val="-36"/>
          <w:sz w:val="20"/>
        </w:rPr>
        <w:t> </w:t>
      </w:r>
      <w:r>
        <w:rPr>
          <w:sz w:val="20"/>
        </w:rPr>
        <w:t>rodadura;</w:t>
      </w:r>
    </w:p>
    <w:p>
      <w:pPr>
        <w:pStyle w:val="ListParagraph"/>
        <w:numPr>
          <w:ilvl w:val="1"/>
          <w:numId w:val="48"/>
        </w:numPr>
        <w:tabs>
          <w:tab w:pos="1125" w:val="left" w:leader="none"/>
          <w:tab w:pos="1126" w:val="left" w:leader="none"/>
        </w:tabs>
        <w:spacing w:line="240" w:lineRule="auto" w:before="120" w:after="0"/>
        <w:ind w:left="1125" w:right="0" w:hanging="454"/>
        <w:jc w:val="left"/>
        <w:rPr>
          <w:sz w:val="20"/>
        </w:rPr>
      </w:pPr>
      <w:r>
        <w:rPr>
          <w:sz w:val="20"/>
        </w:rPr>
        <w:t>cuando la cubierta sea transitable para vehículos, capa de</w:t>
      </w:r>
      <w:r>
        <w:rPr>
          <w:spacing w:val="-11"/>
          <w:sz w:val="20"/>
        </w:rPr>
        <w:t> </w:t>
      </w:r>
      <w:r>
        <w:rPr>
          <w:sz w:val="20"/>
        </w:rPr>
        <w:t>rodadura.</w:t>
      </w:r>
    </w:p>
    <w:p>
      <w:pPr>
        <w:pStyle w:val="BodyText"/>
        <w:spacing w:before="8"/>
        <w:rPr>
          <w:sz w:val="23"/>
        </w:rPr>
      </w:pPr>
    </w:p>
    <w:p>
      <w:pPr>
        <w:pStyle w:val="Heading5"/>
        <w:numPr>
          <w:ilvl w:val="4"/>
          <w:numId w:val="14"/>
        </w:numPr>
        <w:tabs>
          <w:tab w:pos="1071" w:val="left" w:leader="none"/>
        </w:tabs>
        <w:spacing w:line="240" w:lineRule="auto" w:before="1" w:after="0"/>
        <w:ind w:left="1070" w:right="0" w:hanging="853"/>
        <w:jc w:val="left"/>
      </w:pPr>
      <w:r>
        <w:rPr/>
        <w:t>Capa de</w:t>
      </w:r>
      <w:r>
        <w:rPr>
          <w:spacing w:val="-3"/>
        </w:rPr>
        <w:t> </w:t>
      </w:r>
      <w:r>
        <w:rPr/>
        <w:t>grava</w:t>
      </w:r>
    </w:p>
    <w:p>
      <w:pPr>
        <w:pStyle w:val="ListParagraph"/>
        <w:numPr>
          <w:ilvl w:val="0"/>
          <w:numId w:val="49"/>
        </w:numPr>
        <w:tabs>
          <w:tab w:pos="671" w:val="left" w:leader="none"/>
          <w:tab w:pos="672" w:val="left" w:leader="none"/>
        </w:tabs>
        <w:spacing w:line="240" w:lineRule="auto" w:before="157" w:after="0"/>
        <w:ind w:left="671" w:right="0" w:hanging="454"/>
        <w:jc w:val="left"/>
        <w:rPr>
          <w:sz w:val="20"/>
        </w:rPr>
      </w:pPr>
      <w:r>
        <w:rPr>
          <w:sz w:val="20"/>
        </w:rPr>
        <w:t>La grava puede ser suelta o aglomerada con</w:t>
      </w:r>
      <w:r>
        <w:rPr>
          <w:spacing w:val="-4"/>
          <w:sz w:val="20"/>
        </w:rPr>
        <w:t> </w:t>
      </w:r>
      <w:r>
        <w:rPr>
          <w:sz w:val="20"/>
        </w:rPr>
        <w:t>mortero.</w:t>
      </w:r>
    </w:p>
    <w:p>
      <w:pPr>
        <w:pStyle w:val="BodyText"/>
        <w:rPr>
          <w:sz w:val="22"/>
        </w:rPr>
      </w:pPr>
    </w:p>
    <w:p>
      <w:pPr>
        <w:pStyle w:val="BodyText"/>
        <w:spacing w:before="10"/>
        <w:rPr>
          <w:sz w:val="18"/>
        </w:rPr>
      </w:pPr>
    </w:p>
    <w:p>
      <w:pPr>
        <w:spacing w:before="0"/>
        <w:ind w:left="1958" w:right="0" w:firstLine="0"/>
        <w:jc w:val="left"/>
        <w:rPr>
          <w:sz w:val="16"/>
        </w:rPr>
      </w:pPr>
      <w:r>
        <w:rPr/>
        <w:pict>
          <v:line style="position:absolute;mso-position-horizontal-relative:page;mso-position-vertical-relative:paragraph;z-index:251745280" from="152.520004pt,-2.875792pt" to="152.520004pt,12.304208pt" stroked="true" strokeweight=".48pt" strokecolor="#000000">
            <v:stroke dashstyle="solid"/>
            <w10:wrap type="none"/>
          </v:line>
        </w:pict>
      </w:r>
      <w:r>
        <w:rPr>
          <w:sz w:val="16"/>
        </w:rPr>
        <w:t>Para aglomerar puede utilizarse otro material distinto al mortero.</w:t>
      </w:r>
    </w:p>
    <w:p>
      <w:pPr>
        <w:pStyle w:val="BodyText"/>
      </w:pPr>
    </w:p>
    <w:p>
      <w:pPr>
        <w:pStyle w:val="BodyText"/>
        <w:spacing w:before="10"/>
      </w:pPr>
    </w:p>
    <w:p>
      <w:pPr>
        <w:pStyle w:val="ListParagraph"/>
        <w:numPr>
          <w:ilvl w:val="0"/>
          <w:numId w:val="49"/>
        </w:numPr>
        <w:tabs>
          <w:tab w:pos="671" w:val="left" w:leader="none"/>
          <w:tab w:pos="672" w:val="left" w:leader="none"/>
        </w:tabs>
        <w:spacing w:line="240" w:lineRule="auto" w:before="0" w:after="0"/>
        <w:ind w:left="671" w:right="0" w:hanging="454"/>
        <w:jc w:val="left"/>
        <w:rPr>
          <w:sz w:val="20"/>
        </w:rPr>
      </w:pPr>
      <w:r>
        <w:rPr>
          <w:sz w:val="20"/>
        </w:rPr>
        <w:t>La grava suelta sólo puede emplearse en cubiertas cuya pendiente sea menor que el 5</w:t>
      </w:r>
      <w:r>
        <w:rPr>
          <w:spacing w:val="-23"/>
          <w:sz w:val="20"/>
        </w:rPr>
        <w:t> </w:t>
      </w:r>
      <w:r>
        <w:rPr>
          <w:sz w:val="20"/>
        </w:rPr>
        <w:t>%.</w:t>
      </w:r>
    </w:p>
    <w:p>
      <w:pPr>
        <w:pStyle w:val="ListParagraph"/>
        <w:numPr>
          <w:ilvl w:val="0"/>
          <w:numId w:val="49"/>
        </w:numPr>
        <w:tabs>
          <w:tab w:pos="672" w:val="left" w:leader="none"/>
        </w:tabs>
        <w:spacing w:line="240" w:lineRule="auto" w:before="120" w:after="0"/>
        <w:ind w:left="672" w:right="391" w:hanging="454"/>
        <w:jc w:val="both"/>
        <w:rPr>
          <w:sz w:val="20"/>
        </w:rPr>
      </w:pPr>
      <w:r>
        <w:rPr>
          <w:sz w:val="20"/>
        </w:rPr>
        <w:t>La grava debe estar limpia y carecer de sustancias extrañas. Su tamaño debe estar comprendido entre 16 y 32 mm y debe formar una capa cuyo espesor sea igual a 5 cm como mínimo. Debe establecerse el lastre de grava adecuado en cada parte de la cubierta en función de las diferentes zonas de exposición en la</w:t>
      </w:r>
      <w:r>
        <w:rPr>
          <w:spacing w:val="-1"/>
          <w:sz w:val="20"/>
        </w:rPr>
        <w:t> </w:t>
      </w:r>
      <w:r>
        <w:rPr>
          <w:sz w:val="20"/>
        </w:rPr>
        <w:t>misma.</w:t>
      </w:r>
    </w:p>
    <w:p>
      <w:pPr>
        <w:pStyle w:val="ListParagraph"/>
        <w:numPr>
          <w:ilvl w:val="0"/>
          <w:numId w:val="49"/>
        </w:numPr>
        <w:tabs>
          <w:tab w:pos="672" w:val="left" w:leader="none"/>
        </w:tabs>
        <w:spacing w:line="240" w:lineRule="auto" w:before="120" w:after="0"/>
        <w:ind w:left="672" w:right="391" w:hanging="454"/>
        <w:jc w:val="both"/>
        <w:rPr>
          <w:sz w:val="20"/>
        </w:rPr>
      </w:pPr>
      <w:r>
        <w:rPr>
          <w:sz w:val="20"/>
        </w:rPr>
        <w:t>Deben disponerse pasillos y zonas de trabajo con una </w:t>
      </w:r>
      <w:r>
        <w:rPr>
          <w:i/>
          <w:sz w:val="20"/>
        </w:rPr>
        <w:t>capa de protección </w:t>
      </w:r>
      <w:r>
        <w:rPr>
          <w:sz w:val="20"/>
        </w:rPr>
        <w:t>de un material apto para cubiertas transitables con el fin de facilitar el tránsito en la cubierta para realizar las operaciones de mantenimiento y evitar el deterioro del</w:t>
      </w:r>
      <w:r>
        <w:rPr>
          <w:spacing w:val="-7"/>
          <w:sz w:val="20"/>
        </w:rPr>
        <w:t> </w:t>
      </w:r>
      <w:r>
        <w:rPr>
          <w:sz w:val="20"/>
        </w:rPr>
        <w:t>sistema.</w:t>
      </w:r>
    </w:p>
    <w:p>
      <w:pPr>
        <w:spacing w:after="0" w:line="240" w:lineRule="auto"/>
        <w:jc w:val="both"/>
        <w:rPr>
          <w:sz w:val="20"/>
        </w:rPr>
        <w:sectPr>
          <w:type w:val="continuous"/>
          <w:pgSz w:w="11910" w:h="16840"/>
          <w:pgMar w:top="1580" w:bottom="280" w:left="1200" w:right="738"/>
        </w:sectPr>
      </w:pPr>
    </w:p>
    <w:p>
      <w:pPr>
        <w:pStyle w:val="BodyText"/>
        <w:spacing w:before="1"/>
        <w:rPr>
          <w:sz w:val="18"/>
        </w:rPr>
      </w:pPr>
    </w:p>
    <w:p>
      <w:pPr>
        <w:pStyle w:val="Heading5"/>
        <w:numPr>
          <w:ilvl w:val="4"/>
          <w:numId w:val="14"/>
        </w:numPr>
        <w:tabs>
          <w:tab w:pos="1070" w:val="left" w:leader="none"/>
        </w:tabs>
        <w:spacing w:line="240" w:lineRule="auto" w:before="94" w:after="0"/>
        <w:ind w:left="1069" w:right="0" w:hanging="852"/>
        <w:jc w:val="left"/>
      </w:pPr>
      <w:r>
        <w:rPr/>
        <w:t>Solado</w:t>
      </w:r>
      <w:r>
        <w:rPr>
          <w:spacing w:val="-2"/>
        </w:rPr>
        <w:t> </w:t>
      </w:r>
      <w:r>
        <w:rPr/>
        <w:t>fijo</w:t>
      </w:r>
    </w:p>
    <w:p>
      <w:pPr>
        <w:pStyle w:val="ListParagraph"/>
        <w:numPr>
          <w:ilvl w:val="0"/>
          <w:numId w:val="50"/>
        </w:numPr>
        <w:tabs>
          <w:tab w:pos="672" w:val="left" w:leader="none"/>
        </w:tabs>
        <w:spacing w:line="240" w:lineRule="auto" w:before="157" w:after="0"/>
        <w:ind w:left="672" w:right="391" w:hanging="454"/>
        <w:jc w:val="both"/>
        <w:rPr>
          <w:sz w:val="20"/>
        </w:rPr>
      </w:pPr>
      <w:r>
        <w:rPr>
          <w:sz w:val="20"/>
        </w:rPr>
        <w:t>El solado fijo puede ser de los materiales siguientes: baldosas recibidas con mortero, capa de mortero, piedra natural recibida con mortero, hormigón, adoquín sobre lecho de arena, mortero filtrante, aglomerado asfáltico u otros materiales de características</w:t>
      </w:r>
      <w:r>
        <w:rPr>
          <w:spacing w:val="-9"/>
          <w:sz w:val="20"/>
        </w:rPr>
        <w:t> </w:t>
      </w:r>
      <w:r>
        <w:rPr>
          <w:sz w:val="20"/>
        </w:rPr>
        <w:t>análogas.</w:t>
      </w:r>
    </w:p>
    <w:p>
      <w:pPr>
        <w:pStyle w:val="ListParagraph"/>
        <w:numPr>
          <w:ilvl w:val="0"/>
          <w:numId w:val="50"/>
        </w:numPr>
        <w:tabs>
          <w:tab w:pos="671" w:val="left" w:leader="none"/>
          <w:tab w:pos="672" w:val="left" w:leader="none"/>
        </w:tabs>
        <w:spacing w:line="240" w:lineRule="auto" w:before="121" w:after="0"/>
        <w:ind w:left="671" w:right="0" w:hanging="454"/>
        <w:jc w:val="left"/>
        <w:rPr>
          <w:sz w:val="20"/>
        </w:rPr>
      </w:pPr>
      <w:r>
        <w:rPr>
          <w:sz w:val="20"/>
        </w:rPr>
        <w:t>El material que se utilice debe tener una forma y unas dimensiones compatibles con la</w:t>
      </w:r>
      <w:r>
        <w:rPr>
          <w:spacing w:val="-35"/>
          <w:sz w:val="20"/>
        </w:rPr>
        <w:t> </w:t>
      </w:r>
      <w:r>
        <w:rPr>
          <w:sz w:val="20"/>
        </w:rPr>
        <w:t>pendiente.</w:t>
      </w:r>
    </w:p>
    <w:p>
      <w:pPr>
        <w:pStyle w:val="ListParagraph"/>
        <w:numPr>
          <w:ilvl w:val="0"/>
          <w:numId w:val="50"/>
        </w:numPr>
        <w:tabs>
          <w:tab w:pos="671" w:val="left" w:leader="none"/>
          <w:tab w:pos="672" w:val="left" w:leader="none"/>
        </w:tabs>
        <w:spacing w:line="240" w:lineRule="auto" w:before="119" w:after="0"/>
        <w:ind w:left="671" w:right="0" w:hanging="454"/>
        <w:jc w:val="left"/>
        <w:rPr>
          <w:sz w:val="20"/>
        </w:rPr>
      </w:pPr>
      <w:r>
        <w:rPr>
          <w:sz w:val="20"/>
        </w:rPr>
        <w:t>Las piezas no deben colocarse a</w:t>
      </w:r>
      <w:r>
        <w:rPr>
          <w:spacing w:val="-1"/>
          <w:sz w:val="20"/>
        </w:rPr>
        <w:t> </w:t>
      </w:r>
      <w:r>
        <w:rPr>
          <w:sz w:val="20"/>
        </w:rPr>
        <w:t>hueso.</w:t>
      </w:r>
    </w:p>
    <w:p>
      <w:pPr>
        <w:pStyle w:val="BodyText"/>
        <w:spacing w:before="8"/>
        <w:rPr>
          <w:sz w:val="23"/>
        </w:rPr>
      </w:pPr>
    </w:p>
    <w:p>
      <w:pPr>
        <w:pStyle w:val="Heading5"/>
        <w:numPr>
          <w:ilvl w:val="4"/>
          <w:numId w:val="14"/>
        </w:numPr>
        <w:tabs>
          <w:tab w:pos="1071" w:val="left" w:leader="none"/>
        </w:tabs>
        <w:spacing w:line="240" w:lineRule="auto" w:before="0" w:after="0"/>
        <w:ind w:left="1070" w:right="0" w:hanging="853"/>
        <w:jc w:val="left"/>
      </w:pPr>
      <w:r>
        <w:rPr/>
        <w:t>Solado</w:t>
      </w:r>
      <w:r>
        <w:rPr>
          <w:spacing w:val="-1"/>
        </w:rPr>
        <w:t> </w:t>
      </w:r>
      <w:r>
        <w:rPr/>
        <w:t>flotante</w:t>
      </w:r>
    </w:p>
    <w:p>
      <w:pPr>
        <w:pStyle w:val="ListParagraph"/>
        <w:numPr>
          <w:ilvl w:val="0"/>
          <w:numId w:val="51"/>
        </w:numPr>
        <w:tabs>
          <w:tab w:pos="672" w:val="left" w:leader="none"/>
        </w:tabs>
        <w:spacing w:line="240" w:lineRule="auto" w:before="158" w:after="0"/>
        <w:ind w:left="672" w:right="392" w:hanging="454"/>
        <w:jc w:val="both"/>
        <w:rPr>
          <w:sz w:val="20"/>
        </w:rPr>
      </w:pPr>
      <w:r>
        <w:rPr>
          <w:sz w:val="20"/>
        </w:rPr>
        <w:t>El solado flotante puede ser de piezas apoyadas sobre soportes, baldosas sueltas con </w:t>
      </w:r>
      <w:r>
        <w:rPr>
          <w:i/>
          <w:sz w:val="20"/>
        </w:rPr>
        <w:t>aislante </w:t>
      </w:r>
      <w:r>
        <w:rPr>
          <w:i/>
          <w:sz w:val="20"/>
        </w:rPr>
        <w:t>térmico </w:t>
      </w:r>
      <w:r>
        <w:rPr>
          <w:sz w:val="20"/>
        </w:rPr>
        <w:t>incorporado u otros materiales de características</w:t>
      </w:r>
      <w:r>
        <w:rPr>
          <w:spacing w:val="-6"/>
          <w:sz w:val="20"/>
        </w:rPr>
        <w:t> </w:t>
      </w:r>
      <w:r>
        <w:rPr>
          <w:sz w:val="20"/>
        </w:rPr>
        <w:t>análogas.</w:t>
      </w:r>
    </w:p>
    <w:p>
      <w:pPr>
        <w:pStyle w:val="ListParagraph"/>
        <w:numPr>
          <w:ilvl w:val="0"/>
          <w:numId w:val="51"/>
        </w:numPr>
        <w:tabs>
          <w:tab w:pos="673" w:val="left" w:leader="none"/>
        </w:tabs>
        <w:spacing w:line="240" w:lineRule="auto" w:before="119" w:after="0"/>
        <w:ind w:left="672" w:right="391" w:hanging="454"/>
        <w:jc w:val="both"/>
        <w:rPr>
          <w:sz w:val="20"/>
        </w:rPr>
      </w:pPr>
      <w:r>
        <w:rPr>
          <w:sz w:val="20"/>
        </w:rPr>
        <w:t>Las piezas apoyadas sobre soportes deben disponerse horizontalmente. Los soportes deben estar diseñados y fabricados expresamente para este fin, deben tener una plataforma de apoyo para repartir las cargas y deben disponerse sobre la </w:t>
      </w:r>
      <w:r>
        <w:rPr>
          <w:i/>
          <w:sz w:val="20"/>
        </w:rPr>
        <w:t>capa separadora </w:t>
      </w:r>
      <w:r>
        <w:rPr>
          <w:sz w:val="20"/>
        </w:rPr>
        <w:t>en el plano inclinado de escorrentía. Las piezas deben ser resistentes a los esfuerzos de flexión a los que vayan a estar sometidos.</w:t>
      </w:r>
    </w:p>
    <w:p>
      <w:pPr>
        <w:pStyle w:val="ListParagraph"/>
        <w:numPr>
          <w:ilvl w:val="0"/>
          <w:numId w:val="51"/>
        </w:numPr>
        <w:tabs>
          <w:tab w:pos="671" w:val="left" w:leader="none"/>
          <w:tab w:pos="672" w:val="left" w:leader="none"/>
        </w:tabs>
        <w:spacing w:line="240" w:lineRule="auto" w:before="120" w:after="0"/>
        <w:ind w:left="671" w:right="0" w:hanging="454"/>
        <w:jc w:val="left"/>
        <w:rPr>
          <w:sz w:val="20"/>
        </w:rPr>
      </w:pPr>
      <w:r>
        <w:rPr>
          <w:sz w:val="20"/>
        </w:rPr>
        <w:t>Las piezas o baldosas deben colocarse con junta</w:t>
      </w:r>
      <w:r>
        <w:rPr>
          <w:spacing w:val="-5"/>
          <w:sz w:val="20"/>
        </w:rPr>
        <w:t> </w:t>
      </w:r>
      <w:r>
        <w:rPr>
          <w:sz w:val="20"/>
        </w:rPr>
        <w:t>abierta.</w:t>
      </w:r>
    </w:p>
    <w:p>
      <w:pPr>
        <w:pStyle w:val="BodyText"/>
        <w:spacing w:before="8"/>
        <w:rPr>
          <w:sz w:val="23"/>
        </w:rPr>
      </w:pPr>
    </w:p>
    <w:p>
      <w:pPr>
        <w:pStyle w:val="Heading5"/>
        <w:numPr>
          <w:ilvl w:val="4"/>
          <w:numId w:val="14"/>
        </w:numPr>
        <w:tabs>
          <w:tab w:pos="1071" w:val="left" w:leader="none"/>
        </w:tabs>
        <w:spacing w:line="240" w:lineRule="auto" w:before="0" w:after="0"/>
        <w:ind w:left="1070" w:right="0" w:hanging="853"/>
        <w:jc w:val="left"/>
      </w:pPr>
      <w:r>
        <w:rPr/>
        <w:t>Capa de</w:t>
      </w:r>
      <w:r>
        <w:rPr>
          <w:spacing w:val="-3"/>
        </w:rPr>
        <w:t> </w:t>
      </w:r>
      <w:r>
        <w:rPr/>
        <w:t>rodadura</w:t>
      </w:r>
    </w:p>
    <w:p>
      <w:pPr>
        <w:pStyle w:val="ListParagraph"/>
        <w:numPr>
          <w:ilvl w:val="0"/>
          <w:numId w:val="52"/>
        </w:numPr>
        <w:tabs>
          <w:tab w:pos="672" w:val="left" w:leader="none"/>
        </w:tabs>
        <w:spacing w:line="240" w:lineRule="auto" w:before="158" w:after="0"/>
        <w:ind w:left="672" w:right="393" w:hanging="454"/>
        <w:jc w:val="both"/>
        <w:rPr>
          <w:sz w:val="20"/>
        </w:rPr>
      </w:pPr>
      <w:r>
        <w:rPr>
          <w:sz w:val="20"/>
        </w:rPr>
        <w:t>La capa de rodadura puede ser aglomerado asfáltico, capa de hormigón, adoquinado u otros materiales de características</w:t>
      </w:r>
      <w:r>
        <w:rPr>
          <w:spacing w:val="-3"/>
          <w:sz w:val="20"/>
        </w:rPr>
        <w:t> </w:t>
      </w:r>
      <w:r>
        <w:rPr>
          <w:sz w:val="20"/>
        </w:rPr>
        <w:t>análogas.</w:t>
      </w:r>
    </w:p>
    <w:p>
      <w:pPr>
        <w:pStyle w:val="ListParagraph"/>
        <w:numPr>
          <w:ilvl w:val="0"/>
          <w:numId w:val="52"/>
        </w:numPr>
        <w:tabs>
          <w:tab w:pos="672" w:val="left" w:leader="none"/>
        </w:tabs>
        <w:spacing w:line="240" w:lineRule="auto" w:before="120" w:after="0"/>
        <w:ind w:left="672" w:right="393" w:hanging="454"/>
        <w:jc w:val="both"/>
        <w:rPr>
          <w:sz w:val="20"/>
        </w:rPr>
      </w:pPr>
      <w:r>
        <w:rPr>
          <w:sz w:val="20"/>
        </w:rPr>
        <w:t>Cuando el aglomerado asfáltico se vierta en caliente directamente sobre la </w:t>
      </w:r>
      <w:r>
        <w:rPr>
          <w:i/>
          <w:sz w:val="20"/>
        </w:rPr>
        <w:t>impermeabilización</w:t>
      </w:r>
      <w:r>
        <w:rPr>
          <w:sz w:val="20"/>
        </w:rPr>
        <w:t>, el espesor mínimo de la capa de aglomerado debe ser 8</w:t>
      </w:r>
      <w:r>
        <w:rPr>
          <w:spacing w:val="-8"/>
          <w:sz w:val="20"/>
        </w:rPr>
        <w:t> </w:t>
      </w:r>
      <w:r>
        <w:rPr>
          <w:sz w:val="20"/>
        </w:rPr>
        <w:t>cm.</w:t>
      </w:r>
    </w:p>
    <w:p>
      <w:pPr>
        <w:pStyle w:val="ListParagraph"/>
        <w:numPr>
          <w:ilvl w:val="0"/>
          <w:numId w:val="52"/>
        </w:numPr>
        <w:tabs>
          <w:tab w:pos="672" w:val="left" w:leader="none"/>
        </w:tabs>
        <w:spacing w:line="240" w:lineRule="auto" w:before="120" w:after="0"/>
        <w:ind w:left="671" w:right="392" w:hanging="454"/>
        <w:jc w:val="both"/>
        <w:rPr>
          <w:sz w:val="20"/>
        </w:rPr>
      </w:pPr>
      <w:r>
        <w:rPr>
          <w:sz w:val="20"/>
        </w:rPr>
        <w:t>Cuando el aglomerado asfáltico se vierta sobre una capa de mortero dispuesta sobre la </w:t>
      </w:r>
      <w:r>
        <w:rPr>
          <w:i/>
          <w:sz w:val="20"/>
        </w:rPr>
        <w:t>impermeabilización</w:t>
      </w:r>
      <w:r>
        <w:rPr>
          <w:sz w:val="20"/>
        </w:rPr>
        <w:t>, debe interponerse entre estas dos capas una </w:t>
      </w:r>
      <w:r>
        <w:rPr>
          <w:i/>
          <w:sz w:val="20"/>
        </w:rPr>
        <w:t>capa separadora </w:t>
      </w:r>
      <w:r>
        <w:rPr>
          <w:sz w:val="20"/>
        </w:rPr>
        <w:t>para evitar la adherencia entre ellas de 4 cm de espesor como máximo y armada de tal manera que se evite su fisuración. Esta capa de mortero debe aplicarse sobre el </w:t>
      </w:r>
      <w:r>
        <w:rPr>
          <w:i/>
          <w:sz w:val="20"/>
        </w:rPr>
        <w:t>impermeabilizante </w:t>
      </w:r>
      <w:r>
        <w:rPr>
          <w:sz w:val="20"/>
        </w:rPr>
        <w:t>en los puntos singulares que estén</w:t>
      </w:r>
      <w:r>
        <w:rPr>
          <w:spacing w:val="-1"/>
          <w:sz w:val="20"/>
        </w:rPr>
        <w:t> </w:t>
      </w:r>
      <w:r>
        <w:rPr>
          <w:sz w:val="20"/>
        </w:rPr>
        <w:t>impermeabilizados.</w:t>
      </w:r>
    </w:p>
    <w:p>
      <w:pPr>
        <w:pStyle w:val="BodyText"/>
        <w:spacing w:before="9"/>
        <w:rPr>
          <w:sz w:val="22"/>
        </w:rPr>
      </w:pPr>
    </w:p>
    <w:p>
      <w:pPr>
        <w:pStyle w:val="Heading5"/>
        <w:numPr>
          <w:ilvl w:val="3"/>
          <w:numId w:val="14"/>
        </w:numPr>
        <w:tabs>
          <w:tab w:pos="928" w:val="left" w:leader="none"/>
        </w:tabs>
        <w:spacing w:line="240" w:lineRule="auto" w:before="0" w:after="0"/>
        <w:ind w:left="927" w:right="0" w:hanging="710"/>
        <w:jc w:val="left"/>
      </w:pPr>
      <w:r>
        <w:rPr/>
        <w:t>Tejado</w:t>
      </w:r>
    </w:p>
    <w:p>
      <w:pPr>
        <w:pStyle w:val="ListParagraph"/>
        <w:numPr>
          <w:ilvl w:val="0"/>
          <w:numId w:val="53"/>
        </w:numPr>
        <w:tabs>
          <w:tab w:pos="672" w:val="left" w:leader="none"/>
        </w:tabs>
        <w:spacing w:line="240" w:lineRule="auto" w:before="159" w:after="0"/>
        <w:ind w:left="671" w:right="389" w:hanging="454"/>
        <w:jc w:val="both"/>
        <w:rPr>
          <w:sz w:val="20"/>
        </w:rPr>
      </w:pPr>
      <w:r>
        <w:rPr>
          <w:sz w:val="20"/>
        </w:rPr>
        <w:t>Debe estar constituido por piezas de cobertura tales como tejas, pizarra, placas, etc. El solapo de las piezas debe establecerse de acuerdo con la pendiente del elemento que les sirve de soporte y de otros factores relacionados con la situación de la cubierta, tales como </w:t>
      </w:r>
      <w:r>
        <w:rPr>
          <w:i/>
          <w:sz w:val="20"/>
        </w:rPr>
        <w:t>zona eólica</w:t>
      </w:r>
      <w:r>
        <w:rPr>
          <w:sz w:val="20"/>
        </w:rPr>
        <w:t>, tormentas y altitud</w:t>
      </w:r>
      <w:r>
        <w:rPr>
          <w:spacing w:val="-2"/>
          <w:sz w:val="20"/>
        </w:rPr>
        <w:t> </w:t>
      </w:r>
      <w:r>
        <w:rPr>
          <w:sz w:val="20"/>
        </w:rPr>
        <w:t>topográfica.</w:t>
      </w:r>
    </w:p>
    <w:p>
      <w:pPr>
        <w:pStyle w:val="ListParagraph"/>
        <w:numPr>
          <w:ilvl w:val="0"/>
          <w:numId w:val="53"/>
        </w:numPr>
        <w:tabs>
          <w:tab w:pos="672" w:val="left" w:leader="none"/>
        </w:tabs>
        <w:spacing w:line="240" w:lineRule="auto" w:before="119" w:after="0"/>
        <w:ind w:left="671" w:right="390" w:hanging="454"/>
        <w:jc w:val="both"/>
        <w:rPr>
          <w:sz w:val="20"/>
        </w:rPr>
      </w:pPr>
      <w:r>
        <w:rPr>
          <w:sz w:val="20"/>
        </w:rPr>
        <w:t>Debe recibirse o fijarse al soporte una cantidad de piezas suficiente para garantizar su estabilidad dependiendo de la pendiente de la cubierta, la altura máxima del faldón, el tipo de piezas y el  solapo de las mismas, así como de la ubicación del</w:t>
      </w:r>
      <w:r>
        <w:rPr>
          <w:spacing w:val="-11"/>
          <w:sz w:val="20"/>
        </w:rPr>
        <w:t> </w:t>
      </w:r>
      <w:r>
        <w:rPr>
          <w:sz w:val="20"/>
        </w:rPr>
        <w:t>edificio.</w:t>
      </w:r>
    </w:p>
    <w:p>
      <w:pPr>
        <w:pStyle w:val="BodyText"/>
        <w:spacing w:before="8"/>
        <w:rPr>
          <w:sz w:val="22"/>
        </w:rPr>
      </w:pPr>
    </w:p>
    <w:p>
      <w:pPr>
        <w:pStyle w:val="Heading5"/>
        <w:numPr>
          <w:ilvl w:val="2"/>
          <w:numId w:val="14"/>
        </w:numPr>
        <w:tabs>
          <w:tab w:pos="786" w:val="left" w:leader="none"/>
        </w:tabs>
        <w:spacing w:line="240" w:lineRule="auto" w:before="1" w:after="0"/>
        <w:ind w:left="785" w:right="0" w:hanging="568"/>
        <w:jc w:val="left"/>
      </w:pPr>
      <w:r>
        <w:rPr/>
        <w:t>Condiciones de los puntos</w:t>
      </w:r>
      <w:r>
        <w:rPr>
          <w:spacing w:val="-3"/>
        </w:rPr>
        <w:t> </w:t>
      </w:r>
      <w:r>
        <w:rPr/>
        <w:t>singulares</w:t>
      </w:r>
    </w:p>
    <w:p>
      <w:pPr>
        <w:pStyle w:val="BodyText"/>
        <w:spacing w:before="1"/>
        <w:rPr>
          <w:b/>
          <w:sz w:val="26"/>
        </w:rPr>
      </w:pPr>
    </w:p>
    <w:p>
      <w:pPr>
        <w:pStyle w:val="ListParagraph"/>
        <w:numPr>
          <w:ilvl w:val="3"/>
          <w:numId w:val="14"/>
        </w:numPr>
        <w:tabs>
          <w:tab w:pos="929" w:val="left" w:leader="none"/>
        </w:tabs>
        <w:spacing w:line="240" w:lineRule="auto" w:before="0" w:after="0"/>
        <w:ind w:left="928" w:right="0" w:hanging="711"/>
        <w:jc w:val="left"/>
        <w:rPr>
          <w:b/>
          <w:sz w:val="20"/>
        </w:rPr>
      </w:pPr>
      <w:r>
        <w:rPr>
          <w:b/>
          <w:sz w:val="20"/>
        </w:rPr>
        <w:t>Cubiertas</w:t>
      </w:r>
      <w:r>
        <w:rPr>
          <w:b/>
          <w:spacing w:val="-1"/>
          <w:sz w:val="20"/>
        </w:rPr>
        <w:t> </w:t>
      </w:r>
      <w:r>
        <w:rPr>
          <w:b/>
          <w:sz w:val="20"/>
        </w:rPr>
        <w:t>planas</w:t>
      </w:r>
    </w:p>
    <w:p>
      <w:pPr>
        <w:pStyle w:val="BodyText"/>
        <w:spacing w:before="158"/>
        <w:ind w:left="671" w:right="390" w:hanging="454"/>
        <w:jc w:val="both"/>
      </w:pPr>
      <w:r>
        <w:rPr/>
        <w:t>1 Deben respetarse las condiciones de disposición de bandas de refuerzo y de terminación, las de continuidad o discontinuidad, así como cualquier otra que afecte al diseño, relativas al sistema de </w:t>
      </w:r>
      <w:r>
        <w:rPr>
          <w:i/>
        </w:rPr>
        <w:t>impermeabilización </w:t>
      </w:r>
      <w:r>
        <w:rPr/>
        <w:t>que se emplee.</w:t>
      </w:r>
    </w:p>
    <w:p>
      <w:pPr>
        <w:pStyle w:val="BodyText"/>
        <w:spacing w:before="7"/>
        <w:rPr>
          <w:sz w:val="23"/>
        </w:rPr>
      </w:pPr>
    </w:p>
    <w:p>
      <w:pPr>
        <w:pStyle w:val="Heading5"/>
        <w:numPr>
          <w:ilvl w:val="4"/>
          <w:numId w:val="14"/>
        </w:numPr>
        <w:tabs>
          <w:tab w:pos="1071" w:val="left" w:leader="none"/>
        </w:tabs>
        <w:spacing w:line="240" w:lineRule="auto" w:before="1" w:after="0"/>
        <w:ind w:left="1070" w:right="0" w:hanging="853"/>
        <w:jc w:val="left"/>
      </w:pPr>
      <w:r>
        <w:rPr/>
        <w:t>Juntas de</w:t>
      </w:r>
      <w:r>
        <w:rPr>
          <w:spacing w:val="-2"/>
        </w:rPr>
        <w:t> </w:t>
      </w:r>
      <w:r>
        <w:rPr/>
        <w:t>dilatación</w:t>
      </w:r>
    </w:p>
    <w:p>
      <w:pPr>
        <w:pStyle w:val="ListParagraph"/>
        <w:numPr>
          <w:ilvl w:val="0"/>
          <w:numId w:val="54"/>
        </w:numPr>
        <w:tabs>
          <w:tab w:pos="672" w:val="left" w:leader="none"/>
        </w:tabs>
        <w:spacing w:line="240" w:lineRule="auto" w:before="157" w:after="0"/>
        <w:ind w:left="671" w:right="391" w:hanging="454"/>
        <w:jc w:val="both"/>
        <w:rPr>
          <w:sz w:val="20"/>
        </w:rPr>
      </w:pPr>
      <w:r>
        <w:rPr>
          <w:sz w:val="20"/>
        </w:rPr>
        <w:t>Deben disponerse juntas de dilatación de la cubierta y la distancia entre juntas de</w:t>
      </w:r>
      <w:r>
        <w:rPr>
          <w:spacing w:val="14"/>
          <w:sz w:val="20"/>
        </w:rPr>
        <w:t> </w:t>
      </w:r>
      <w:r>
        <w:rPr>
          <w:sz w:val="20"/>
        </w:rPr>
        <w:t>dilatación contiguas debe ser como máximo 15 m. Siempre que exista un encuentro con un paramento vertical o una junta estructural debe disponerse una junta de dilatación coincidiendo con ellos. Las juntas deben afectar a las distintas capas de la cubierta a partir del elemento que sirve de soporte resistente. Los bordes de las juntas de dilatación deben ser romos, con un ángulo de 45º aproximadamente, y la anchura de la junta debe ser mayor que 3</w:t>
      </w:r>
      <w:r>
        <w:rPr>
          <w:spacing w:val="-15"/>
          <w:sz w:val="20"/>
        </w:rPr>
        <w:t> </w:t>
      </w:r>
      <w:r>
        <w:rPr>
          <w:sz w:val="20"/>
        </w:rPr>
        <w:t>cm.</w:t>
      </w:r>
    </w:p>
    <w:p>
      <w:pPr>
        <w:spacing w:after="0" w:line="240" w:lineRule="auto"/>
        <w:jc w:val="both"/>
        <w:rPr>
          <w:sz w:val="20"/>
        </w:rPr>
        <w:sectPr>
          <w:pgSz w:w="11910" w:h="16840"/>
          <w:pgMar w:header="724" w:footer="636" w:top="1320" w:bottom="840" w:left="1200" w:right="738"/>
        </w:sectPr>
      </w:pPr>
    </w:p>
    <w:p>
      <w:pPr>
        <w:pStyle w:val="BodyText"/>
        <w:spacing w:before="11"/>
        <w:rPr>
          <w:sz w:val="29"/>
        </w:rPr>
      </w:pPr>
    </w:p>
    <w:p>
      <w:pPr>
        <w:spacing w:before="95"/>
        <w:ind w:left="1958" w:right="380" w:firstLine="0"/>
        <w:jc w:val="left"/>
        <w:rPr>
          <w:sz w:val="16"/>
        </w:rPr>
      </w:pPr>
      <w:r>
        <w:rPr/>
        <w:pict>
          <v:line style="position:absolute;mso-position-horizontal-relative:page;mso-position-vertical-relative:paragraph;z-index:251748352" from="152.520004pt,1.874202pt" to="152.520004pt,26.294202pt" stroked="true" strokeweight=".48pt" strokecolor="#000000">
            <v:stroke dashstyle="solid"/>
            <w10:wrap type="none"/>
          </v:line>
        </w:pict>
      </w:r>
      <w:r>
        <w:rPr>
          <w:sz w:val="16"/>
        </w:rPr>
        <w:t>Se pretende limitar el riesgo de filtración de agua por las discontinuidades que se producirían en la cubierta a causa de movimientos debidos a diferencias térmicas.</w:t>
      </w:r>
    </w:p>
    <w:p>
      <w:pPr>
        <w:pStyle w:val="BodyText"/>
      </w:pPr>
    </w:p>
    <w:p>
      <w:pPr>
        <w:pStyle w:val="BodyText"/>
        <w:spacing w:before="10"/>
      </w:pPr>
    </w:p>
    <w:p>
      <w:pPr>
        <w:pStyle w:val="ListParagraph"/>
        <w:numPr>
          <w:ilvl w:val="0"/>
          <w:numId w:val="54"/>
        </w:numPr>
        <w:tabs>
          <w:tab w:pos="672" w:val="left" w:leader="none"/>
        </w:tabs>
        <w:spacing w:line="240" w:lineRule="auto" w:before="0" w:after="0"/>
        <w:ind w:left="671" w:right="392" w:hanging="454"/>
        <w:jc w:val="both"/>
        <w:rPr>
          <w:sz w:val="20"/>
        </w:rPr>
      </w:pPr>
      <w:r>
        <w:rPr>
          <w:sz w:val="20"/>
        </w:rPr>
        <w:t>Cuando la </w:t>
      </w:r>
      <w:r>
        <w:rPr>
          <w:i/>
          <w:sz w:val="20"/>
        </w:rPr>
        <w:t>capa de protección </w:t>
      </w:r>
      <w:r>
        <w:rPr>
          <w:sz w:val="20"/>
        </w:rPr>
        <w:t>sea de solado fijo, deben disponerse juntas de dilatación en la misma. Estas juntas deben afectar a las piezas, al mortero de agarre y a la capa de asiento del solado y deben disponerse de la siguiente</w:t>
      </w:r>
      <w:r>
        <w:rPr>
          <w:spacing w:val="-8"/>
          <w:sz w:val="20"/>
        </w:rPr>
        <w:t> </w:t>
      </w:r>
      <w:r>
        <w:rPr>
          <w:sz w:val="20"/>
        </w:rPr>
        <w:t>forma:</w:t>
      </w:r>
    </w:p>
    <w:p>
      <w:pPr>
        <w:pStyle w:val="ListParagraph"/>
        <w:numPr>
          <w:ilvl w:val="1"/>
          <w:numId w:val="54"/>
        </w:numPr>
        <w:tabs>
          <w:tab w:pos="1125" w:val="left" w:leader="none"/>
          <w:tab w:pos="1127" w:val="left" w:leader="none"/>
        </w:tabs>
        <w:spacing w:line="240" w:lineRule="auto" w:before="120" w:after="0"/>
        <w:ind w:left="1126" w:right="0" w:hanging="456"/>
        <w:jc w:val="left"/>
        <w:rPr>
          <w:sz w:val="20"/>
        </w:rPr>
      </w:pPr>
      <w:r>
        <w:rPr>
          <w:sz w:val="20"/>
        </w:rPr>
        <w:t>coincidiendo con las juntas de la</w:t>
      </w:r>
      <w:r>
        <w:rPr>
          <w:spacing w:val="-5"/>
          <w:sz w:val="20"/>
        </w:rPr>
        <w:t> </w:t>
      </w:r>
      <w:r>
        <w:rPr>
          <w:sz w:val="20"/>
        </w:rPr>
        <w:t>cubierta;</w:t>
      </w:r>
    </w:p>
    <w:p>
      <w:pPr>
        <w:pStyle w:val="ListParagraph"/>
        <w:numPr>
          <w:ilvl w:val="1"/>
          <w:numId w:val="54"/>
        </w:numPr>
        <w:tabs>
          <w:tab w:pos="1127" w:val="left" w:leader="none"/>
        </w:tabs>
        <w:spacing w:line="240" w:lineRule="auto" w:before="119" w:after="0"/>
        <w:ind w:left="1125" w:right="391" w:hanging="454"/>
        <w:jc w:val="both"/>
        <w:rPr>
          <w:sz w:val="20"/>
        </w:rPr>
      </w:pPr>
      <w:r>
        <w:rPr>
          <w:sz w:val="20"/>
        </w:rPr>
        <w:t>en el perímetro exterior e interior de la cubierta y en los encuentros con paramentos verticales y </w:t>
      </w:r>
      <w:r>
        <w:rPr>
          <w:i/>
          <w:sz w:val="20"/>
        </w:rPr>
        <w:t>elementos</w:t>
      </w:r>
      <w:r>
        <w:rPr>
          <w:i/>
          <w:spacing w:val="-3"/>
          <w:sz w:val="20"/>
        </w:rPr>
        <w:t> </w:t>
      </w:r>
      <w:r>
        <w:rPr>
          <w:i/>
          <w:sz w:val="20"/>
        </w:rPr>
        <w:t>pasantes</w:t>
      </w:r>
      <w:r>
        <w:rPr>
          <w:sz w:val="20"/>
        </w:rPr>
        <w:t>;</w:t>
      </w:r>
    </w:p>
    <w:p>
      <w:pPr>
        <w:pStyle w:val="ListParagraph"/>
        <w:numPr>
          <w:ilvl w:val="1"/>
          <w:numId w:val="54"/>
        </w:numPr>
        <w:tabs>
          <w:tab w:pos="1126" w:val="left" w:leader="none"/>
        </w:tabs>
        <w:spacing w:line="240" w:lineRule="auto" w:before="121" w:after="0"/>
        <w:ind w:left="1125" w:right="391" w:hanging="454"/>
        <w:jc w:val="both"/>
        <w:rPr>
          <w:sz w:val="20"/>
        </w:rPr>
      </w:pPr>
      <w:r>
        <w:rPr>
          <w:sz w:val="20"/>
        </w:rPr>
        <w:t>en cuadrícula, situadas a 5 m como máximo en cubiertas no ventiladas y a 7,5 m como máximo en cubiertas ventiladas, de forma que las dimensiones de los paños entre las juntas guarden como máximo la relación</w:t>
      </w:r>
      <w:r>
        <w:rPr>
          <w:spacing w:val="-4"/>
          <w:sz w:val="20"/>
        </w:rPr>
        <w:t> </w:t>
      </w:r>
      <w:r>
        <w:rPr>
          <w:sz w:val="20"/>
        </w:rPr>
        <w:t>1:1,5.</w:t>
      </w:r>
    </w:p>
    <w:p>
      <w:pPr>
        <w:pStyle w:val="BodyText"/>
        <w:rPr>
          <w:sz w:val="22"/>
        </w:rPr>
      </w:pPr>
    </w:p>
    <w:p>
      <w:pPr>
        <w:pStyle w:val="BodyText"/>
        <w:spacing w:before="10"/>
        <w:rPr>
          <w:sz w:val="18"/>
        </w:rPr>
      </w:pPr>
    </w:p>
    <w:p>
      <w:pPr>
        <w:spacing w:before="0"/>
        <w:ind w:left="1958" w:right="393" w:firstLine="0"/>
        <w:jc w:val="left"/>
        <w:rPr>
          <w:sz w:val="16"/>
        </w:rPr>
      </w:pPr>
      <w:r>
        <w:rPr/>
        <w:pict>
          <v:line style="position:absolute;mso-position-horizontal-relative:page;mso-position-vertical-relative:paragraph;z-index:251749376" from="152.520004pt,-2.875823pt" to="152.520004pt,21.544177pt" stroked="true" strokeweight=".48pt" strokecolor="#000000">
            <v:stroke dashstyle="solid"/>
            <w10:wrap type="none"/>
          </v:line>
        </w:pict>
      </w:r>
      <w:r>
        <w:rPr>
          <w:sz w:val="16"/>
        </w:rPr>
        <w:t>Se pretende limitar el riesgo de filtración de agua por las discontinuidades que se producirían en la la capa de protección a causa de movimientos debidos a diferencias térmicas.</w:t>
      </w:r>
    </w:p>
    <w:p>
      <w:pPr>
        <w:pStyle w:val="BodyText"/>
      </w:pPr>
    </w:p>
    <w:p>
      <w:pPr>
        <w:pStyle w:val="BodyText"/>
        <w:spacing w:before="9"/>
      </w:pPr>
    </w:p>
    <w:p>
      <w:pPr>
        <w:pStyle w:val="ListParagraph"/>
        <w:numPr>
          <w:ilvl w:val="0"/>
          <w:numId w:val="54"/>
        </w:numPr>
        <w:tabs>
          <w:tab w:pos="671" w:val="left" w:leader="none"/>
          <w:tab w:pos="672" w:val="left" w:leader="none"/>
        </w:tabs>
        <w:spacing w:line="240" w:lineRule="auto" w:before="0" w:after="0"/>
        <w:ind w:left="671" w:right="391" w:hanging="454"/>
        <w:jc w:val="left"/>
        <w:rPr>
          <w:sz w:val="20"/>
        </w:rPr>
      </w:pPr>
      <w:r>
        <w:rPr>
          <w:sz w:val="20"/>
        </w:rPr>
        <w:t>En las juntas debe colocarse un sellante dispuesto sobre un relleno introducido en su interior. El sellado debe quedar enrasado con la superficie de la </w:t>
      </w:r>
      <w:r>
        <w:rPr>
          <w:i/>
          <w:sz w:val="20"/>
        </w:rPr>
        <w:t>capa de protección </w:t>
      </w:r>
      <w:r>
        <w:rPr>
          <w:sz w:val="20"/>
        </w:rPr>
        <w:t>de la</w:t>
      </w:r>
      <w:r>
        <w:rPr>
          <w:spacing w:val="-23"/>
          <w:sz w:val="20"/>
        </w:rPr>
        <w:t> </w:t>
      </w:r>
      <w:r>
        <w:rPr>
          <w:sz w:val="20"/>
        </w:rPr>
        <w:t>cubierta.</w:t>
      </w:r>
    </w:p>
    <w:p>
      <w:pPr>
        <w:pStyle w:val="BodyText"/>
        <w:rPr>
          <w:sz w:val="22"/>
        </w:rPr>
      </w:pPr>
    </w:p>
    <w:p>
      <w:pPr>
        <w:pStyle w:val="BodyText"/>
        <w:spacing w:before="10"/>
        <w:rPr>
          <w:sz w:val="18"/>
        </w:rPr>
      </w:pPr>
    </w:p>
    <w:p>
      <w:pPr>
        <w:spacing w:before="1"/>
        <w:ind w:left="1958" w:right="0" w:firstLine="0"/>
        <w:jc w:val="left"/>
        <w:rPr>
          <w:sz w:val="16"/>
        </w:rPr>
      </w:pPr>
      <w:r>
        <w:rPr/>
        <w:pict>
          <v:line style="position:absolute;mso-position-horizontal-relative:page;mso-position-vertical-relative:paragraph;z-index:251750400" from="152.520004pt,-2.825797pt" to="152.520004pt,12.414203pt" stroked="true" strokeweight=".48pt" strokecolor="#000000">
            <v:stroke dashstyle="solid"/>
            <w10:wrap type="none"/>
          </v:line>
        </w:pict>
      </w:r>
      <w:r>
        <w:rPr>
          <w:sz w:val="16"/>
        </w:rPr>
        <w:t>Se pretende limitar el riesgo de filtración de agua por la discontinuidad de la cubierta en las juntas.</w:t>
      </w:r>
    </w:p>
    <w:p>
      <w:pPr>
        <w:pStyle w:val="BodyText"/>
      </w:pPr>
    </w:p>
    <w:p>
      <w:pPr>
        <w:pStyle w:val="BodyText"/>
        <w:spacing w:before="10"/>
        <w:rPr>
          <w:sz w:val="25"/>
        </w:rPr>
      </w:pPr>
    </w:p>
    <w:p>
      <w:pPr>
        <w:pStyle w:val="Heading5"/>
        <w:numPr>
          <w:ilvl w:val="4"/>
          <w:numId w:val="14"/>
        </w:numPr>
        <w:tabs>
          <w:tab w:pos="1071" w:val="left" w:leader="none"/>
        </w:tabs>
        <w:spacing w:line="240" w:lineRule="auto" w:before="94" w:after="0"/>
        <w:ind w:left="1070" w:right="0" w:hanging="853"/>
        <w:jc w:val="left"/>
      </w:pPr>
      <w:r>
        <w:rPr/>
        <w:t>Encuentro de la cubierta con un paramento</w:t>
      </w:r>
      <w:r>
        <w:rPr>
          <w:spacing w:val="-6"/>
        </w:rPr>
        <w:t> </w:t>
      </w:r>
      <w:r>
        <w:rPr/>
        <w:t>vertical</w:t>
      </w:r>
    </w:p>
    <w:p>
      <w:pPr>
        <w:pStyle w:val="ListParagraph"/>
        <w:numPr>
          <w:ilvl w:val="0"/>
          <w:numId w:val="55"/>
        </w:numPr>
        <w:tabs>
          <w:tab w:pos="671" w:val="left" w:leader="none"/>
          <w:tab w:pos="672" w:val="left" w:leader="none"/>
        </w:tabs>
        <w:spacing w:line="240" w:lineRule="auto" w:before="158" w:after="0"/>
        <w:ind w:left="671" w:right="391" w:hanging="454"/>
        <w:jc w:val="left"/>
        <w:rPr>
          <w:sz w:val="20"/>
        </w:rPr>
      </w:pPr>
      <w:r>
        <w:rPr>
          <w:sz w:val="20"/>
        </w:rPr>
        <w:t>La </w:t>
      </w:r>
      <w:r>
        <w:rPr>
          <w:i/>
          <w:sz w:val="20"/>
        </w:rPr>
        <w:t>impermeabilización </w:t>
      </w:r>
      <w:r>
        <w:rPr>
          <w:sz w:val="20"/>
        </w:rPr>
        <w:t>debe prolongarse por el paramento vertical hasta una altura de 20 cm como mínimo por encima de la </w:t>
      </w:r>
      <w:r>
        <w:rPr>
          <w:i/>
          <w:sz w:val="20"/>
        </w:rPr>
        <w:t>protección de la cubierta </w:t>
      </w:r>
      <w:r>
        <w:rPr>
          <w:sz w:val="20"/>
        </w:rPr>
        <w:t>(Véase la figura</w:t>
      </w:r>
      <w:r>
        <w:rPr>
          <w:spacing w:val="-13"/>
          <w:sz w:val="20"/>
        </w:rPr>
        <w:t> </w:t>
      </w:r>
      <w:r>
        <w:rPr>
          <w:sz w:val="20"/>
        </w:rPr>
        <w:t>2.13).</w:t>
      </w:r>
    </w:p>
    <w:p>
      <w:pPr>
        <w:pStyle w:val="BodyText"/>
        <w:rPr>
          <w:sz w:val="22"/>
        </w:rPr>
      </w:pPr>
    </w:p>
    <w:p>
      <w:pPr>
        <w:pStyle w:val="BodyText"/>
        <w:spacing w:before="10"/>
        <w:rPr>
          <w:sz w:val="18"/>
        </w:rPr>
      </w:pPr>
    </w:p>
    <w:p>
      <w:pPr>
        <w:spacing w:before="0"/>
        <w:ind w:left="1958" w:right="0" w:firstLine="0"/>
        <w:jc w:val="left"/>
        <w:rPr>
          <w:sz w:val="16"/>
        </w:rPr>
      </w:pPr>
      <w:r>
        <w:rPr/>
        <w:pict>
          <v:line style="position:absolute;mso-position-horizontal-relative:page;mso-position-vertical-relative:paragraph;z-index:251751424" from="152.520004pt,-2.875779pt" to="152.520004pt,21.544221pt" stroked="true" strokeweight=".48pt" strokecolor="#000000">
            <v:stroke dashstyle="solid"/>
            <w10:wrap type="none"/>
          </v:line>
        </w:pict>
      </w:r>
      <w:r>
        <w:rPr>
          <w:sz w:val="16"/>
        </w:rPr>
        <w:t>Se pretende limitar el riesgo de filtración de agua en el paramento a causa de las salpicaduras y de la acumulación de agua en la cubierta.</w:t>
      </w:r>
    </w:p>
    <w:p>
      <w:pPr>
        <w:pStyle w:val="BodyText"/>
      </w:pPr>
    </w:p>
    <w:p>
      <w:pPr>
        <w:pStyle w:val="BodyText"/>
        <w:spacing w:before="11"/>
      </w:pPr>
    </w:p>
    <w:p>
      <w:pPr>
        <w:pStyle w:val="ListParagraph"/>
        <w:numPr>
          <w:ilvl w:val="0"/>
          <w:numId w:val="55"/>
        </w:numPr>
        <w:tabs>
          <w:tab w:pos="671" w:val="left" w:leader="none"/>
          <w:tab w:pos="672" w:val="left" w:leader="none"/>
        </w:tabs>
        <w:spacing w:line="240" w:lineRule="auto" w:before="0" w:after="0"/>
        <w:ind w:left="671" w:right="391" w:hanging="454"/>
        <w:jc w:val="left"/>
        <w:rPr>
          <w:sz w:val="20"/>
        </w:rPr>
      </w:pPr>
      <w:r>
        <w:rPr/>
        <w:pict>
          <v:group style="position:absolute;margin-left:152.961502pt;margin-top:27.06271pt;width:164.25pt;height:125.95pt;mso-position-horizontal-relative:page;mso-position-vertical-relative:paragraph;z-index:-251570176;mso-wrap-distance-left:0;mso-wrap-distance-right:0" coordorigin="3059,541" coordsize="3285,2519">
            <v:line style="position:absolute" from="5157,3058" to="5094,3058" stroked="true" strokeweight=".143pt" strokecolor="#000000">
              <v:stroke dashstyle="solid"/>
            </v:line>
            <v:line style="position:absolute" from="5037,3058" to="5040,3058" stroked="true" strokeweight=".143pt" strokecolor="#000000">
              <v:stroke dashstyle="solid"/>
            </v:line>
            <v:line style="position:absolute" from="3785,3058" to="3722,3058" stroked="true" strokeweight=".143pt" strokecolor="#000000">
              <v:stroke dashstyle="solid"/>
            </v:line>
            <v:line style="position:absolute" from="4742,543" to="4650,543" stroked="true" strokeweight=".143pt" strokecolor="#000000">
              <v:stroke dashstyle="solid"/>
            </v:line>
            <v:line style="position:absolute" from="4590,543" to="4593,543" stroked="true" strokeweight=".143pt" strokecolor="#000000">
              <v:stroke dashstyle="solid"/>
            </v:line>
            <v:line style="position:absolute" from="3817,543" to="3722,543" stroked="true" strokeweight=".143pt" strokecolor="#000000">
              <v:stroke dashstyle="solid"/>
            </v:line>
            <v:line style="position:absolute" from="6340,1568" to="6343,1568" stroked="true" strokeweight=".143pt" strokecolor="#000000">
              <v:stroke dashstyle="solid"/>
            </v:line>
            <v:line style="position:absolute" from="6340,2757" to="6343,2757" stroked="true" strokeweight=".143pt" strokecolor="#000000">
              <v:stroke dashstyle="solid"/>
            </v:line>
            <v:line style="position:absolute" from="6340,2815" to="6340,2883" stroked="true" strokeweight=".143pt" strokecolor="#000000">
              <v:stroke dashstyle="solid"/>
            </v:line>
            <v:line style="position:absolute" from="4579,1481" to="6342,1481" stroked="true" strokeweight=".43pt" strokecolor="#000000">
              <v:stroke dashstyle="solid"/>
            </v:line>
            <v:shape style="position:absolute;left:3059;top:541;width:3285;height:2519" type="#_x0000_t75" stroked="false">
              <v:imagedata r:id="rId51" o:title=""/>
            </v:shape>
            <w10:wrap type="topAndBottom"/>
          </v:group>
        </w:pict>
      </w:r>
      <w:r>
        <w:rPr/>
        <w:pict>
          <v:group style="position:absolute;margin-left:342.372986pt;margin-top:27.06271pt;width:129pt;height:125.95pt;mso-position-horizontal-relative:page;mso-position-vertical-relative:paragraph;z-index:-251569152;mso-wrap-distance-left:0;mso-wrap-distance-right:0" coordorigin="6847,541" coordsize="2580,2519">
            <v:line style="position:absolute" from="7320,1672" to="9411,1672" stroked="true" strokeweight="0pt" strokecolor="#808080">
              <v:stroke dashstyle="solid"/>
            </v:line>
            <v:shape style="position:absolute;left:7320;top:1671;width:2092;height:992" coordorigin="7320,1672" coordsize="2092,992" path="m7320,1672l7320,2663,9411,2663,7320,1672xe" filled="true" fillcolor="#808080" stroked="false">
              <v:path arrowok="t"/>
              <v:fill type="solid"/>
            </v:shape>
            <v:shape style="position:absolute;left:7320;top:1671;width:2092;height:992" coordorigin="7320,1672" coordsize="2092,992" path="m9411,1672l7320,1672,9411,2663,9411,1672xe" filled="true" fillcolor="#808080" stroked="false">
              <v:path arrowok="t"/>
              <v:fill type="solid"/>
            </v:shape>
            <v:line style="position:absolute" from="7320,2663" to="9411,2663" stroked="true" strokeweight="0pt" strokecolor="#808080">
              <v:stroke dashstyle="solid"/>
            </v:line>
            <v:shape style="position:absolute;left:7320;top:1671;width:2092;height:992" coordorigin="7320,1672" coordsize="2092,992" path="m9411,1672l7320,1672,7320,2663,9411,2663e" filled="false" stroked="true" strokeweight=".143pt" strokecolor="#000000">
              <v:path arrowok="t"/>
              <v:stroke dashstyle="solid"/>
            </v:shape>
            <v:line style="position:absolute" from="9411,967" to="9411,1033" stroked="true" strokeweight=".143pt" strokecolor="#000000">
              <v:stroke dashstyle="solid"/>
            </v:line>
            <v:line style="position:absolute" from="9411,1090" to="9414,1090" stroked="true" strokeweight=".143pt" strokecolor="#000000">
              <v:stroke dashstyle="solid"/>
            </v:line>
            <v:line style="position:absolute" from="9411,1150" to="9411,1270" stroked="true" strokeweight=".143pt" strokecolor="#000000">
              <v:stroke dashstyle="solid"/>
            </v:line>
            <v:line style="position:absolute" from="9411,1331" to="9414,1331" stroked="true" strokeweight=".143pt" strokecolor="#000000">
              <v:stroke dashstyle="solid"/>
            </v:line>
            <v:line style="position:absolute" from="9411,1388" to="9411,1508" stroked="true" strokeweight=".143pt" strokecolor="#000000">
              <v:stroke dashstyle="solid"/>
            </v:line>
            <v:line style="position:absolute" from="9411,1568" to="9414,1568" stroked="true" strokeweight=".143pt" strokecolor="#000000">
              <v:stroke dashstyle="solid"/>
            </v:line>
            <v:line style="position:absolute" from="9411,1626" to="9411,1746" stroked="true" strokeweight=".143pt" strokecolor="#000000">
              <v:stroke dashstyle="solid"/>
            </v:line>
            <v:line style="position:absolute" from="9411,1806" to="9414,1806" stroked="true" strokeweight=".143pt" strokecolor="#000000">
              <v:stroke dashstyle="solid"/>
            </v:line>
            <v:line style="position:absolute" from="9411,1863" to="9411,1984" stroked="true" strokeweight=".143pt" strokecolor="#000000">
              <v:stroke dashstyle="solid"/>
            </v:line>
            <v:line style="position:absolute" from="9411,2044" to="9414,2044" stroked="true" strokeweight=".143pt" strokecolor="#000000">
              <v:stroke dashstyle="solid"/>
            </v:line>
            <v:line style="position:absolute" from="9411,2101" to="9411,2222" stroked="true" strokeweight=".143pt" strokecolor="#000000">
              <v:stroke dashstyle="solid"/>
            </v:line>
            <v:line style="position:absolute" from="9411,2282" to="9414,2282" stroked="true" strokeweight=".143pt" strokecolor="#000000">
              <v:stroke dashstyle="solid"/>
            </v:line>
            <v:line style="position:absolute" from="9411,2339" to="9411,2459" stroked="true" strokeweight=".143pt" strokecolor="#000000">
              <v:stroke dashstyle="solid"/>
            </v:line>
            <v:line style="position:absolute" from="9411,2520" to="9414,2520" stroked="true" strokeweight=".143pt" strokecolor="#000000">
              <v:stroke dashstyle="solid"/>
            </v:line>
            <v:line style="position:absolute" from="9411,2577" to="9411,2697" stroked="true" strokeweight=".143pt" strokecolor="#000000">
              <v:stroke dashstyle="solid"/>
            </v:line>
            <v:line style="position:absolute" from="9411,2757" to="9414,2757" stroked="true" strokeweight=".143pt" strokecolor="#000000">
              <v:stroke dashstyle="solid"/>
            </v:line>
            <v:line style="position:absolute" from="9411,2815" to="9411,2883" stroked="true" strokeweight=".143pt" strokecolor="#000000">
              <v:stroke dashstyle="solid"/>
            </v:line>
            <v:line style="position:absolute" from="8005,543" to="7910,543" stroked="true" strokeweight=".143pt" strokecolor="#000000">
              <v:stroke dashstyle="solid"/>
            </v:line>
            <v:line style="position:absolute" from="7850,543" to="7853,543" stroked="true" strokeweight=".143pt" strokecolor="#000000">
              <v:stroke dashstyle="solid"/>
            </v:line>
            <v:line style="position:absolute" from="7790,543" to="7672,543" stroked="true" strokeweight=".143pt" strokecolor="#000000">
              <v:stroke dashstyle="solid"/>
            </v:line>
            <v:line style="position:absolute" from="7612,543" to="7615,543" stroked="true" strokeweight=".143pt" strokecolor="#000000">
              <v:stroke dashstyle="solid"/>
            </v:line>
            <v:line style="position:absolute" from="7552,543" to="7435,543" stroked="true" strokeweight=".143pt" strokecolor="#000000">
              <v:stroke dashstyle="solid"/>
            </v:line>
            <v:line style="position:absolute" from="7374,543" to="7377,543" stroked="true" strokeweight=".143pt" strokecolor="#000000">
              <v:stroke dashstyle="solid"/>
            </v:line>
            <v:line style="position:absolute" from="7314,543" to="7197,543" stroked="true" strokeweight=".143pt" strokecolor="#000000">
              <v:stroke dashstyle="solid"/>
            </v:line>
            <v:line style="position:absolute" from="7137,543" to="7140,543" stroked="true" strokeweight=".143pt" strokecolor="#000000">
              <v:stroke dashstyle="solid"/>
            </v:line>
            <v:line style="position:absolute" from="7077,543" to="6985,543" stroked="true" strokeweight=".143pt" strokecolor="#000000">
              <v:stroke dashstyle="solid"/>
            </v:line>
            <v:line style="position:absolute" from="7678,543" to="7678,1671" stroked="true" strokeweight=".143pt" strokecolor="#000000">
              <v:stroke dashstyle="solid"/>
            </v:line>
            <v:line style="position:absolute" from="7784,543" to="7784,1359" stroked="true" strokeweight=".143pt" strokecolor="#000000">
              <v:stroke dashstyle="solid"/>
            </v:line>
            <v:line style="position:absolute" from="7203,543" to="7203,3058" stroked="true" strokeweight=".143pt" strokecolor="#000000">
              <v:stroke dashstyle="solid"/>
            </v:line>
            <v:shape style="position:absolute;left:8196;top:831;width:1229;height:645" coordorigin="8197,832" coordsize="1229,645" path="m9425,832l8197,832,8403,1477e" filled="false" stroked="true" strokeweight=".143pt" strokecolor="#000000">
              <v:path arrowok="t"/>
              <v:stroke dashstyle="solid"/>
            </v:shape>
            <v:rect style="position:absolute;left:8210;top:731;width:9;height:78" filled="true" fillcolor="#000000" stroked="false">
              <v:fill type="solid"/>
            </v:rect>
            <v:shape style="position:absolute;left:8271;top:731;width:43;height:78" coordorigin="8271,732" coordsize="43,78" path="m8314,732l8300,732,8280,786,8280,792,8277,795,8277,798,8271,809,8280,809,8303,743,8314,732xe" filled="true" fillcolor="#000000" stroked="false">
              <v:path arrowok="t"/>
              <v:fill type="solid"/>
            </v:shape>
            <v:shape style="position:absolute;left:8302;top:731;width:12;height:78" coordorigin="8303,732" coordsize="12,78" path="m8314,732l8303,743,8303,809,8314,809,8314,732xe" filled="true" fillcolor="#000000" stroked="false">
              <v:path arrowok="t"/>
              <v:fill type="solid"/>
            </v:shape>
            <v:shape style="position:absolute;left:8239;top:731;width:15;height:78" coordorigin="8240,732" coordsize="15,78" path="m8254,732l8240,732,8240,809,8248,809,8248,743,8254,732xe" filled="true" fillcolor="#000000" stroked="false">
              <v:path arrowok="t"/>
              <v:fill type="solid"/>
            </v:shape>
            <v:shape style="position:absolute;left:8248;top:731;width:29;height:78" coordorigin="8248,732" coordsize="29,78" path="m8254,732l8248,743,8271,809,8277,798,8277,795,8274,795,8274,786,8254,732xe" filled="true" fillcolor="#000000" stroked="false">
              <v:path arrowok="t"/>
              <v:fill type="solid"/>
            </v:shape>
            <v:shape style="position:absolute;left:8362;top:740;width:26;height:29" coordorigin="8363,740" coordsize="26,29" path="m8383,740l8368,740,8371,743,8374,743,8374,746,8377,749,8377,760,8374,760,8374,763,8371,766,8366,766,8363,769,8383,769,8386,766,8386,760,8389,758,8389,749,8386,746,8386,743,8383,740xe" filled="true" fillcolor="#000000" stroked="false">
              <v:path arrowok="t"/>
              <v:fill type="solid"/>
            </v:shape>
            <v:shape style="position:absolute;left:8328;top:731;width:55;height:78" coordorigin="8328,732" coordsize="55,78" path="m8374,732l8328,732,8328,809,8340,809,8340,778,8371,778,8371,775,8377,775,8383,769,8340,769,8340,740,8383,740,8383,738,8380,738,8380,735,8377,735,8374,732xe" filled="true" fillcolor="#000000" stroked="false">
              <v:path arrowok="t"/>
              <v:fill type="solid"/>
            </v:shape>
            <v:shape style="position:absolute;left:8402;top:731;width:58;height:78" coordorigin="8403,732" coordsize="58,78" path="m8460,732l8403,732,8403,809,8460,809,8460,801,8414,801,8414,775,8457,775,8457,763,8414,763,8414,740,8460,740,8460,732xe" filled="true" fillcolor="#000000" stroked="false">
              <v:path arrowok="t"/>
              <v:fill type="solid"/>
            </v:shape>
            <v:shape style="position:absolute;left:8505;top:774;width:38;height:35" coordorigin="8506,775" coordsize="38,35" path="m8523,778l8509,778,8512,781,8512,783,8515,783,8515,786,8517,789,8517,792,8520,792,8529,809,8543,809,8529,789,8529,786,8523,781,8523,778xm8520,775l8506,775,8506,778,8520,778,8520,775xe" filled="true" fillcolor="#000000" stroked="false">
              <v:path arrowok="t"/>
              <v:fill type="solid"/>
            </v:shape>
            <v:shape style="position:absolute;left:8508;top:737;width:29;height:29" coordorigin="8509,738" coordsize="29,29" path="m8532,763l8517,763,8515,766,8532,766,8532,763xm8535,740l8520,740,8520,743,8523,743,8523,746,8526,749,8526,758,8523,760,8523,763,8535,763,8535,758,8537,758,8537,749,8535,746,8535,740xm8532,738l8509,740,8532,740,8532,738xe" filled="true" fillcolor="#000000" stroked="false">
              <v:path arrowok="t"/>
              <v:fill type="solid"/>
            </v:shape>
            <v:shape style="position:absolute;left:8474;top:731;width:58;height:78" coordorigin="8474,732" coordsize="58,78" path="m8523,732l8474,732,8474,809,8486,809,8486,775,8517,775,8517,772,8526,772,8526,769,8529,769,8532,766,8486,766,8486,740,8509,740,8532,738,8529,738,8529,735,8526,735,8523,732xe" filled="true" fillcolor="#000000" stroked="false">
              <v:path arrowok="t"/>
              <v:fill type="solid"/>
            </v:shape>
            <v:shape style="position:absolute;left:8586;top:731;width:43;height:78" coordorigin="8586,732" coordsize="43,78" path="m8629,732l8615,732,8595,786,8595,792,8592,795,8592,798,8586,809,8595,809,8618,743,8629,732xe" filled="true" fillcolor="#000000" stroked="false">
              <v:path arrowok="t"/>
              <v:fill type="solid"/>
            </v:shape>
            <v:shape style="position:absolute;left:8617;top:731;width:12;height:78" coordorigin="8618,732" coordsize="12,78" path="m8629,732l8618,743,8618,809,8629,809,8629,732xe" filled="true" fillcolor="#000000" stroked="false">
              <v:path arrowok="t"/>
              <v:fill type="solid"/>
            </v:shape>
            <v:shape style="position:absolute;left:8554;top:731;width:15;height:78" coordorigin="8555,732" coordsize="15,78" path="m8569,732l8555,732,8555,809,8563,809,8563,743,8569,732xe" filled="true" fillcolor="#000000" stroked="false">
              <v:path arrowok="t"/>
              <v:fill type="solid"/>
            </v:shape>
            <v:shape style="position:absolute;left:8563;top:731;width:29;height:78" coordorigin="8563,732" coordsize="29,78" path="m8569,732l8563,743,8586,809,8592,798,8592,795,8589,795,8589,786,8569,732xe" filled="true" fillcolor="#000000" stroked="false">
              <v:path arrowok="t"/>
              <v:fill type="solid"/>
            </v:shape>
            <v:shape style="position:absolute;left:8643;top:731;width:58;height:78" coordorigin="8643,732" coordsize="58,78" path="m8701,732l8643,732,8643,809,8701,809,8701,801,8655,801,8655,775,8698,775,8698,763,8655,763,8655,740,8701,740,8701,732xe" filled="true" fillcolor="#000000" stroked="false">
              <v:path arrowok="t"/>
              <v:fill type="solid"/>
            </v:shape>
            <v:shape style="position:absolute;left:8709;top:731;width:52;height:78" coordorigin="8709,732" coordsize="52,78" path="m8749,732l8738,732,8709,809,8721,809,8729,786,8761,786,8732,778,8741,755,8741,749,8744,749,8744,740,8749,732xe" filled="true" fillcolor="#000000" stroked="false">
              <v:path arrowok="t"/>
              <v:fill type="solid"/>
            </v:shape>
            <v:shape style="position:absolute;left:8732;top:731;width:49;height:78" coordorigin="8732,732" coordsize="49,78" path="m8749,732l8744,740,8747,743,8747,749,8749,752,8749,755,8758,778,8732,778,8761,786,8770,809,8781,809,8749,732xe" filled="true" fillcolor="#000000" stroked="false">
              <v:path arrowok="t"/>
              <v:fill type="solid"/>
            </v:shape>
            <v:shape style="position:absolute;left:8821;top:771;width:26;height:29" coordorigin="8821,772" coordsize="26,29" path="m8844,798l8827,798,8827,801,8844,801,8844,798xm8847,778l8835,778,8835,783,8838,783,8838,789,8835,792,8835,795,8833,795,8833,798,8847,798,8847,778xm8841,772l8821,772,8824,775,8833,775,8833,778,8844,778,8844,775,8841,772xe" filled="true" fillcolor="#000000" stroked="false">
              <v:path arrowok="t"/>
              <v:fill type="solid"/>
            </v:shape>
            <v:shape style="position:absolute;left:8798;top:738;width:46;height:28" coordorigin="8798,739" coordsize="46,28" path="m8838,763l8798,763,8838,766,8838,763xm8841,740l8833,740,8833,746,8833,758,8833,760,8830,760,8827,763,8841,763,8841,760,8844,758,8844,746,8841,743,8841,740xm8832,739l8818,740,8833,740,8832,739xe" filled="true" fillcolor="#000000" stroked="false">
              <v:path arrowok="t"/>
              <v:fill type="solid"/>
            </v:shape>
            <v:shape style="position:absolute;left:8789;top:731;width:55;height:78" coordorigin="8790,732" coordsize="55,78" path="m8833,732l8790,732,8790,809,8833,809,8833,806,8838,806,8844,801,8798,801,8798,772,8841,772,8838,769,8833,769,8833,766,8838,766,8798,763,8798,740,8841,740,8835,735,8833,735,8833,732xe" filled="true" fillcolor="#000000" stroked="false">
              <v:path arrowok="t"/>
              <v:fill type="solid"/>
            </v:shape>
            <v:rect style="position:absolute;left:8866;top:731;width:9;height:78" filled="true" fillcolor="#000000" stroked="false">
              <v:fill type="solid"/>
            </v:rect>
            <v:shape style="position:absolute;left:8892;top:731;width:49;height:78" coordorigin="8893,732" coordsize="49,78" path="m8901,732l8893,732,8893,809,8941,809,8941,801,8901,801,8901,732xe" filled="true" fillcolor="#000000" stroked="false">
              <v:path arrowok="t"/>
              <v:fill type="solid"/>
            </v:shape>
            <v:rect style="position:absolute;left:8958;top:731;width:9;height:78" filled="true" fillcolor="#000000" stroked="false">
              <v:fill type="solid"/>
            </v:rect>
            <v:shape style="position:absolute;left:8978;top:731;width:61;height:78" coordorigin="8979,732" coordsize="61,78" path="m9039,732l8981,732,8981,740,9024,740,9024,743,9022,743,9022,746,9019,749,8979,801,8979,809,9039,809,9039,801,8990,801,8996,795,9039,740,9039,732xe" filled="true" fillcolor="#000000" stroked="false">
              <v:path arrowok="t"/>
              <v:fill type="solid"/>
            </v:shape>
            <v:shape style="position:absolute;left:9044;top:731;width:52;height:78" coordorigin="9044,732" coordsize="52,78" path="m9085,732l9073,732,9044,809,9056,809,9065,786,9096,786,9067,778,9076,755,9076,749,9079,749,9079,740,9085,732xe" filled="true" fillcolor="#000000" stroked="false">
              <v:path arrowok="t"/>
              <v:fill type="solid"/>
            </v:shape>
            <v:shape style="position:absolute;left:9067;top:731;width:49;height:78" coordorigin="9067,732" coordsize="49,78" path="m9085,732l9079,740,9082,743,9082,749,9085,752,9085,755,9093,778,9067,778,9096,786,9105,809,9116,809,9085,732xe" filled="true" fillcolor="#000000" stroked="false">
              <v:path arrowok="t"/>
              <v:fill type="solid"/>
            </v:shape>
            <v:shape style="position:absolute;left:9133;top:780;width:58;height:29" coordorigin="9133,781" coordsize="58,29" path="m9173,806l9142,806,9142,809,9171,809,9173,806xm9179,781l9179,789,9176,789,9176,792,9173,795,9173,798,9171,798,9168,801,9156,801,9133,803,9136,803,9139,806,9176,806,9185,798,9185,795,9188,792,9188,789,9191,786,9191,783,9179,781xe" filled="true" fillcolor="#000000" stroked="false">
              <v:path arrowok="t"/>
              <v:fill type="solid"/>
            </v:shape>
            <v:shape style="position:absolute;left:9161;top:737;width:26;height:18" coordorigin="9162,738" coordsize="26,18" path="m9188,746l9176,746,9176,752,9179,752,9179,755,9188,752,9188,746xm9185,740l9171,740,9171,743,9173,743,9173,746,9185,746,9185,740xm9182,738l9162,738,9165,740,9182,740,9182,738xe" filled="true" fillcolor="#000000" stroked="false">
              <v:path arrowok="t"/>
              <v:fill type="solid"/>
            </v:shape>
            <v:shape style="position:absolute;left:9121;top:728;width:58;height:75" coordorigin="9122,729" coordsize="58,75" path="m9156,801l9133,801,9133,803,9156,801xm9145,798l9130,798,9130,801,9148,801,9145,798xm9139,792l9128,792,9128,798,9142,798,9142,795,9139,795,9139,792xm9142,743l9128,743,9128,749,9125,749,9125,755,9122,758,9122,783,9125,783,9125,792,9136,792,9136,786,9133,783,9133,755,9136,752,9136,749,9142,743xm9145,740l9130,740,9130,743,9145,743,9145,740xm9156,738l9133,738,9133,740,9153,740,9156,738xm9179,735l9136,735,9136,738,9179,738,9179,735xm9173,732l9142,732,9142,735,9176,735,9173,732xm9162,729l9153,729,9150,732,9165,732,9162,729xe" filled="true" fillcolor="#000000" stroked="false">
              <v:path arrowok="t"/>
              <v:fill type="solid"/>
            </v:shape>
            <v:rect style="position:absolute;left:9204;top:731;width:9;height:78" filled="true" fillcolor="#000000" stroked="false">
              <v:fill type="solid"/>
            </v:rect>
            <v:shape style="position:absolute;left:9227;top:737;width:61;height:72" coordorigin="9228,738" coordsize="61,72" path="m9279,806l9251,806,9251,809,9277,809,9279,806xm9242,749l9231,749,9231,755,9228,758,9228,783,9231,783,9231,792,9234,792,9234,795,9245,806,9285,806,9285,803,9288,803,9288,801,9254,801,9254,798,9248,798,9248,795,9245,795,9245,792,9242,789,9242,786,9239,783,9239,755,9242,755,9242,749xm9248,743l9234,743,9234,749,9245,749,9245,746,9248,746,9248,743xm9254,740l9236,740,9236,743,9251,743,9254,740xm9262,738l9242,738,9239,740,9259,740,9262,738xe" filled="true" fillcolor="#000000" stroked="false">
              <v:path arrowok="t"/>
              <v:fill type="solid"/>
            </v:shape>
            <v:shape style="position:absolute;left:9242;top:728;width:61;height:72" coordorigin="9242,729" coordsize="61,72" path="m9291,798l9277,798,9274,801,9291,801,9291,798xm9294,795l9282,795,9279,798,9294,798,9294,795xm9294,740l9277,740,9288,752,9288,758,9291,760,9291,783,9288,786,9288,789,9285,789,9285,795,9297,795,9297,792,9299,789,9299,781,9302,781,9302,760,9299,760,9299,752,9297,749,9297,746,9294,746,9294,740xm9288,738l9268,738,9268,740,9291,740,9288,738xm9285,735l9245,735,9242,738,9285,738,9285,735xm9279,732l9251,732,9248,735,9282,735,9279,732xm9271,729l9259,729,9256,732,9274,732,9271,729xe" filled="true" fillcolor="#000000" stroked="false">
              <v:path arrowok="t"/>
              <v:fill type="solid"/>
            </v:shape>
            <v:shape style="position:absolute;left:9259;top:711;width:18;height:15" coordorigin="9259,712" coordsize="18,15" path="m9276,712l9265,712,9259,726,9265,726,9276,712xe" filled="true" fillcolor="#000000" stroked="false">
              <v:path arrowok="t"/>
              <v:fill type="solid"/>
            </v:shape>
            <v:rect style="position:absolute;left:9365;top:731;width:9;height:78" filled="true" fillcolor="#000000" stroked="false">
              <v:fill type="solid"/>
            </v:rect>
            <v:shape style="position:absolute;left:9313;top:731;width:12;height:78" coordorigin="9314,732" coordsize="12,78" path="m9325,732l9314,732,9314,809,9322,809,9322,749,9325,732xe" filled="true" fillcolor="#000000" stroked="false">
              <v:path arrowok="t"/>
              <v:fill type="solid"/>
            </v:shape>
            <v:shape style="position:absolute;left:9322;top:731;width:43;height:78" coordorigin="9322,732" coordsize="43,78" path="m9325,732l9322,749,9365,809,9365,792,9325,732xe" filled="true" fillcolor="#000000" stroked="false">
              <v:path arrowok="t"/>
              <v:fill type="solid"/>
            </v:shape>
            <v:line style="position:absolute" from="7784,1359" to="9411,1359" stroked="true" strokeweight=".143pt" strokecolor="#000000">
              <v:stroke dashstyle="solid"/>
            </v:line>
            <v:line style="position:absolute" from="7678,829" to="7784,829" stroked="true" strokeweight=".143pt" strokecolor="#000000">
              <v:stroke dashstyle="solid"/>
            </v:line>
            <v:shape style="position:absolute;left:7838;top:1476;width:21;height:9" coordorigin="7839,1477" coordsize="21,9" path="m7859,1477l7839,1477,7839,1485,7859,1477xe" filled="true" fillcolor="#000000" stroked="false">
              <v:path arrowok="t"/>
              <v:fill type="solid"/>
            </v:shape>
            <v:shape style="position:absolute;left:7838;top:1476;width:21;height:9" coordorigin="7839,1477" coordsize="21,9" path="m7859,1477l7839,1485,7859,1485,7859,1477xe" filled="true" fillcolor="#000000" stroked="false">
              <v:path arrowok="t"/>
              <v:fill type="solid"/>
            </v:shape>
            <v:shape style="position:absolute;left:7872;top:1476;width:32;height:9" coordorigin="7873,1477" coordsize="32,9" path="m7904,1477l7873,1477,7873,1485,7904,1477xe" filled="true" fillcolor="#000000" stroked="false">
              <v:path arrowok="t"/>
              <v:fill type="solid"/>
            </v:shape>
            <v:shape style="position:absolute;left:7872;top:1476;width:32;height:9" coordorigin="7873,1477" coordsize="32,9" path="m7904,1477l7873,1485,7904,1485,7904,1477xe" filled="true" fillcolor="#000000" stroked="false">
              <v:path arrowok="t"/>
              <v:fill type="solid"/>
            </v:shape>
            <v:shape style="position:absolute;left:7918;top:1476;width:29;height:9" coordorigin="7919,1477" coordsize="29,9" path="m7947,1477l7919,1477,7919,1485,7947,1477xe" filled="true" fillcolor="#000000" stroked="false">
              <v:path arrowok="t"/>
              <v:fill type="solid"/>
            </v:shape>
            <v:shape style="position:absolute;left:7918;top:1476;width:29;height:9" coordorigin="7919,1477" coordsize="29,9" path="m7947,1477l7919,1485,7947,1485,7947,1477xe" filled="true" fillcolor="#000000" stroked="false">
              <v:path arrowok="t"/>
              <v:fill type="solid"/>
            </v:shape>
            <v:shape style="position:absolute;left:7964;top:1476;width:29;height:9" coordorigin="7965,1477" coordsize="29,9" path="m7993,1477l7965,1477,7965,1485,7993,1477xe" filled="true" fillcolor="#000000" stroked="false">
              <v:path arrowok="t"/>
              <v:fill type="solid"/>
            </v:shape>
            <v:shape style="position:absolute;left:7964;top:1476;width:29;height:9" coordorigin="7965,1477" coordsize="29,9" path="m7993,1477l7965,1485,7993,1485,7993,1477xe" filled="true" fillcolor="#000000" stroked="false">
              <v:path arrowok="t"/>
              <v:fill type="solid"/>
            </v:shape>
            <v:shape style="position:absolute;left:8007;top:1476;width:32;height:9" coordorigin="8008,1477" coordsize="32,9" path="m8039,1477l8008,1477,8008,1485,8039,1477xe" filled="true" fillcolor="#000000" stroked="false">
              <v:path arrowok="t"/>
              <v:fill type="solid"/>
            </v:shape>
            <v:shape style="position:absolute;left:8007;top:1476;width:32;height:9" coordorigin="8008,1477" coordsize="32,9" path="m8039,1477l8008,1485,8039,1485,8039,1477xe" filled="true" fillcolor="#000000" stroked="false">
              <v:path arrowok="t"/>
              <v:fill type="solid"/>
            </v:shape>
            <v:shape style="position:absolute;left:8053;top:1476;width:29;height:9" coordorigin="8053,1477" coordsize="29,9" path="m8082,1477l8053,1477,8053,1485,8082,1477xe" filled="true" fillcolor="#000000" stroked="false">
              <v:path arrowok="t"/>
              <v:fill type="solid"/>
            </v:shape>
            <v:shape style="position:absolute;left:8053;top:1476;width:29;height:9" coordorigin="8053,1477" coordsize="29,9" path="m8082,1477l8053,1485,8082,1485,8082,1477xe" filled="true" fillcolor="#000000" stroked="false">
              <v:path arrowok="t"/>
              <v:fill type="solid"/>
            </v:shape>
            <v:shape style="position:absolute;left:8096;top:1476;width:32;height:9" coordorigin="8096,1477" coordsize="32,9" path="m8128,1477l8096,1477,8096,1485,8128,1477xe" filled="true" fillcolor="#000000" stroked="false">
              <v:path arrowok="t"/>
              <v:fill type="solid"/>
            </v:shape>
            <v:shape style="position:absolute;left:8096;top:1476;width:32;height:9" coordorigin="8096,1477" coordsize="32,9" path="m8128,1477l8096,1485,8128,1485,8128,1477xe" filled="true" fillcolor="#000000" stroked="false">
              <v:path arrowok="t"/>
              <v:fill type="solid"/>
            </v:shape>
            <v:shape style="position:absolute;left:8142;top:1476;width:29;height:9" coordorigin="8142,1477" coordsize="29,9" path="m8171,1477l8142,1477,8142,1485,8171,1477xe" filled="true" fillcolor="#000000" stroked="false">
              <v:path arrowok="t"/>
              <v:fill type="solid"/>
            </v:shape>
            <v:shape style="position:absolute;left:8142;top:1476;width:29;height:9" coordorigin="8142,1477" coordsize="29,9" path="m8171,1477l8142,1485,8171,1485,8171,1477xe" filled="true" fillcolor="#000000" stroked="false">
              <v:path arrowok="t"/>
              <v:fill type="solid"/>
            </v:shape>
            <v:shape style="position:absolute;left:8185;top:1476;width:32;height:9" coordorigin="8185,1477" coordsize="32,9" path="m8217,1477l8185,1477,8185,1485,8217,1477xe" filled="true" fillcolor="#000000" stroked="false">
              <v:path arrowok="t"/>
              <v:fill type="solid"/>
            </v:shape>
            <v:shape style="position:absolute;left:8185;top:1476;width:32;height:9" coordorigin="8185,1477" coordsize="32,9" path="m8217,1477l8185,1485,8217,1485,8217,1477xe" filled="true" fillcolor="#000000" stroked="false">
              <v:path arrowok="t"/>
              <v:fill type="solid"/>
            </v:shape>
            <v:shape style="position:absolute;left:8230;top:1476;width:29;height:9" coordorigin="8231,1477" coordsize="29,9" path="m8260,1477l8231,1477,8231,1485,8260,1477xe" filled="true" fillcolor="#000000" stroked="false">
              <v:path arrowok="t"/>
              <v:fill type="solid"/>
            </v:shape>
            <v:shape style="position:absolute;left:8230;top:1476;width:29;height:9" coordorigin="8231,1477" coordsize="29,9" path="m8260,1477l8231,1485,8260,1485,8260,1477xe" filled="true" fillcolor="#000000" stroked="false">
              <v:path arrowok="t"/>
              <v:fill type="solid"/>
            </v:shape>
            <v:shape style="position:absolute;left:8276;top:1476;width:29;height:9" coordorigin="8277,1477" coordsize="29,9" path="m8305,1477l8277,1477,8277,1485,8305,1477xe" filled="true" fillcolor="#000000" stroked="false">
              <v:path arrowok="t"/>
              <v:fill type="solid"/>
            </v:shape>
            <v:shape style="position:absolute;left:8276;top:1476;width:29;height:9" coordorigin="8277,1477" coordsize="29,9" path="m8305,1477l8277,1485,8305,1485,8305,1477xe" filled="true" fillcolor="#000000" stroked="false">
              <v:path arrowok="t"/>
              <v:fill type="solid"/>
            </v:shape>
            <v:shape style="position:absolute;left:8319;top:1476;width:32;height:9" coordorigin="8320,1477" coordsize="32,9" path="m8351,1477l8320,1477,8320,1485,8351,1477xe" filled="true" fillcolor="#000000" stroked="false">
              <v:path arrowok="t"/>
              <v:fill type="solid"/>
            </v:shape>
            <v:shape style="position:absolute;left:8319;top:1476;width:32;height:9" coordorigin="8320,1477" coordsize="32,9" path="m8351,1477l8320,1485,8351,1485,8351,1477xe" filled="true" fillcolor="#000000" stroked="false">
              <v:path arrowok="t"/>
              <v:fill type="solid"/>
            </v:shape>
            <v:shape style="position:absolute;left:8365;top:1476;width:29;height:9" coordorigin="8366,1477" coordsize="29,9" path="m8394,1477l8366,1477,8366,1485,8394,1477xe" filled="true" fillcolor="#000000" stroked="false">
              <v:path arrowok="t"/>
              <v:fill type="solid"/>
            </v:shape>
            <v:shape style="position:absolute;left:8365;top:1476;width:29;height:9" coordorigin="8366,1477" coordsize="29,9" path="m8394,1477l8366,1485,8394,1485,8394,1477xe" filled="true" fillcolor="#000000" stroked="false">
              <v:path arrowok="t"/>
              <v:fill type="solid"/>
            </v:shape>
            <v:shape style="position:absolute;left:8408;top:1476;width:32;height:9" coordorigin="8409,1477" coordsize="32,9" path="m8440,1477l8409,1477,8409,1485,8440,1477xe" filled="true" fillcolor="#000000" stroked="false">
              <v:path arrowok="t"/>
              <v:fill type="solid"/>
            </v:shape>
            <v:shape style="position:absolute;left:8408;top:1476;width:32;height:9" coordorigin="8409,1477" coordsize="32,9" path="m8440,1477l8409,1485,8440,1485,8440,1477xe" filled="true" fillcolor="#000000" stroked="false">
              <v:path arrowok="t"/>
              <v:fill type="solid"/>
            </v:shape>
            <v:shape style="position:absolute;left:8454;top:1476;width:29;height:9" coordorigin="8454,1477" coordsize="29,9" path="m8483,1477l8454,1477,8454,1485,8483,1477xe" filled="true" fillcolor="#000000" stroked="false">
              <v:path arrowok="t"/>
              <v:fill type="solid"/>
            </v:shape>
            <v:shape style="position:absolute;left:8454;top:1476;width:29;height:9" coordorigin="8454,1477" coordsize="29,9" path="m8483,1477l8454,1485,8483,1485,8483,1477xe" filled="true" fillcolor="#000000" stroked="false">
              <v:path arrowok="t"/>
              <v:fill type="solid"/>
            </v:shape>
            <v:shape style="position:absolute;left:8497;top:1476;width:32;height:9" coordorigin="8497,1477" coordsize="32,9" path="m8529,1477l8497,1477,8497,1485,8529,1477xe" filled="true" fillcolor="#000000" stroked="false">
              <v:path arrowok="t"/>
              <v:fill type="solid"/>
            </v:shape>
            <v:shape style="position:absolute;left:8497;top:1476;width:32;height:9" coordorigin="8497,1477" coordsize="32,9" path="m8529,1477l8497,1485,8529,1485,8529,1477xe" filled="true" fillcolor="#000000" stroked="false">
              <v:path arrowok="t"/>
              <v:fill type="solid"/>
            </v:shape>
            <v:shape style="position:absolute;left:8543;top:1476;width:29;height:9" coordorigin="8543,1477" coordsize="29,9" path="m8572,1477l8543,1477,8543,1485,8572,1477xe" filled="true" fillcolor="#000000" stroked="false">
              <v:path arrowok="t"/>
              <v:fill type="solid"/>
            </v:shape>
            <v:shape style="position:absolute;left:8543;top:1476;width:29;height:9" coordorigin="8543,1477" coordsize="29,9" path="m8572,1477l8543,1485,8572,1485,8572,1477xe" filled="true" fillcolor="#000000" stroked="false">
              <v:path arrowok="t"/>
              <v:fill type="solid"/>
            </v:shape>
            <v:shape style="position:absolute;left:8589;top:1476;width:29;height:9" coordorigin="8589,1477" coordsize="29,9" path="m8618,1477l8589,1477,8589,1485,8618,1477xe" filled="true" fillcolor="#000000" stroked="false">
              <v:path arrowok="t"/>
              <v:fill type="solid"/>
            </v:shape>
            <v:shape style="position:absolute;left:8589;top:1476;width:29;height:9" coordorigin="8589,1477" coordsize="29,9" path="m8618,1477l8589,1485,8618,1485,8618,1477xe" filled="true" fillcolor="#000000" stroked="false">
              <v:path arrowok="t"/>
              <v:fill type="solid"/>
            </v:shape>
            <v:shape style="position:absolute;left:8632;top:1476;width:32;height:9" coordorigin="8632,1477" coordsize="32,9" path="m8663,1477l8632,1477,8632,1485,8663,1477xe" filled="true" fillcolor="#000000" stroked="false">
              <v:path arrowok="t"/>
              <v:fill type="solid"/>
            </v:shape>
            <v:shape style="position:absolute;left:8632;top:1476;width:32;height:9" coordorigin="8632,1477" coordsize="32,9" path="m8663,1477l8632,1485,8663,1485,8663,1477xe" filled="true" fillcolor="#000000" stroked="false">
              <v:path arrowok="t"/>
              <v:fill type="solid"/>
            </v:shape>
            <v:shape style="position:absolute;left:8677;top:1476;width:29;height:9" coordorigin="8678,1477" coordsize="29,9" path="m8706,1477l8678,1477,8678,1485,8706,1477xe" filled="true" fillcolor="#000000" stroked="false">
              <v:path arrowok="t"/>
              <v:fill type="solid"/>
            </v:shape>
            <v:shape style="position:absolute;left:8677;top:1476;width:29;height:9" coordorigin="8678,1477" coordsize="29,9" path="m8706,1477l8678,1485,8706,1485,8706,1477xe" filled="true" fillcolor="#000000" stroked="false">
              <v:path arrowok="t"/>
              <v:fill type="solid"/>
            </v:shape>
            <v:shape style="position:absolute;left:8720;top:1476;width:32;height:9" coordorigin="8721,1477" coordsize="32,9" path="m8752,1477l8721,1477,8721,1485,8752,1477xe" filled="true" fillcolor="#000000" stroked="false">
              <v:path arrowok="t"/>
              <v:fill type="solid"/>
            </v:shape>
            <v:shape style="position:absolute;left:8720;top:1476;width:32;height:9" coordorigin="8721,1477" coordsize="32,9" path="m8752,1477l8721,1485,8752,1485,8752,1477xe" filled="true" fillcolor="#000000" stroked="false">
              <v:path arrowok="t"/>
              <v:fill type="solid"/>
            </v:shape>
            <v:shape style="position:absolute;left:8766;top:1476;width:29;height:9" coordorigin="8767,1477" coordsize="29,9" path="m8795,1477l8767,1477,8767,1485,8795,1477xe" filled="true" fillcolor="#000000" stroked="false">
              <v:path arrowok="t"/>
              <v:fill type="solid"/>
            </v:shape>
            <v:shape style="position:absolute;left:8766;top:1476;width:29;height:9" coordorigin="8767,1477" coordsize="29,9" path="m8795,1477l8767,1485,8795,1485,8795,1477xe" filled="true" fillcolor="#000000" stroked="false">
              <v:path arrowok="t"/>
              <v:fill type="solid"/>
            </v:shape>
            <v:shape style="position:absolute;left:8809;top:1476;width:32;height:9" coordorigin="8810,1477" coordsize="32,9" path="m8841,1477l8810,1477,8810,1485,8841,1477xe" filled="true" fillcolor="#000000" stroked="false">
              <v:path arrowok="t"/>
              <v:fill type="solid"/>
            </v:shape>
            <v:shape style="position:absolute;left:8809;top:1476;width:32;height:9" coordorigin="8810,1477" coordsize="32,9" path="m8841,1477l8810,1485,8841,1485,8841,1477xe" filled="true" fillcolor="#000000" stroked="false">
              <v:path arrowok="t"/>
              <v:fill type="solid"/>
            </v:shape>
            <v:shape style="position:absolute;left:8855;top:1476;width:29;height:9" coordorigin="8855,1477" coordsize="29,9" path="m8884,1477l8855,1477,8855,1485,8884,1477xe" filled="true" fillcolor="#000000" stroked="false">
              <v:path arrowok="t"/>
              <v:fill type="solid"/>
            </v:shape>
            <v:shape style="position:absolute;left:8855;top:1476;width:29;height:9" coordorigin="8855,1477" coordsize="29,9" path="m8884,1477l8855,1485,8884,1485,8884,1477xe" filled="true" fillcolor="#000000" stroked="false">
              <v:path arrowok="t"/>
              <v:fill type="solid"/>
            </v:shape>
            <v:shape style="position:absolute;left:8901;top:1476;width:29;height:9" coordorigin="8901,1477" coordsize="29,9" path="m8930,1477l8901,1477,8901,1485,8930,1477xe" filled="true" fillcolor="#000000" stroked="false">
              <v:path arrowok="t"/>
              <v:fill type="solid"/>
            </v:shape>
            <v:shape style="position:absolute;left:8901;top:1476;width:29;height:9" coordorigin="8901,1477" coordsize="29,9" path="m8930,1477l8901,1485,8930,1485,8930,1477xe" filled="true" fillcolor="#000000" stroked="false">
              <v:path arrowok="t"/>
              <v:fill type="solid"/>
            </v:shape>
            <v:shape style="position:absolute;left:8944;top:1476;width:32;height:9" coordorigin="8944,1477" coordsize="32,9" path="m8976,1477l8944,1477,8944,1485,8976,1477xe" filled="true" fillcolor="#000000" stroked="false">
              <v:path arrowok="t"/>
              <v:fill type="solid"/>
            </v:shape>
            <v:shape style="position:absolute;left:8944;top:1476;width:32;height:9" coordorigin="8944,1477" coordsize="32,9" path="m8976,1477l8944,1485,8976,1485,8976,1477xe" filled="true" fillcolor="#000000" stroked="false">
              <v:path arrowok="t"/>
              <v:fill type="solid"/>
            </v:shape>
            <v:shape style="position:absolute;left:8990;top:1476;width:29;height:9" coordorigin="8990,1477" coordsize="29,9" path="m9019,1477l8990,1477,8990,1485,9019,1477xe" filled="true" fillcolor="#000000" stroked="false">
              <v:path arrowok="t"/>
              <v:fill type="solid"/>
            </v:shape>
            <v:shape style="position:absolute;left:8990;top:1476;width:29;height:9" coordorigin="8990,1477" coordsize="29,9" path="m9019,1477l8990,1485,9019,1485,9019,1477xe" filled="true" fillcolor="#000000" stroked="false">
              <v:path arrowok="t"/>
              <v:fill type="solid"/>
            </v:shape>
            <v:shape style="position:absolute;left:9033;top:1476;width:32;height:9" coordorigin="9033,1477" coordsize="32,9" path="m9065,1477l9033,1477,9033,1485,9065,1477xe" filled="true" fillcolor="#000000" stroked="false">
              <v:path arrowok="t"/>
              <v:fill type="solid"/>
            </v:shape>
            <v:shape style="position:absolute;left:9033;top:1476;width:32;height:9" coordorigin="9033,1477" coordsize="32,9" path="m9065,1477l9033,1485,9065,1485,9065,1477xe" filled="true" fillcolor="#000000" stroked="false">
              <v:path arrowok="t"/>
              <v:fill type="solid"/>
            </v:shape>
            <v:shape style="position:absolute;left:9078;top:1476;width:29;height:9" coordorigin="9079,1477" coordsize="29,9" path="m9107,1477l9079,1477,9079,1485,9107,1477xe" filled="true" fillcolor="#000000" stroked="false">
              <v:path arrowok="t"/>
              <v:fill type="solid"/>
            </v:shape>
            <v:shape style="position:absolute;left:9078;top:1476;width:29;height:9" coordorigin="9079,1477" coordsize="29,9" path="m9107,1477l9079,1485,9107,1485,9107,1477xe" filled="true" fillcolor="#000000" stroked="false">
              <v:path arrowok="t"/>
              <v:fill type="solid"/>
            </v:shape>
            <v:shape style="position:absolute;left:9121;top:1476;width:32;height:9" coordorigin="9122,1477" coordsize="32,9" path="m9153,1477l9122,1477,9122,1485,9153,1477xe" filled="true" fillcolor="#000000" stroked="false">
              <v:path arrowok="t"/>
              <v:fill type="solid"/>
            </v:shape>
            <v:shape style="position:absolute;left:9121;top:1476;width:32;height:9" coordorigin="9122,1477" coordsize="32,9" path="m9153,1477l9122,1485,9153,1485,9153,1477xe" filled="true" fillcolor="#000000" stroked="false">
              <v:path arrowok="t"/>
              <v:fill type="solid"/>
            </v:shape>
            <v:shape style="position:absolute;left:9167;top:1476;width:29;height:9" coordorigin="9168,1477" coordsize="29,9" path="m9196,1477l9168,1477,9168,1485,9196,1477xe" filled="true" fillcolor="#000000" stroked="false">
              <v:path arrowok="t"/>
              <v:fill type="solid"/>
            </v:shape>
            <v:shape style="position:absolute;left:9167;top:1476;width:29;height:9" coordorigin="9168,1477" coordsize="29,9" path="m9196,1477l9168,1485,9196,1485,9196,1477xe" filled="true" fillcolor="#000000" stroked="false">
              <v:path arrowok="t"/>
              <v:fill type="solid"/>
            </v:shape>
            <v:shape style="position:absolute;left:9213;top:1476;width:29;height:9" coordorigin="9213,1477" coordsize="29,9" path="m9242,1477l9213,1477,9213,1485,9242,1477xe" filled="true" fillcolor="#000000" stroked="false">
              <v:path arrowok="t"/>
              <v:fill type="solid"/>
            </v:shape>
            <v:shape style="position:absolute;left:9213;top:1476;width:29;height:9" coordorigin="9213,1477" coordsize="29,9" path="m9242,1477l9213,1485,9242,1485,9242,1477xe" filled="true" fillcolor="#000000" stroked="false">
              <v:path arrowok="t"/>
              <v:fill type="solid"/>
            </v:shape>
            <v:shape style="position:absolute;left:9256;top:1476;width:32;height:9" coordorigin="9256,1477" coordsize="32,9" path="m9288,1477l9256,1477,9256,1485,9288,1477xe" filled="true" fillcolor="#000000" stroked="false">
              <v:path arrowok="t"/>
              <v:fill type="solid"/>
            </v:shape>
            <v:shape style="position:absolute;left:9256;top:1476;width:32;height:9" coordorigin="9256,1477" coordsize="32,9" path="m9288,1477l9256,1485,9288,1485,9288,1477xe" filled="true" fillcolor="#000000" stroked="false">
              <v:path arrowok="t"/>
              <v:fill type="solid"/>
            </v:shape>
            <v:shape style="position:absolute;left:9302;top:1476;width:29;height:9" coordorigin="9302,1477" coordsize="29,9" path="m9331,1477l9302,1477,9302,1485,9331,1477xe" filled="true" fillcolor="#000000" stroked="false">
              <v:path arrowok="t"/>
              <v:fill type="solid"/>
            </v:shape>
            <v:shape style="position:absolute;left:9302;top:1476;width:29;height:9" coordorigin="9302,1477" coordsize="29,9" path="m9331,1477l9302,1485,9331,1485,9331,1477xe" filled="true" fillcolor="#000000" stroked="false">
              <v:path arrowok="t"/>
              <v:fill type="solid"/>
            </v:shape>
            <v:shape style="position:absolute;left:9345;top:1476;width:32;height:9" coordorigin="9345,1477" coordsize="32,9" path="m9377,1477l9345,1477,9345,1485,9377,1477xe" filled="true" fillcolor="#000000" stroked="false">
              <v:path arrowok="t"/>
              <v:fill type="solid"/>
            </v:shape>
            <v:shape style="position:absolute;left:9345;top:1476;width:32;height:9" coordorigin="9345,1477" coordsize="32,9" path="m9377,1477l9345,1485,9377,1485,9377,1477xe" filled="true" fillcolor="#000000" stroked="false">
              <v:path arrowok="t"/>
              <v:fill type="solid"/>
            </v:shape>
            <v:shape style="position:absolute;left:9391;top:1476;width:21;height:9" coordorigin="9391,1477" coordsize="21,9" path="m9411,1477l9391,1477,9391,1485,9411,1477xe" filled="true" fillcolor="#000000" stroked="false">
              <v:path arrowok="t"/>
              <v:fill type="solid"/>
            </v:shape>
            <v:shape style="position:absolute;left:9391;top:1476;width:21;height:9" coordorigin="9391,1477" coordsize="21,9" path="m9411,1477l9391,1485,9411,1485,9411,1477xe" filled="true" fillcolor="#000000" stroked="false">
              <v:path arrowok="t"/>
              <v:fill type="solid"/>
            </v:shape>
            <v:line style="position:absolute" from="9411,1477" to="9411,1485" stroked="true" strokeweight=".143pt" strokecolor="#000000">
              <v:stroke dashstyle="solid"/>
            </v:line>
            <v:shape style="position:absolute;left:7712;top:1333;width:6;height:26" coordorigin="7713,1333" coordsize="6,26" path="m7713,1333l7713,1359,7718,1359,7713,1333xe" filled="true" fillcolor="#000000" stroked="false">
              <v:path arrowok="t"/>
              <v:fill type="solid"/>
            </v:shape>
            <v:shape style="position:absolute;left:7712;top:1333;width:6;height:26" coordorigin="7713,1333" coordsize="6,26" path="m7718,1333l7713,1333,7718,1359,7718,1333xe" filled="true" fillcolor="#000000" stroked="false">
              <v:path arrowok="t"/>
              <v:fill type="solid"/>
            </v:shape>
            <v:shape style="position:absolute;left:7712;top:1290;width:6;height:29" coordorigin="7713,1290" coordsize="6,29" path="m7713,1290l7713,1319,7718,1319,7713,1290xe" filled="true" fillcolor="#000000" stroked="false">
              <v:path arrowok="t"/>
              <v:fill type="solid"/>
            </v:shape>
            <v:shape style="position:absolute;left:7712;top:1290;width:6;height:29" coordorigin="7713,1290" coordsize="6,29" path="m7718,1290l7713,1290,7718,1319,7718,1290xe" filled="true" fillcolor="#000000" stroked="false">
              <v:path arrowok="t"/>
              <v:fill type="solid"/>
            </v:shape>
            <v:shape style="position:absolute;left:7712;top:1244;width:6;height:32" coordorigin="7713,1245" coordsize="6,32" path="m7713,1245l7713,1276,7718,1276,7713,1245xe" filled="true" fillcolor="#000000" stroked="false">
              <v:path arrowok="t"/>
              <v:fill type="solid"/>
            </v:shape>
            <v:shape style="position:absolute;left:7712;top:1244;width:6;height:32" coordorigin="7713,1245" coordsize="6,32" path="m7718,1245l7713,1245,7718,1276,7718,1245xe" filled="true" fillcolor="#000000" stroked="false">
              <v:path arrowok="t"/>
              <v:fill type="solid"/>
            </v:shape>
            <v:shape style="position:absolute;left:7712;top:1201;width:6;height:29" coordorigin="7713,1202" coordsize="6,29" path="m7713,1202l7713,1230,7718,1230,7713,1202xe" filled="true" fillcolor="#000000" stroked="false">
              <v:path arrowok="t"/>
              <v:fill type="solid"/>
            </v:shape>
            <v:shape style="position:absolute;left:7712;top:1201;width:6;height:29" coordorigin="7713,1202" coordsize="6,29" path="m7718,1202l7713,1202,7718,1230,7718,1202xe" filled="true" fillcolor="#000000" stroked="false">
              <v:path arrowok="t"/>
              <v:fill type="solid"/>
            </v:shape>
            <v:shape style="position:absolute;left:7712;top:1155;width:6;height:32" coordorigin="7713,1156" coordsize="6,32" path="m7713,1156l7713,1187,7718,1187,7713,1156xe" filled="true" fillcolor="#000000" stroked="false">
              <v:path arrowok="t"/>
              <v:fill type="solid"/>
            </v:shape>
            <v:shape style="position:absolute;left:7712;top:1155;width:6;height:32" coordorigin="7713,1156" coordsize="6,32" path="m7718,1156l7713,1156,7718,1187,7718,1156xe" filled="true" fillcolor="#000000" stroked="false">
              <v:path arrowok="t"/>
              <v:fill type="solid"/>
            </v:shape>
            <v:shape style="position:absolute;left:7712;top:1112;width:6;height:29" coordorigin="7713,1113" coordsize="6,29" path="m7713,1113l7713,1142,7718,1142,7713,1113xe" filled="true" fillcolor="#000000" stroked="false">
              <v:path arrowok="t"/>
              <v:fill type="solid"/>
            </v:shape>
            <v:shape style="position:absolute;left:7712;top:1112;width:6;height:29" coordorigin="7713,1113" coordsize="6,29" path="m7718,1113l7713,1113,7718,1142,7718,1113xe" filled="true" fillcolor="#000000" stroked="false">
              <v:path arrowok="t"/>
              <v:fill type="solid"/>
            </v:shape>
            <v:shape style="position:absolute;left:7712;top:1067;width:6;height:29" coordorigin="7713,1067" coordsize="6,29" path="m7713,1067l7713,1096,7718,1096,7713,1067xe" filled="true" fillcolor="#000000" stroked="false">
              <v:path arrowok="t"/>
              <v:fill type="solid"/>
            </v:shape>
            <v:shape style="position:absolute;left:7712;top:1067;width:6;height:29" coordorigin="7713,1067" coordsize="6,29" path="m7718,1067l7713,1067,7718,1096,7718,1067xe" filled="true" fillcolor="#000000" stroked="false">
              <v:path arrowok="t"/>
              <v:fill type="solid"/>
            </v:shape>
            <v:shape style="position:absolute;left:7712;top:1024;width:6;height:29" coordorigin="7713,1024" coordsize="6,29" path="m7713,1024l7713,1053,7718,1053,7713,1024xe" filled="true" fillcolor="#000000" stroked="false">
              <v:path arrowok="t"/>
              <v:fill type="solid"/>
            </v:shape>
            <v:shape style="position:absolute;left:7712;top:1024;width:6;height:29" coordorigin="7713,1024" coordsize="6,29" path="m7718,1024l7713,1024,7718,1053,7718,1024xe" filled="true" fillcolor="#000000" stroked="false">
              <v:path arrowok="t"/>
              <v:fill type="solid"/>
            </v:shape>
            <v:shape style="position:absolute;left:7712;top:978;width:6;height:29" coordorigin="7713,978" coordsize="6,29" path="m7713,978l7713,1007,7718,1007,7713,978xe" filled="true" fillcolor="#000000" stroked="false">
              <v:path arrowok="t"/>
              <v:fill type="solid"/>
            </v:shape>
            <v:shape style="position:absolute;left:7712;top:978;width:6;height:29" coordorigin="7713,978" coordsize="6,29" path="m7718,978l7713,978,7718,1007,7718,978xe" filled="true" fillcolor="#000000" stroked="false">
              <v:path arrowok="t"/>
              <v:fill type="solid"/>
            </v:shape>
            <v:shape style="position:absolute;left:7712;top:932;width:6;height:32" coordorigin="7713,932" coordsize="6,32" path="m7713,932l7713,964,7718,964,7713,932xe" filled="true" fillcolor="#000000" stroked="false">
              <v:path arrowok="t"/>
              <v:fill type="solid"/>
            </v:shape>
            <v:shape style="position:absolute;left:7712;top:932;width:6;height:32" coordorigin="7713,932" coordsize="6,32" path="m7718,932l7713,932,7718,964,7718,932xe" filled="true" fillcolor="#000000" stroked="false">
              <v:path arrowok="t"/>
              <v:fill type="solid"/>
            </v:shape>
            <v:shape style="position:absolute;left:7712;top:889;width:6;height:29" coordorigin="7713,889" coordsize="6,29" path="m7713,889l7713,918,7718,918,7713,889xe" filled="true" fillcolor="#000000" stroked="false">
              <v:path arrowok="t"/>
              <v:fill type="solid"/>
            </v:shape>
            <v:shape style="position:absolute;left:7712;top:889;width:6;height:29" coordorigin="7713,889" coordsize="6,29" path="m7718,889l7713,889,7718,918,7718,889xe" filled="true" fillcolor="#000000" stroked="false">
              <v:path arrowok="t"/>
              <v:fill type="solid"/>
            </v:shape>
            <v:shape style="position:absolute;left:7712;top:849;width:6;height:26" coordorigin="7713,849" coordsize="6,26" path="m7713,849l7713,875,7718,875,7713,849xe" filled="true" fillcolor="#000000" stroked="false">
              <v:path arrowok="t"/>
              <v:fill type="solid"/>
            </v:shape>
            <v:shape style="position:absolute;left:7712;top:849;width:6;height:26" coordorigin="7713,849" coordsize="6,26" path="m7718,849l7713,849,7718,875,7718,849xe" filled="true" fillcolor="#000000" stroked="false">
              <v:path arrowok="t"/>
              <v:fill type="solid"/>
            </v:shape>
            <v:line style="position:absolute" from="7713,849" to="7718,849" stroked="true" strokeweight=".143pt" strokecolor="#000000">
              <v:stroke dashstyle="solid"/>
            </v:line>
            <v:shape style="position:absolute;left:7712;top:1359;width:6;height:23" coordorigin="7713,1359" coordsize="6,23" path="m7718,1359l7713,1359,7715,1382,7718,1359xe" filled="true" fillcolor="#000000" stroked="false">
              <v:path arrowok="t"/>
              <v:fill type="solid"/>
            </v:shape>
            <v:shape style="position:absolute;left:7715;top:1359;width:9;height:23" coordorigin="7715,1359" coordsize="9,23" path="m7718,1359l7715,1382,7724,1382,7718,1359xe" filled="true" fillcolor="#000000" stroked="false">
              <v:path arrowok="t"/>
              <v:fill type="solid"/>
            </v:shape>
            <v:shape style="position:absolute;left:7718;top:1396;width:15;height:29" coordorigin="7718,1397" coordsize="15,29" path="m7727,1397l7718,1397,7733,1425,7727,1397xe" filled="true" fillcolor="#000000" stroked="false">
              <v:path arrowok="t"/>
              <v:fill type="solid"/>
            </v:shape>
            <v:shape style="position:absolute;left:7726;top:1396;width:12;height:29" coordorigin="7727,1397" coordsize="12,29" path="m7727,1397l7733,1425,7738,1419,7727,1397xe" filled="true" fillcolor="#000000" stroked="false">
              <v:path arrowok="t"/>
              <v:fill type="solid"/>
            </v:shape>
            <v:shape style="position:absolute;left:7738;top:1430;width:23;height:26" coordorigin="7738,1431" coordsize="23,26" path="m7747,1431l7738,1437,7761,1457,7747,1431xe" filled="true" fillcolor="#000000" stroked="false">
              <v:path arrowok="t"/>
              <v:fill type="solid"/>
            </v:shape>
            <v:shape style="position:absolute;left:7746;top:1430;width:18;height:26" coordorigin="7747,1431" coordsize="18,26" path="m7747,1431l7761,1457,7764,1451,7747,1431xe" filled="true" fillcolor="#000000" stroked="false">
              <v:path arrowok="t"/>
              <v:fill type="solid"/>
            </v:shape>
            <v:shape style="position:absolute;left:7772;top:1459;width:26;height:21" coordorigin="7773,1460" coordsize="26,21" path="m7776,1460l7773,1465,7798,1480,7776,1460xe" filled="true" fillcolor="#000000" stroked="false">
              <v:path arrowok="t"/>
              <v:fill type="solid"/>
            </v:shape>
            <v:shape style="position:absolute;left:7775;top:1459;width:26;height:21" coordorigin="7776,1460" coordsize="26,21" path="m7776,1460l7798,1480,7801,1471,7776,1460xe" filled="true" fillcolor="#000000" stroked="false">
              <v:path arrowok="t"/>
              <v:fill type="solid"/>
            </v:shape>
            <v:shape style="position:absolute;left:7812;top:1473;width:26;height:12" coordorigin="7813,1474" coordsize="26,12" path="m7816,1474l7813,1482,7839,1485,7816,1474xe" filled="true" fillcolor="#000000" stroked="false">
              <v:path arrowok="t"/>
              <v:fill type="solid"/>
            </v:shape>
            <v:shape style="position:absolute;left:7815;top:1473;width:23;height:12" coordorigin="7816,1474" coordsize="23,12" path="m7816,1474l7839,1485,7839,1477,7816,1474xe" filled="true" fillcolor="#000000" stroked="false">
              <v:path arrowok="t"/>
              <v:fill type="solid"/>
            </v:shape>
            <v:line style="position:absolute" from="7839,1485" to="7839,1477" stroked="true" strokeweight=".143pt" strokecolor="#000000">
              <v:stroke dashstyle="solid"/>
            </v:line>
            <v:shape style="position:absolute;left:7775;top:1264;width:121;height:149" coordorigin="7776,1265" coordsize="121,149" path="m7896,1265l7856,1265,7776,1414e" filled="false" stroked="true" strokeweight=".143pt" strokecolor="#000000">
              <v:path arrowok="t"/>
              <v:stroke dashstyle="solid"/>
            </v:shape>
            <v:shape style="position:absolute;left:7930;top:1267;width:35;height:32" coordorigin="7930,1268" coordsize="35,32" path="m7942,1268l7930,1268,7930,1270,7936,1270,7936,1273,7942,1279,7942,1282,7945,1285,7953,1299,7965,1299,7953,1279,7950,1279,7950,1276,7942,1268xe" filled="true" fillcolor="#000000" stroked="false">
              <v:path arrowok="t"/>
              <v:fill type="solid"/>
            </v:shape>
            <v:shape style="position:absolute;left:7913;top:1236;width:46;height:26" coordorigin="7913,1236" coordsize="46,26" path="m7956,1236l7939,1236,7939,1239,7947,1239,7947,1242,7950,1245,7950,1250,7947,1253,7947,1256,7945,1256,7945,1259,7913,1259,7956,1262,7956,1259,7959,1256,7959,1242,7956,1239,7956,1236xe" filled="true" fillcolor="#000000" stroked="false">
              <v:path arrowok="t"/>
              <v:fill type="solid"/>
            </v:shape>
            <v:shape style="position:absolute;left:7904;top:1230;width:52;height:69" coordorigin="7904,1230" coordsize="52,69" path="m7947,1230l7904,1230,7904,1299,7913,1299,7913,1268,7924,1268,7936,1267,7943,1267,7945,1267,7953,1262,7956,1262,7913,1259,7913,1236,7956,1236,7953,1233,7950,1233,7947,1230xm7943,1267l7936,1267,7941,1268,7943,1267xe" filled="true" fillcolor="#000000" stroked="false">
              <v:path arrowok="t"/>
              <v:fill type="solid"/>
            </v:shape>
            <v:rect style="position:absolute;left:7973;top:1293;width:52;height:6" filled="true" fillcolor="#000000" stroked="false">
              <v:fill type="solid"/>
            </v:rect>
            <v:shape style="position:absolute;left:7973;top:1236;width:52;height:52" coordorigin="7973,1236" coordsize="52,52" path="m7973,1236l7973,1242,8016,1262,7973,1282,7973,1288,8025,1262,8025,1259,7973,1236xe" filled="true" fillcolor="#000000" stroked="false">
              <v:path arrowok="t"/>
              <v:fill type="solid"/>
            </v:shape>
            <v:shape style="position:absolute;left:8030;top:1279;width:41;height:21" coordorigin="8030,1279" coordsize="41,21" path="m8048,1291l8036,1291,8036,1293,8039,1296,8042,1296,8042,1299,8065,1299,8071,1293,8048,1293,8048,1291xm8042,1279l8030,1282,8033,1285,8033,1291,8045,1291,8045,1288,8042,1288,8042,1279xe" filled="true" fillcolor="#000000" stroked="false">
              <v:path arrowok="t"/>
              <v:fill type="solid"/>
            </v:shape>
            <v:shape style="position:absolute;left:8053;top:1258;width:26;height:35" coordorigin="8053,1259" coordsize="26,35" path="m8071,1259l8053,1262,8062,1262,8062,1265,8065,1265,8068,1268,8068,1285,8059,1293,8071,1293,8073,1291,8073,1288,8076,1288,8076,1279,8079,1276,8079,1273,8076,1273,8076,1265,8071,1259xe" filled="true" fillcolor="#000000" stroked="false">
              <v:path arrowok="t"/>
              <v:fill type="solid"/>
            </v:shape>
            <v:shape style="position:absolute;left:8041;top:1253;width:29;height:6" coordorigin="8042,1253" coordsize="29,6" path="m8068,1256l8042,1256,8071,1259,8068,1256xm8065,1253l8048,1253,8048,1256,8065,1256,8065,1253xe" filled="true" fillcolor="#000000" stroked="false">
              <v:path arrowok="t"/>
              <v:fill type="solid"/>
            </v:shape>
            <v:shape style="position:absolute;left:8033;top:1230;width:41;height:38" coordorigin="8033,1230" coordsize="41,38" path="m8073,1230l8039,1230,8033,1265,8042,1268,8042,1265,8045,1265,8048,1262,8053,1262,8071,1259,8042,1256,8048,1239,8073,1239,8073,1230xe" filled="true" fillcolor="#000000" stroked="false">
              <v:path arrowok="t"/>
              <v:fill type="solid"/>
            </v:shape>
            <v:shape style="position:absolute;left:8119;top:1281;width:38;height:18" coordorigin="8119,1282" coordsize="38,18" path="m8145,1296l8122,1296,8122,1299,8145,1299,8145,1296xm8154,1285l8145,1285,8145,1288,8139,1293,8119,1293,8119,1296,8148,1296,8154,1291,8154,1285xm8157,1282l8148,1282,8148,1285,8157,1285,8157,1282xe" filled="true" fillcolor="#000000" stroked="false">
              <v:path arrowok="t"/>
              <v:fill type="solid"/>
            </v:shape>
            <v:shape style="position:absolute;left:8136;top:1253;width:18;height:12" coordorigin="8136,1253" coordsize="18,12" path="m8154,1256l8142,1256,8142,1259,8145,1259,8145,1265,8154,1265,8154,1256xm8151,1253l8136,1253,8139,1256,8151,1256,8151,1253xe" filled="true" fillcolor="#000000" stroked="false">
              <v:path arrowok="t"/>
              <v:fill type="solid"/>
            </v:shape>
            <v:shape style="position:absolute;left:8110;top:1247;width:41;height:46" coordorigin="8111,1248" coordsize="41,46" path="m8128,1291l8116,1291,8116,1293,8128,1293,8128,1291xm8122,1259l8114,1259,8114,1265,8111,1268,8111,1279,8114,1282,8114,1291,8125,1291,8125,1288,8122,1288,8122,1282,8119,1279,8119,1268,8122,1268,8122,1259xm8148,1250l8122,1250,8116,1256,8116,1259,8125,1259,8125,1256,8131,1256,8134,1253,8151,1253,8148,1250xm8142,1248l8125,1248,8125,1250,8145,1250,8142,1248xe" filled="true" fillcolor="#000000" stroked="false">
              <v:path arrowok="t"/>
              <v:fill type="solid"/>
            </v:shape>
            <v:shape style="position:absolute;left:8190;top:1253;width:23;height:46" coordorigin="8191,1253" coordsize="23,46" path="m8208,1256l8191,1256,8191,1259,8194,1262,8194,1299,8202,1299,8202,1262,8208,1256xm8202,1253l8199,1256,8214,1256,8202,1253xe" filled="true" fillcolor="#000000" stroked="false">
              <v:path arrowok="t"/>
              <v:fill type="solid"/>
            </v:shape>
            <v:shape style="position:absolute;left:8170;top:1253;width:15;height:3" coordorigin="8171,1253" coordsize="15,3" path="m8171,1253l8171,1256,8185,1256,8171,1253xe" filled="true" fillcolor="#000000" stroked="false">
              <v:path arrowok="t"/>
              <v:fill type="solid"/>
            </v:shape>
            <v:shape style="position:absolute;left:8162;top:1247;width:15;height:52" coordorigin="8162,1248" coordsize="15,52" path="m8171,1248l8162,1248,8162,1299,8171,1299,8171,1265,8174,1265,8174,1259,8177,1259,8177,1256,8171,1256,8171,1248xe" filled="true" fillcolor="#000000" stroked="false">
              <v:path arrowok="t"/>
              <v:fill type="solid"/>
            </v:shape>
            <v:shape style="position:absolute;left:8202;top:1247;width:29;height:52" coordorigin="8202,1248" coordsize="29,52" path="m8228,1250l8205,1250,8202,1253,8214,1256,8220,1256,8222,1259,8222,1299,8231,1299,8231,1256,8228,1253,8228,1250xm8222,1248l8208,1248,8208,1250,8225,1250,8222,1248xe" filled="true" fillcolor="#000000" stroked="false">
              <v:path arrowok="t"/>
              <v:fill type="solid"/>
            </v:shape>
            <v:shape style="position:absolute;left:8170;top:1247;width:29;height:9" coordorigin="8171,1248" coordsize="29,9" path="m8199,1253l8171,1253,8185,1256,8199,1256,8199,1253xm8197,1250l8174,1250,8174,1253,8197,1253,8197,1250xm8194,1248l8179,1248,8177,1250,8194,1250,8194,1248xe" filled="true" fillcolor="#000000" stroked="false">
              <v:path arrowok="t"/>
              <v:fill type="solid"/>
            </v:shape>
            <v:shape style="position:absolute;left:7755;top:1410;width:26;height:38" coordorigin="7755,1411" coordsize="26,38" path="m7770,1411l7755,1448,7781,1417,7770,1411xe" filled="true" fillcolor="#000000" stroked="false">
              <v:path arrowok="t"/>
              <v:fill type="solid"/>
            </v:shape>
            <v:shape style="position:absolute;left:6847;top:829;width:313;height:551" type="#_x0000_t75" stroked="false">
              <v:imagedata r:id="rId52" o:title=""/>
            </v:shape>
            <v:shape style="position:absolute;left:8452;top:949;width:724;height:412" type="#_x0000_t75" stroked="false">
              <v:imagedata r:id="rId53" o:title=""/>
            </v:shape>
            <v:line style="position:absolute" from="8454,1070" to="9219,1070" stroked="true" strokeweight=".143pt" strokecolor="#000000">
              <v:stroke dashstyle="solid"/>
            </v:line>
            <v:line style="position:absolute" from="8417,3058" to="8354,3058" stroked="true" strokeweight=".143pt" strokecolor="#000000">
              <v:stroke dashstyle="solid"/>
            </v:line>
            <v:line style="position:absolute" from="8297,3058" to="8300,3058" stroked="true" strokeweight=".143pt" strokecolor="#000000">
              <v:stroke dashstyle="solid"/>
            </v:line>
            <v:line style="position:absolute" from="8237,3058" to="8116,3058" stroked="true" strokeweight=".143pt" strokecolor="#000000">
              <v:stroke dashstyle="solid"/>
            </v:line>
            <v:line style="position:absolute" from="8059,3058" to="8062,3058" stroked="true" strokeweight=".143pt" strokecolor="#000000">
              <v:stroke dashstyle="solid"/>
            </v:line>
            <v:line style="position:absolute" from="7999,3058" to="7879,3058" stroked="true" strokeweight=".143pt" strokecolor="#000000">
              <v:stroke dashstyle="solid"/>
            </v:line>
            <v:line style="position:absolute" from="7821,3058" to="7824,3058" stroked="true" strokeweight=".143pt" strokecolor="#000000">
              <v:stroke dashstyle="solid"/>
            </v:line>
            <v:line style="position:absolute" from="7761,3058" to="7641,3058" stroked="true" strokeweight=".143pt" strokecolor="#000000">
              <v:stroke dashstyle="solid"/>
            </v:line>
            <v:line style="position:absolute" from="7581,3058" to="7584,3058" stroked="true" strokeweight=".143pt" strokecolor="#000000">
              <v:stroke dashstyle="solid"/>
            </v:line>
            <v:line style="position:absolute" from="7523,3058" to="7403,3058" stroked="true" strokeweight=".143pt" strokecolor="#000000">
              <v:stroke dashstyle="solid"/>
            </v:line>
            <v:line style="position:absolute" from="7343,3058" to="7346,3058" stroked="true" strokeweight=".143pt" strokecolor="#000000">
              <v:stroke dashstyle="solid"/>
            </v:line>
            <v:line style="position:absolute" from="7286,3058" to="7165,3058" stroked="true" strokeweight=".143pt" strokecolor="#000000">
              <v:stroke dashstyle="solid"/>
            </v:line>
            <v:line style="position:absolute" from="7105,3058" to="7108,3058" stroked="true" strokeweight=".143pt" strokecolor="#000000">
              <v:stroke dashstyle="solid"/>
            </v:line>
            <v:line style="position:absolute" from="7048,3058" to="6985,3058" stroked="true" strokeweight=".143pt" strokecolor="#000000">
              <v:stroke dashstyle="solid"/>
            </v:line>
            <v:line style="position:absolute" from="8194,2663" to="8194,3058" stroked="true" strokeweight=".143pt" strokecolor="#000000">
              <v:stroke dashstyle="solid"/>
            </v:line>
            <v:shape style="position:absolute;left:7201;top:541;width:347;height:347" type="#_x0000_t75" stroked="false">
              <v:imagedata r:id="rId54" o:title=""/>
            </v:shape>
            <v:line style="position:absolute" from="7203,944" to="7604,543" stroked="true" strokeweight=".143pt" strokecolor="#808080">
              <v:stroke dashstyle="solid"/>
            </v:line>
            <v:line style="position:absolute" from="7203,998" to="7658,543" stroked="true" strokeweight=".143pt" strokecolor="#808080">
              <v:stroke dashstyle="solid"/>
            </v:line>
            <v:line style="position:absolute" from="7203,1056" to="7678,580" stroked="true" strokeweight=".143pt" strokecolor="#808080">
              <v:stroke dashstyle="solid"/>
            </v:line>
            <v:line style="position:absolute" from="7203,1113" to="7678,637" stroked="true" strokeweight=".143pt" strokecolor="#808080">
              <v:stroke dashstyle="solid"/>
            </v:line>
            <v:line style="position:absolute" from="7203,1167" to="7678,692" stroked="true" strokeweight=".143pt" strokecolor="#808080">
              <v:stroke dashstyle="solid"/>
            </v:line>
            <v:line style="position:absolute" from="7203,1225" to="7678,749" stroked="true" strokeweight=".143pt" strokecolor="#808080">
              <v:stroke dashstyle="solid"/>
            </v:line>
            <v:line style="position:absolute" from="7203,1279" to="7678,803" stroked="true" strokeweight=".143pt" strokecolor="#808080">
              <v:stroke dashstyle="solid"/>
            </v:line>
            <v:line style="position:absolute" from="7203,1336" to="7678,861" stroked="true" strokeweight=".143pt" strokecolor="#808080">
              <v:stroke dashstyle="solid"/>
            </v:line>
            <v:line style="position:absolute" from="7203,1391" to="7678,915" stroked="true" strokeweight=".143pt" strokecolor="#808080">
              <v:stroke dashstyle="solid"/>
            </v:line>
            <v:line style="position:absolute" from="7203,1448" to="7678,972" stroked="true" strokeweight=".143pt" strokecolor="#808080">
              <v:stroke dashstyle="solid"/>
            </v:line>
            <v:line style="position:absolute" from="7203,1505" to="7678,1030" stroked="true" strokeweight=".143pt" strokecolor="#808080">
              <v:stroke dashstyle="solid"/>
            </v:line>
            <v:line style="position:absolute" from="7203,1560" to="7678,1084" stroked="true" strokeweight=".143pt" strokecolor="#808080">
              <v:stroke dashstyle="solid"/>
            </v:line>
            <v:line style="position:absolute" from="7203,1617" to="7678,1141" stroked="true" strokeweight=".143pt" strokecolor="#808080">
              <v:stroke dashstyle="solid"/>
            </v:line>
            <v:line style="position:absolute" from="7203,1672" to="7678,1196" stroked="true" strokeweight=".143pt" strokecolor="#808080">
              <v:stroke dashstyle="solid"/>
            </v:line>
            <v:line style="position:absolute" from="7203,1729" to="7678,1253" stroked="true" strokeweight=".143pt" strokecolor="#808080">
              <v:stroke dashstyle="solid"/>
            </v:line>
            <v:line style="position:absolute" from="7203,1783" to="7678,1308" stroked="true" strokeweight=".143pt" strokecolor="#808080">
              <v:stroke dashstyle="solid"/>
            </v:line>
            <v:line style="position:absolute" from="7203,1841" to="7320,1720" stroked="true" strokeweight=".143pt" strokecolor="#808080">
              <v:stroke dashstyle="solid"/>
            </v:line>
            <v:line style="position:absolute" from="7369,1672" to="7678,1365" stroked="true" strokeweight=".143pt" strokecolor="#808080">
              <v:stroke dashstyle="solid"/>
            </v:line>
            <v:line style="position:absolute" from="7203,1898" to="7320,1778" stroked="true" strokeweight=".143pt" strokecolor="#808080">
              <v:stroke dashstyle="solid"/>
            </v:line>
            <v:line style="position:absolute" from="7426,1672" to="7678,1422" stroked="true" strokeweight=".143pt" strokecolor="#808080">
              <v:stroke dashstyle="solid"/>
            </v:line>
            <v:line style="position:absolute" from="7203,1952" to="7320,1835" stroked="true" strokeweight=".143pt" strokecolor="#808080">
              <v:stroke dashstyle="solid"/>
            </v:line>
            <v:line style="position:absolute" from="7480,1672" to="7678,1477" stroked="true" strokeweight=".143pt" strokecolor="#808080">
              <v:stroke dashstyle="solid"/>
            </v:line>
            <v:line style="position:absolute" from="7203,2010" to="7320,1889" stroked="true" strokeweight=".143pt" strokecolor="#808080">
              <v:stroke dashstyle="solid"/>
            </v:line>
            <v:line style="position:absolute" from="7538,1672" to="7678,1534" stroked="true" strokeweight=".143pt" strokecolor="#808080">
              <v:stroke dashstyle="solid"/>
            </v:line>
            <v:line style="position:absolute" from="7203,2064" to="7320,1947" stroked="true" strokeweight=".143pt" strokecolor="#808080">
              <v:stroke dashstyle="solid"/>
            </v:line>
            <v:line style="position:absolute" from="7595,1672" to="7678,1588" stroked="true" strokeweight=".143pt" strokecolor="#808080">
              <v:stroke dashstyle="solid"/>
            </v:line>
            <v:line style="position:absolute" from="7203,2121" to="7320,2001" stroked="true" strokeweight=".143pt" strokecolor="#808080">
              <v:stroke dashstyle="solid"/>
            </v:line>
            <v:line style="position:absolute" from="7649,1672" to="7678,1646" stroked="true" strokeweight=".143pt" strokecolor="#808080">
              <v:stroke dashstyle="solid"/>
            </v:line>
            <v:line style="position:absolute" from="7203,2176" to="7320,2058" stroked="true" strokeweight=".143pt" strokecolor="#808080">
              <v:stroke dashstyle="solid"/>
            </v:line>
            <v:line style="position:absolute" from="7203,2233" to="7320,2113" stroked="true" strokeweight=".143pt" strokecolor="#808080">
              <v:stroke dashstyle="solid"/>
            </v:line>
            <v:line style="position:absolute" from="7203,2290" to="7320,2170" stroked="true" strokeweight=".143pt" strokecolor="#808080">
              <v:stroke dashstyle="solid"/>
            </v:line>
            <v:line style="position:absolute" from="7203,2345" to="7320,2227" stroked="true" strokeweight=".143pt" strokecolor="#808080">
              <v:stroke dashstyle="solid"/>
            </v:line>
            <v:line style="position:absolute" from="7203,2402" to="7320,2282" stroked="true" strokeweight=".143pt" strokecolor="#808080">
              <v:stroke dashstyle="solid"/>
            </v:line>
            <v:line style="position:absolute" from="7203,2457" to="7320,2339" stroked="true" strokeweight=".143pt" strokecolor="#808080">
              <v:stroke dashstyle="solid"/>
            </v:line>
            <v:line style="position:absolute" from="7203,2514" to="7320,2394" stroked="true" strokeweight=".143pt" strokecolor="#808080">
              <v:stroke dashstyle="solid"/>
            </v:line>
            <v:line style="position:absolute" from="7203,2568" to="7320,2451" stroked="true" strokeweight=".143pt" strokecolor="#808080">
              <v:stroke dashstyle="solid"/>
            </v:line>
            <v:line style="position:absolute" from="7203,2626" to="7320,2505" stroked="true" strokeweight=".143pt" strokecolor="#808080">
              <v:stroke dashstyle="solid"/>
            </v:line>
            <v:line style="position:absolute" from="7203,2683" to="7320,2563" stroked="true" strokeweight=".143pt" strokecolor="#808080">
              <v:stroke dashstyle="solid"/>
            </v:line>
            <v:line style="position:absolute" from="7203,2737" to="7320,2620" stroked="true" strokeweight=".143pt" strokecolor="#808080">
              <v:stroke dashstyle="solid"/>
            </v:line>
            <v:line style="position:absolute" from="7203,2795" to="7332,2663" stroked="true" strokeweight=".143pt" strokecolor="#808080">
              <v:stroke dashstyle="solid"/>
            </v:line>
            <v:line style="position:absolute" from="7203,2849" to="7389,2663" stroked="true" strokeweight=".143pt" strokecolor="#808080">
              <v:stroke dashstyle="solid"/>
            </v:line>
            <v:line style="position:absolute" from="7203,2906" to="7443,2663" stroked="true" strokeweight=".143pt" strokecolor="#808080">
              <v:stroke dashstyle="solid"/>
            </v:line>
            <v:line style="position:absolute" from="7203,2961" to="7501,2663" stroked="true" strokeweight=".143pt" strokecolor="#808080">
              <v:stroke dashstyle="solid"/>
            </v:line>
            <v:line style="position:absolute" from="7203,3018" to="7555,2663" stroked="true" strokeweight=".143pt" strokecolor="#808080">
              <v:stroke dashstyle="solid"/>
            </v:line>
            <v:line style="position:absolute" from="7220,3058" to="7612,2663" stroked="true" strokeweight=".143pt" strokecolor="#808080">
              <v:stroke dashstyle="solid"/>
            </v:line>
            <v:line style="position:absolute" from="7274,3058" to="7670,2663" stroked="true" strokeweight=".143pt" strokecolor="#808080">
              <v:stroke dashstyle="solid"/>
            </v:line>
            <v:line style="position:absolute" from="7332,3058" to="7724,2663" stroked="true" strokeweight=".143pt" strokecolor="#808080">
              <v:stroke dashstyle="solid"/>
            </v:line>
            <v:line style="position:absolute" from="7386,3058" to="7781,2663" stroked="true" strokeweight=".143pt" strokecolor="#808080">
              <v:stroke dashstyle="solid"/>
            </v:line>
            <v:line style="position:absolute" from="7443,3058" to="7836,2663" stroked="true" strokeweight=".143pt" strokecolor="#808080">
              <v:stroke dashstyle="solid"/>
            </v:line>
            <v:line style="position:absolute" from="7500,3058" to="7893,2663" stroked="true" strokeweight=".143pt" strokecolor="#808080">
              <v:stroke dashstyle="solid"/>
            </v:line>
            <v:line style="position:absolute" from="7555,3058" to="7947,2663" stroked="true" strokeweight=".143pt" strokecolor="#808080">
              <v:stroke dashstyle="solid"/>
            </v:line>
            <v:line style="position:absolute" from="7612,3058" to="8005,2663" stroked="true" strokeweight=".143pt" strokecolor="#808080">
              <v:stroke dashstyle="solid"/>
            </v:line>
            <v:line style="position:absolute" from="7667,3058" to="8062,2663" stroked="true" strokeweight=".143pt" strokecolor="#808080">
              <v:stroke dashstyle="solid"/>
            </v:line>
            <v:line style="position:absolute" from="7724,3058" to="8116,2663" stroked="true" strokeweight=".143pt" strokecolor="#808080">
              <v:stroke dashstyle="solid"/>
            </v:line>
            <v:line style="position:absolute" from="7778,3058" to="8174,2663" stroked="true" strokeweight=".143pt" strokecolor="#808080">
              <v:stroke dashstyle="solid"/>
            </v:line>
            <v:line style="position:absolute" from="7836,3058" to="8194,2700" stroked="true" strokeweight=".143pt" strokecolor="#808080">
              <v:stroke dashstyle="solid"/>
            </v:line>
            <v:line style="position:absolute" from="7893,3058" to="8194,2755" stroked="true" strokeweight=".143pt" strokecolor="#808080">
              <v:stroke dashstyle="solid"/>
            </v:line>
            <v:line style="position:absolute" from="7947,3058" to="8194,2812" stroked="true" strokeweight=".143pt" strokecolor="#808080">
              <v:stroke dashstyle="solid"/>
            </v:line>
            <v:line style="position:absolute" from="8005,3058" to="8194,2869" stroked="true" strokeweight=".143pt" strokecolor="#808080">
              <v:stroke dashstyle="solid"/>
            </v:line>
            <v:line style="position:absolute" from="8059,3058" to="8194,2924" stroked="true" strokeweight=".143pt" strokecolor="#808080">
              <v:stroke dashstyle="solid"/>
            </v:line>
            <v:line style="position:absolute" from="8116,3058" to="8194,2981" stroked="true" strokeweight=".143pt" strokecolor="#808080">
              <v:stroke dashstyle="solid"/>
            </v:line>
            <v:line style="position:absolute" from="8171,3058" to="8194,3035" stroked="true" strokeweight=".143pt" strokecolor="#808080">
              <v:stroke dashstyle="solid"/>
            </v:line>
            <v:rect style="position:absolute;left:8339;top:2777;width:9;height:78" filled="true" fillcolor="#000000" stroked="false">
              <v:fill type="solid"/>
            </v:rect>
            <v:rect style="position:absolute;left:8420;top:2777;width:9;height:78" filled="true" fillcolor="#000000" stroked="false">
              <v:fill type="solid"/>
            </v:rect>
            <v:shape style="position:absolute;left:8368;top:2777;width:12;height:78" coordorigin="8368,2778" coordsize="12,78" path="m8380,2778l8368,2778,8368,2855,8377,2855,8377,2795,8380,2778xe" filled="true" fillcolor="#000000" stroked="false">
              <v:path arrowok="t"/>
              <v:fill type="solid"/>
            </v:shape>
            <v:shape style="position:absolute;left:8377;top:2777;width:43;height:78" coordorigin="8377,2778" coordsize="43,78" path="m8380,2778l8377,2795,8420,2855,8420,2838,8380,2778xe" filled="true" fillcolor="#000000" stroked="false">
              <v:path arrowok="t"/>
              <v:fill type="solid"/>
            </v:shape>
            <v:shape style="position:absolute;left:8440;top:2777;width:61;height:78" coordorigin="8440,2778" coordsize="61,78" path="m8474,2786l8466,2786,8466,2855,8474,2855,8474,2786xm8500,2778l8440,2778,8440,2786,8500,2786,8500,2778xe" filled="true" fillcolor="#000000" stroked="false">
              <v:path arrowok="t"/>
              <v:fill type="solid"/>
            </v:shape>
            <v:shape style="position:absolute;left:6853;top:2777;width:58;height:78" coordorigin="6853,2778" coordsize="58,78" path="m6910,2778l6853,2778,6853,2855,6910,2855,6910,2846,6865,2846,6865,2821,6908,2821,6908,2809,6865,2809,6865,2786,6910,2786,6910,2778xe" filled="true" fillcolor="#000000" stroked="false">
              <v:path arrowok="t"/>
              <v:fill type="solid"/>
            </v:shape>
            <v:shape style="position:absolute;left:6916;top:2814;width:38;height:41" coordorigin="6916,2815" coordsize="38,41" path="m6948,2815l6916,2855,6928,2855,6948,2829,6948,2826,6951,2826,6951,2823,6953,2821,6948,2815xe" filled="true" fillcolor="#000000" stroked="false">
              <v:path arrowok="t"/>
              <v:fill type="solid"/>
            </v:shape>
            <v:shape style="position:absolute;left:6919;top:2777;width:69;height:78" coordorigin="6919,2778" coordsize="69,78" path="m6933,2778l6919,2778,6948,2815,6953,2821,6953,2826,6956,2826,6976,2855,6988,2855,6959,2815,6953,2806,6951,2806,6951,2800,6948,2800,6948,2798,6933,2778xe" filled="true" fillcolor="#000000" stroked="false">
              <v:path arrowok="t"/>
              <v:fill type="solid"/>
            </v:shape>
            <v:shape style="position:absolute;left:6953;top:2777;width:32;height:38" coordorigin="6953,2778" coordsize="32,38" path="m6985,2778l6973,2778,6959,2798,6959,2800,6956,2800,6956,2803,6953,2806,6959,2815,6985,2778xe" filled="true" fillcolor="#000000" stroked="false">
              <v:path arrowok="t"/>
              <v:fill type="solid"/>
            </v:shape>
            <v:shape style="position:absolute;left:6990;top:2777;width:61;height:78" coordorigin="6991,2778" coordsize="61,78" path="m7025,2786l7016,2786,7016,2855,7025,2855,7025,2786xm7051,2778l6991,2778,6991,2786,7051,2786,7051,2778xe" filled="true" fillcolor="#000000" stroked="false">
              <v:path arrowok="t"/>
              <v:fill type="solid"/>
            </v:shape>
            <w10:wrap type="topAndBottom"/>
          </v:group>
        </w:pict>
      </w:r>
      <w:r>
        <w:rPr>
          <w:sz w:val="20"/>
        </w:rPr>
        <w:t>El encuentro con el paramento debe realizarse redondeándose con un radio de curvatura de 5 cm aproximadamente</w:t>
      </w:r>
      <w:r>
        <w:rPr>
          <w:spacing w:val="-5"/>
          <w:sz w:val="20"/>
        </w:rPr>
        <w:t> </w:t>
      </w:r>
      <w:r>
        <w:rPr>
          <w:sz w:val="20"/>
        </w:rPr>
        <w:t>o</w:t>
      </w:r>
      <w:r>
        <w:rPr>
          <w:spacing w:val="-4"/>
          <w:sz w:val="20"/>
        </w:rPr>
        <w:t> </w:t>
      </w:r>
      <w:r>
        <w:rPr>
          <w:sz w:val="20"/>
        </w:rPr>
        <w:t>achaflanándose</w:t>
      </w:r>
      <w:r>
        <w:rPr>
          <w:spacing w:val="-4"/>
          <w:sz w:val="20"/>
        </w:rPr>
        <w:t> </w:t>
      </w:r>
      <w:r>
        <w:rPr>
          <w:sz w:val="20"/>
        </w:rPr>
        <w:t>una</w:t>
      </w:r>
      <w:r>
        <w:rPr>
          <w:spacing w:val="-4"/>
          <w:sz w:val="20"/>
        </w:rPr>
        <w:t> </w:t>
      </w:r>
      <w:r>
        <w:rPr>
          <w:sz w:val="20"/>
        </w:rPr>
        <w:t>medida</w:t>
      </w:r>
      <w:r>
        <w:rPr>
          <w:spacing w:val="-4"/>
          <w:sz w:val="20"/>
        </w:rPr>
        <w:t> </w:t>
      </w:r>
      <w:r>
        <w:rPr>
          <w:sz w:val="20"/>
        </w:rPr>
        <w:t>análoga</w:t>
      </w:r>
      <w:r>
        <w:rPr>
          <w:spacing w:val="-4"/>
          <w:sz w:val="20"/>
        </w:rPr>
        <w:t> </w:t>
      </w:r>
      <w:r>
        <w:rPr>
          <w:sz w:val="20"/>
        </w:rPr>
        <w:t>según</w:t>
      </w:r>
      <w:r>
        <w:rPr>
          <w:spacing w:val="-4"/>
          <w:sz w:val="20"/>
        </w:rPr>
        <w:t> </w:t>
      </w:r>
      <w:r>
        <w:rPr>
          <w:sz w:val="20"/>
        </w:rPr>
        <w:t>el</w:t>
      </w:r>
      <w:r>
        <w:rPr>
          <w:spacing w:val="-6"/>
          <w:sz w:val="20"/>
        </w:rPr>
        <w:t> </w:t>
      </w:r>
      <w:r>
        <w:rPr>
          <w:sz w:val="20"/>
        </w:rPr>
        <w:t>sistema</w:t>
      </w:r>
      <w:r>
        <w:rPr>
          <w:spacing w:val="-4"/>
          <w:sz w:val="20"/>
        </w:rPr>
        <w:t> </w:t>
      </w:r>
      <w:r>
        <w:rPr>
          <w:sz w:val="20"/>
        </w:rPr>
        <w:t>de</w:t>
      </w:r>
      <w:r>
        <w:rPr>
          <w:spacing w:val="-5"/>
          <w:sz w:val="20"/>
        </w:rPr>
        <w:t> </w:t>
      </w:r>
      <w:r>
        <w:rPr>
          <w:i/>
          <w:sz w:val="20"/>
        </w:rPr>
        <w:t>impermeabilización</w:t>
      </w:r>
      <w:r>
        <w:rPr>
          <w:sz w:val="20"/>
        </w:rPr>
        <w:t>.</w:t>
      </w:r>
    </w:p>
    <w:p>
      <w:pPr>
        <w:spacing w:line="196" w:lineRule="exact" w:before="0"/>
        <w:ind w:left="2354" w:right="0" w:firstLine="0"/>
        <w:jc w:val="both"/>
        <w:rPr>
          <w:b/>
          <w:sz w:val="18"/>
        </w:rPr>
      </w:pPr>
      <w:r>
        <w:rPr>
          <w:b/>
          <w:sz w:val="18"/>
        </w:rPr>
        <w:t>Figura 2.13 Encuentro de la cubierta con un paramento vertical</w:t>
      </w:r>
    </w:p>
    <w:p>
      <w:pPr>
        <w:pStyle w:val="ListParagraph"/>
        <w:numPr>
          <w:ilvl w:val="0"/>
          <w:numId w:val="55"/>
        </w:numPr>
        <w:tabs>
          <w:tab w:pos="672" w:val="left" w:leader="none"/>
        </w:tabs>
        <w:spacing w:line="240" w:lineRule="auto" w:before="60" w:after="0"/>
        <w:ind w:left="672" w:right="391" w:hanging="454"/>
        <w:jc w:val="both"/>
        <w:rPr>
          <w:sz w:val="20"/>
        </w:rPr>
      </w:pPr>
      <w:r>
        <w:rPr>
          <w:sz w:val="20"/>
        </w:rPr>
        <w:t>Para que el agua de las precipitaciones o la que se deslice por el paramento no se filtre por el remate superior de la </w:t>
      </w:r>
      <w:r>
        <w:rPr>
          <w:i/>
          <w:sz w:val="20"/>
        </w:rPr>
        <w:t>impermeabilización</w:t>
      </w:r>
      <w:r>
        <w:rPr>
          <w:sz w:val="20"/>
        </w:rPr>
        <w:t>, dicho remate debe realizarse de alguna de las formas siguientes o de cualquier otra que produzca el mismo</w:t>
      </w:r>
      <w:r>
        <w:rPr>
          <w:spacing w:val="-9"/>
          <w:sz w:val="20"/>
        </w:rPr>
        <w:t> </w:t>
      </w:r>
      <w:r>
        <w:rPr>
          <w:sz w:val="20"/>
        </w:rPr>
        <w:t>efecto:</w:t>
      </w:r>
    </w:p>
    <w:p>
      <w:pPr>
        <w:pStyle w:val="ListParagraph"/>
        <w:numPr>
          <w:ilvl w:val="1"/>
          <w:numId w:val="55"/>
        </w:numPr>
        <w:tabs>
          <w:tab w:pos="1127" w:val="left" w:leader="none"/>
        </w:tabs>
        <w:spacing w:line="240" w:lineRule="auto" w:before="120" w:after="0"/>
        <w:ind w:left="1125" w:right="391" w:hanging="454"/>
        <w:jc w:val="both"/>
        <w:rPr>
          <w:sz w:val="20"/>
        </w:rPr>
      </w:pPr>
      <w:r>
        <w:rPr>
          <w:sz w:val="20"/>
        </w:rPr>
        <w:t>mediante una roza de 3 x 3 cm como mínimo en la que debe recibirse la </w:t>
      </w:r>
      <w:r>
        <w:rPr>
          <w:i/>
          <w:sz w:val="20"/>
        </w:rPr>
        <w:t>impermeabilización </w:t>
      </w:r>
      <w:r>
        <w:rPr>
          <w:sz w:val="20"/>
        </w:rPr>
        <w:t>con mortero en bisel formando aproximadamente un ángulo de 30º con la horizontal y redondeándose la arista del</w:t>
      </w:r>
      <w:r>
        <w:rPr>
          <w:spacing w:val="-1"/>
          <w:sz w:val="20"/>
        </w:rPr>
        <w:t> </w:t>
      </w:r>
      <w:r>
        <w:rPr>
          <w:sz w:val="20"/>
        </w:rPr>
        <w:t>paramento;</w:t>
      </w:r>
    </w:p>
    <w:p>
      <w:pPr>
        <w:spacing w:after="0" w:line="240" w:lineRule="auto"/>
        <w:jc w:val="both"/>
        <w:rPr>
          <w:sz w:val="20"/>
        </w:rPr>
        <w:sectPr>
          <w:pgSz w:w="11910" w:h="16840"/>
          <w:pgMar w:header="724" w:footer="636" w:top="1320" w:bottom="840" w:left="1200" w:right="738"/>
        </w:sectPr>
      </w:pPr>
    </w:p>
    <w:p>
      <w:pPr>
        <w:pStyle w:val="ListParagraph"/>
        <w:numPr>
          <w:ilvl w:val="1"/>
          <w:numId w:val="55"/>
        </w:numPr>
        <w:tabs>
          <w:tab w:pos="1127" w:val="left" w:leader="none"/>
        </w:tabs>
        <w:spacing w:line="240" w:lineRule="auto" w:before="89" w:after="0"/>
        <w:ind w:left="1125" w:right="391" w:hanging="454"/>
        <w:jc w:val="both"/>
        <w:rPr>
          <w:sz w:val="20"/>
        </w:rPr>
      </w:pPr>
      <w:r>
        <w:rPr>
          <w:sz w:val="20"/>
        </w:rPr>
        <w:t>mediante un retranqueo cuya profundidad con respecto a la superficie externa del paramento vertical debe ser mayor que 5 cm y cuya altura por encima de la protección de la cubierta debe ser mayor que 20</w:t>
      </w:r>
      <w:r>
        <w:rPr>
          <w:spacing w:val="-1"/>
          <w:sz w:val="20"/>
        </w:rPr>
        <w:t> </w:t>
      </w:r>
      <w:r>
        <w:rPr>
          <w:sz w:val="20"/>
        </w:rPr>
        <w:t>cm;</w:t>
      </w:r>
    </w:p>
    <w:p>
      <w:pPr>
        <w:pStyle w:val="ListParagraph"/>
        <w:numPr>
          <w:ilvl w:val="1"/>
          <w:numId w:val="55"/>
        </w:numPr>
        <w:tabs>
          <w:tab w:pos="1126" w:val="left" w:leader="none"/>
        </w:tabs>
        <w:spacing w:line="240" w:lineRule="auto" w:before="121" w:after="0"/>
        <w:ind w:left="1125" w:right="391" w:hanging="454"/>
        <w:jc w:val="both"/>
        <w:rPr>
          <w:sz w:val="20"/>
        </w:rPr>
      </w:pPr>
      <w:r>
        <w:rPr>
          <w:sz w:val="20"/>
        </w:rPr>
        <w:t>mediante un perfil metálico inoxidable provisto de una pestaña al menos en su parte superior, que sirva de base a un cordón de sellado entre el perfil y el muro. Si en la parte inferior no  lleva pestaña, la arista debe ser redondeada para evitar que pueda dañarse la</w:t>
      </w:r>
      <w:r>
        <w:rPr>
          <w:spacing w:val="-23"/>
          <w:sz w:val="20"/>
        </w:rPr>
        <w:t> </w:t>
      </w:r>
      <w:r>
        <w:rPr>
          <w:sz w:val="20"/>
        </w:rPr>
        <w:t>lámina.</w:t>
      </w:r>
    </w:p>
    <w:p>
      <w:pPr>
        <w:pStyle w:val="BodyText"/>
        <w:spacing w:before="7"/>
        <w:rPr>
          <w:sz w:val="23"/>
        </w:rPr>
      </w:pPr>
    </w:p>
    <w:p>
      <w:pPr>
        <w:pStyle w:val="Heading5"/>
        <w:numPr>
          <w:ilvl w:val="4"/>
          <w:numId w:val="14"/>
        </w:numPr>
        <w:tabs>
          <w:tab w:pos="1071" w:val="left" w:leader="none"/>
        </w:tabs>
        <w:spacing w:line="240" w:lineRule="auto" w:before="1" w:after="0"/>
        <w:ind w:left="1070" w:right="0" w:hanging="853"/>
        <w:jc w:val="left"/>
      </w:pPr>
      <w:r>
        <w:rPr/>
        <w:t>Encuentro de la cubierta con el borde</w:t>
      </w:r>
      <w:r>
        <w:rPr>
          <w:spacing w:val="-7"/>
        </w:rPr>
        <w:t> </w:t>
      </w:r>
      <w:r>
        <w:rPr/>
        <w:t>lateral</w:t>
      </w:r>
    </w:p>
    <w:p>
      <w:pPr>
        <w:pStyle w:val="BodyText"/>
        <w:tabs>
          <w:tab w:pos="671" w:val="left" w:leader="none"/>
        </w:tabs>
        <w:spacing w:before="157"/>
        <w:ind w:left="218"/>
      </w:pPr>
      <w:r>
        <w:rPr/>
        <w:t>1</w:t>
        <w:tab/>
        <w:t>El encuentro debe realizarse mediante una de las formas</w:t>
      </w:r>
      <w:r>
        <w:rPr>
          <w:spacing w:val="-10"/>
        </w:rPr>
        <w:t> </w:t>
      </w:r>
      <w:r>
        <w:rPr/>
        <w:t>siguientes:</w:t>
      </w:r>
    </w:p>
    <w:p>
      <w:pPr>
        <w:pStyle w:val="ListParagraph"/>
        <w:numPr>
          <w:ilvl w:val="0"/>
          <w:numId w:val="56"/>
        </w:numPr>
        <w:tabs>
          <w:tab w:pos="1126" w:val="left" w:leader="none"/>
          <w:tab w:pos="1127" w:val="left" w:leader="none"/>
        </w:tabs>
        <w:spacing w:line="240" w:lineRule="auto" w:before="119" w:after="0"/>
        <w:ind w:left="1126" w:right="0" w:hanging="455"/>
        <w:jc w:val="left"/>
        <w:rPr>
          <w:sz w:val="20"/>
        </w:rPr>
      </w:pPr>
      <w:r>
        <w:rPr>
          <w:sz w:val="20"/>
        </w:rPr>
        <w:t>prolongando la </w:t>
      </w:r>
      <w:r>
        <w:rPr>
          <w:i/>
          <w:sz w:val="20"/>
        </w:rPr>
        <w:t>impermeabilización </w:t>
      </w:r>
      <w:r>
        <w:rPr>
          <w:sz w:val="20"/>
        </w:rPr>
        <w:t>5 cm como mínimo sobre el frente del alero o el</w:t>
      </w:r>
      <w:r>
        <w:rPr>
          <w:spacing w:val="-34"/>
          <w:sz w:val="20"/>
        </w:rPr>
        <w:t> </w:t>
      </w:r>
      <w:r>
        <w:rPr>
          <w:sz w:val="20"/>
        </w:rPr>
        <w:t>paramento;</w:t>
      </w:r>
    </w:p>
    <w:p>
      <w:pPr>
        <w:pStyle w:val="BodyText"/>
        <w:rPr>
          <w:sz w:val="22"/>
        </w:rPr>
      </w:pPr>
    </w:p>
    <w:p>
      <w:pPr>
        <w:pStyle w:val="BodyText"/>
        <w:rPr>
          <w:sz w:val="19"/>
        </w:rPr>
      </w:pPr>
    </w:p>
    <w:p>
      <w:pPr>
        <w:spacing w:before="0"/>
        <w:ind w:left="1958" w:right="0" w:firstLine="0"/>
        <w:jc w:val="left"/>
        <w:rPr>
          <w:sz w:val="16"/>
        </w:rPr>
      </w:pPr>
      <w:r>
        <w:rPr/>
        <w:pict>
          <v:line style="position:absolute;mso-position-horizontal-relative:page;mso-position-vertical-relative:paragraph;z-index:251753472" from="152.520004pt,-2.875776pt" to="152.520004pt,21.484224pt" stroked="true" strokeweight=".48pt" strokecolor="#000000">
            <v:stroke dashstyle="solid"/>
            <w10:wrap type="none"/>
          </v:line>
        </w:pict>
      </w:r>
      <w:r>
        <w:rPr>
          <w:sz w:val="16"/>
        </w:rPr>
        <w:t>Una disposición adecuada de la impermeabilización supone que se fije al soporte para que no la levante el viento.</w:t>
      </w:r>
    </w:p>
    <w:p>
      <w:pPr>
        <w:pStyle w:val="BodyText"/>
      </w:pPr>
    </w:p>
    <w:p>
      <w:pPr>
        <w:pStyle w:val="BodyText"/>
        <w:spacing w:before="9"/>
      </w:pPr>
    </w:p>
    <w:p>
      <w:pPr>
        <w:pStyle w:val="BodyText"/>
        <w:ind w:left="1296" w:right="390" w:hanging="436"/>
        <w:jc w:val="both"/>
      </w:pPr>
      <w:r>
        <w:rPr/>
        <w:t>ii) disponiéndose un perfil angular con el ala horizontal, que debe tener una anchura mayor que 10 cm, anclada al faldón de tal forma que el ala vertical descuelgue por la parte exterior del paramento a modo de goterón y prolongando la </w:t>
      </w:r>
      <w:r>
        <w:rPr>
          <w:i/>
        </w:rPr>
        <w:t>impermeabilización </w:t>
      </w:r>
      <w:r>
        <w:rPr/>
        <w:t>sobre el ala</w:t>
      </w:r>
      <w:r>
        <w:rPr>
          <w:spacing w:val="-40"/>
        </w:rPr>
        <w:t> </w:t>
      </w:r>
      <w:r>
        <w:rPr/>
        <w:t>horizontal.</w:t>
      </w:r>
    </w:p>
    <w:p>
      <w:pPr>
        <w:pStyle w:val="BodyText"/>
        <w:rPr>
          <w:sz w:val="22"/>
        </w:rPr>
      </w:pPr>
    </w:p>
    <w:p>
      <w:pPr>
        <w:pStyle w:val="BodyText"/>
        <w:spacing w:before="10"/>
        <w:rPr>
          <w:sz w:val="18"/>
        </w:rPr>
      </w:pPr>
    </w:p>
    <w:p>
      <w:pPr>
        <w:spacing w:before="0"/>
        <w:ind w:left="655" w:right="852" w:firstLine="0"/>
        <w:jc w:val="center"/>
        <w:rPr>
          <w:sz w:val="16"/>
        </w:rPr>
      </w:pPr>
      <w:r>
        <w:rPr/>
        <w:pict>
          <v:line style="position:absolute;mso-position-horizontal-relative:page;mso-position-vertical-relative:paragraph;z-index:251754496" from="152.520004pt,-2.875803pt" to="152.520004pt,12.364197pt" stroked="true" strokeweight=".48pt" strokecolor="#000000">
            <v:stroke dashstyle="solid"/>
            <w10:wrap type="none"/>
          </v:line>
        </w:pict>
      </w:r>
      <w:r>
        <w:rPr>
          <w:sz w:val="16"/>
        </w:rPr>
        <w:t>Se pretende limitar el riesgo de filtración de agua en el borde lateral de la cubierta.</w:t>
      </w:r>
    </w:p>
    <w:p>
      <w:pPr>
        <w:pStyle w:val="BodyText"/>
      </w:pPr>
    </w:p>
    <w:p>
      <w:pPr>
        <w:pStyle w:val="BodyText"/>
        <w:spacing w:before="11"/>
        <w:rPr>
          <w:sz w:val="25"/>
        </w:rPr>
      </w:pPr>
    </w:p>
    <w:p>
      <w:pPr>
        <w:pStyle w:val="Heading5"/>
        <w:numPr>
          <w:ilvl w:val="4"/>
          <w:numId w:val="14"/>
        </w:numPr>
        <w:tabs>
          <w:tab w:pos="1071" w:val="left" w:leader="none"/>
        </w:tabs>
        <w:spacing w:line="240" w:lineRule="auto" w:before="94" w:after="0"/>
        <w:ind w:left="1070" w:right="0" w:hanging="853"/>
        <w:jc w:val="left"/>
      </w:pPr>
      <w:r>
        <w:rPr/>
        <w:t>Encuentro de la cubierta con un sumidero o un</w:t>
      </w:r>
      <w:r>
        <w:rPr>
          <w:spacing w:val="-7"/>
        </w:rPr>
        <w:t> </w:t>
      </w:r>
      <w:r>
        <w:rPr/>
        <w:t>canalón</w:t>
      </w:r>
    </w:p>
    <w:p>
      <w:pPr>
        <w:pStyle w:val="ListParagraph"/>
        <w:numPr>
          <w:ilvl w:val="0"/>
          <w:numId w:val="57"/>
        </w:numPr>
        <w:tabs>
          <w:tab w:pos="672" w:val="left" w:leader="none"/>
        </w:tabs>
        <w:spacing w:line="240" w:lineRule="auto" w:before="157" w:after="0"/>
        <w:ind w:left="671" w:right="391" w:hanging="454"/>
        <w:jc w:val="both"/>
        <w:rPr>
          <w:sz w:val="20"/>
        </w:rPr>
      </w:pPr>
      <w:r>
        <w:rPr>
          <w:sz w:val="20"/>
        </w:rPr>
        <w:t>El sumidero o el canalón debe ser una pieza prefabricada, de un material compatible con el tipo de </w:t>
      </w:r>
      <w:r>
        <w:rPr>
          <w:i/>
          <w:sz w:val="20"/>
        </w:rPr>
        <w:t>impermeabilización </w:t>
      </w:r>
      <w:r>
        <w:rPr>
          <w:sz w:val="20"/>
        </w:rPr>
        <w:t>que se utilice y debe disponer de un ala de 10 cm de anchura como mínimo en el borde</w:t>
      </w:r>
      <w:r>
        <w:rPr>
          <w:spacing w:val="-3"/>
          <w:sz w:val="20"/>
        </w:rPr>
        <w:t> </w:t>
      </w:r>
      <w:r>
        <w:rPr>
          <w:sz w:val="20"/>
        </w:rPr>
        <w:t>superior.</w:t>
      </w:r>
    </w:p>
    <w:p>
      <w:pPr>
        <w:pStyle w:val="ListParagraph"/>
        <w:numPr>
          <w:ilvl w:val="0"/>
          <w:numId w:val="57"/>
        </w:numPr>
        <w:tabs>
          <w:tab w:pos="672" w:val="left" w:leader="none"/>
        </w:tabs>
        <w:spacing w:line="240" w:lineRule="auto" w:before="120" w:after="0"/>
        <w:ind w:left="671" w:right="392" w:hanging="454"/>
        <w:jc w:val="both"/>
        <w:rPr>
          <w:sz w:val="20"/>
        </w:rPr>
      </w:pPr>
      <w:r>
        <w:rPr>
          <w:sz w:val="20"/>
        </w:rPr>
        <w:t>El sumidero o el canalón debe estar provisto de un elemento de protección para retener los sólidos que puedan obturar la bajante. En cubiertas transitables este elemento debe estar enrasado con la </w:t>
      </w:r>
      <w:r>
        <w:rPr>
          <w:i/>
          <w:sz w:val="20"/>
        </w:rPr>
        <w:t>capa de protección </w:t>
      </w:r>
      <w:r>
        <w:rPr>
          <w:sz w:val="20"/>
        </w:rPr>
        <w:t>y en cubiertas no transitables, este elemento debe sobresalir de la </w:t>
      </w:r>
      <w:r>
        <w:rPr>
          <w:i/>
          <w:sz w:val="20"/>
        </w:rPr>
        <w:t>capa de </w:t>
      </w:r>
      <w:r>
        <w:rPr>
          <w:i/>
          <w:sz w:val="20"/>
        </w:rPr>
        <w:t>protección</w:t>
      </w:r>
      <w:r>
        <w:rPr>
          <w:sz w:val="20"/>
        </w:rPr>
        <w:t>.</w:t>
      </w:r>
    </w:p>
    <w:p>
      <w:pPr>
        <w:pStyle w:val="ListParagraph"/>
        <w:numPr>
          <w:ilvl w:val="0"/>
          <w:numId w:val="57"/>
        </w:numPr>
        <w:tabs>
          <w:tab w:pos="672" w:val="left" w:leader="none"/>
        </w:tabs>
        <w:spacing w:line="240" w:lineRule="auto" w:before="121" w:after="0"/>
        <w:ind w:left="671" w:right="393" w:hanging="454"/>
        <w:jc w:val="both"/>
        <w:rPr>
          <w:sz w:val="20"/>
        </w:rPr>
      </w:pPr>
      <w:r>
        <w:rPr/>
        <w:pict>
          <v:group style="position:absolute;margin-left:215.257996pt;margin-top:55.698765pt;width:194.55pt;height:132.3pt;mso-position-horizontal-relative:page;mso-position-vertical-relative:paragraph;z-index:-251564032;mso-wrap-distance-left:0;mso-wrap-distance-right:0" coordorigin="4305,1114" coordsize="3891,2646">
            <v:shape style="position:absolute;left:7324;top:1418;width:837;height:653" coordorigin="7325,1418" coordsize="837,653" path="m8161,1418l7325,1418,7621,2071e" filled="false" stroked="true" strokeweight=".11pt" strokecolor="#000000">
              <v:path arrowok="t"/>
              <v:stroke dashstyle="solid"/>
            </v:shape>
            <v:shape style="position:absolute;left:7460;top:1332;width:40;height:22" coordorigin="7460,1333" coordsize="40,22" path="m7499,1354l7487,1354,7487,1354,7499,1354xm7472,1333l7460,1334,7461,1336,7461,1342,7464,1349,7469,1354,7487,1354,7476,1348,7473,1338,7472,1333xe" filled="true" fillcolor="#000000" stroked="false">
              <v:path arrowok="t"/>
              <v:fill type="solid"/>
            </v:shape>
            <v:shape style="position:absolute;left:7497;top:1279;width:35;height:18" coordorigin="7497,1280" coordsize="35,18" path="m7525,1280l7508,1280,7518,1285,7519,1295,7519,1298,7531,1297,7531,1296,7530,1291,7530,1287,7527,1282,7527,1282,7525,1280xm7501,1280l7497,1280,7499,1280,7501,1280xm7508,1280l7501,1280,7508,1280,7508,1280xe" filled="true" fillcolor="#000000" stroked="false">
              <v:path arrowok="t"/>
              <v:fill type="solid"/>
            </v:shape>
            <v:shape style="position:absolute;left:7408;top:1164;width:56;height:43" coordorigin="7408,1164" coordsize="56,43" path="m7431,1165l7424,1165,7429,1179,7436,1187,7448,1207,7464,1207,7447,1181,7443,1176,7440,1170,7433,1166,7431,1165xm7430,1164l7408,1165,7411,1165,7424,1165,7431,1165,7430,1164xe" filled="true" fillcolor="#000000" stroked="false">
              <v:path arrowok="t"/>
              <v:fill type="solid"/>
            </v:shape>
            <v:shape style="position:absolute;left:7420;top:1121;width:38;height:34" coordorigin="7421,1122" coordsize="38,34" path="m7450,1122l7423,1124,7425,1124,7439,1129,7443,1140,7438,1151,7421,1155,7450,1155,7458,1145,7457,1134,7452,1125,7451,1124,7450,1122xe" filled="true" fillcolor="#000000" stroked="false">
              <v:path arrowok="t"/>
              <v:fill type="solid"/>
            </v:shape>
            <v:shape style="position:absolute;left:7381;top:1113;width:69;height:93" coordorigin="7382,1114" coordsize="69,93" path="m7429,1114l7382,1114,7382,1207,7394,1207,7394,1165,7408,1165,7450,1155,7394,1155,7394,1124,7423,1124,7450,1122,7448,1120,7442,1115,7437,1115,7429,1114xe" filled="true" fillcolor="#000000" stroked="false">
              <v:path arrowok="t"/>
              <v:fill type="solid"/>
            </v:shape>
            <v:shape style="position:absolute;left:7476;top:1113;width:69;height:93" coordorigin="7476,1114" coordsize="69,93" path="m7543,1114l7476,1114,7476,1207,7545,1207,7545,1196,7488,1196,7488,1164,7539,1164,7539,1153,7488,1153,7488,1125,7543,1125,7543,1114xe" filled="true" fillcolor="#000000" stroked="false">
              <v:path arrowok="t"/>
              <v:fill type="solid"/>
            </v:shape>
            <v:shape style="position:absolute;left:7573;top:1163;width:60;height:33" coordorigin="7574,1164" coordsize="60,33" path="m7600,1196l7574,1196,7626,1197,7627,1196,7610,1196,7600,1196xm7626,1164l7609,1164,7617,1167,7619,1177,7619,1186,7618,1191,7610,1196,7627,1196,7632,1186,7634,1173,7627,1166,7627,1165,7626,1164xm7625,1164l7596,1164,7599,1164,7609,1164,7626,1164,7625,1164xe" filled="true" fillcolor="#000000" stroked="false">
              <v:path arrowok="t"/>
              <v:fill type="solid"/>
            </v:shape>
            <v:shape style="position:absolute;left:7573;top:1124;width:56;height:30" coordorigin="7574,1125" coordsize="56,30" path="m7597,1153l7574,1153,7619,1154,7621,1153,7607,1153,7597,1153xm7623,1125l7592,1125,7598,1125,7606,1125,7614,1126,7615,1136,7615,1139,7615,1140,7614,1150,7607,1153,7621,1153,7627,1148,7629,1137,7625,1128,7623,1125,7623,1125xe" filled="true" fillcolor="#000000" stroked="false">
              <v:path arrowok="t"/>
              <v:fill type="solid"/>
            </v:shape>
            <v:shape style="position:absolute;left:7561;top:1113;width:65;height:93" coordorigin="7562,1114" coordsize="65,93" path="m7602,1114l7562,1114,7562,1207,7597,1207,7606,1206,7617,1206,7624,1198,7626,1197,7574,1196,7574,1164,7625,1164,7624,1162,7619,1159,7617,1158,7614,1157,7614,1157,7617,1156,7619,1154,7574,1153,7574,1125,7592,1125,7623,1125,7621,1123,7617,1117,7609,1115,7602,1114xe" filled="true" fillcolor="#000000" stroked="false">
              <v:path arrowok="t"/>
              <v:fill type="solid"/>
            </v:shape>
            <v:shape style="position:absolute;left:7638;top:1113;width:62;height:93" coordorigin="7639,1114" coordsize="62,93" path="m7687,1114l7674,1114,7639,1207,7652,1207,7662,1179,7700,1179,7665,1168,7675,1141,7675,1141,7676,1139,7677,1136,7678,1134,7678,1131,7679,1128,7680,1126,7680,1124,7687,1114xe" filled="true" fillcolor="#000000" stroked="false">
              <v:path arrowok="t"/>
              <v:fill type="solid"/>
            </v:shape>
            <v:shape style="position:absolute;left:7665;top:1113;width:61;height:93" coordorigin="7665,1114" coordsize="61,93" path="m7687,1114l7680,1124,7681,1125,7682,1132,7685,1137,7687,1143,7696,1168,7665,1168,7700,1179,7711,1207,7725,1207,7687,1114xe" filled="true" fillcolor="#000000" stroked="false">
              <v:path arrowok="t"/>
              <v:fill type="solid"/>
            </v:shape>
            <v:shape style="position:absolute;left:7728;top:1178;width:47;height:29" coordorigin="7729,1179" coordsize="47,29" path="m7740,1179l7729,1180,7729,1183,7733,1199,7745,1207,7761,1208,7775,1200,7776,1197,7754,1197,7753,1197,7750,1197,7748,1196,7746,1195,7744,1193,7744,1193,7743,1192,7742,1190,7741,1188,7740,1185,7740,1182,7740,1179xe" filled="true" fillcolor="#000000" stroked="false">
              <v:path arrowok="t"/>
              <v:fill type="solid"/>
            </v:shape>
            <v:shape style="position:absolute;left:7753;top:1113;width:27;height:84" coordorigin="7754,1114" coordsize="27,84" path="m7780,1114l7768,1114,7768,1180,7768,1183,7768,1186,7766,1196,7757,1197,7754,1197,7776,1197,7777,1195,7777,1195,7778,1193,7779,1191,7779,1188,7779,1186,7779,1183,7780,1180,7780,1114xe" filled="true" fillcolor="#000000" stroked="false">
              <v:path arrowok="t"/>
              <v:fill type="solid"/>
            </v:shape>
            <v:shape style="position:absolute;left:7800;top:1113;width:69;height:93" coordorigin="7801,1114" coordsize="69,93" path="m7867,1114l7801,1114,7801,1207,7869,1207,7869,1196,7813,1196,7813,1164,7864,1164,7864,1153,7813,1153,7813,1125,7867,1125,7867,1114xe" filled="true" fillcolor="#000000" stroked="false">
              <v:path arrowok="t"/>
              <v:fill type="solid"/>
            </v:shape>
            <v:shape style="position:absolute;left:7953;top:1123;width:46;height:73" coordorigin="7953,1124" coordsize="46,73" path="m7987,1125l7968,1125,7976,1131,7978,1133,7979,1135,7983,1139,7986,1148,7985,1153,7986,1157,7986,1163,7984,1176,7979,1186,7970,1193,7957,1196,7986,1196,7995,1181,7999,1162,7996,1143,7989,1127,7988,1125,7987,1125xm7986,1124l7953,1125,7961,1125,7971,1127,7968,1125,7987,1125,7986,1124xe" filled="true" fillcolor="#000000" stroked="false">
              <v:path arrowok="t"/>
              <v:fill type="solid"/>
            </v:shape>
            <v:shape style="position:absolute;left:7921;top:1113;width:65;height:93" coordorigin="7922,1114" coordsize="65,93" path="m7960,1114l7922,1114,7922,1207,7955,1207,7966,1206,7976,1205,7985,1198,7986,1196,7934,1196,7934,1125,7953,1125,7986,1124,7984,1122,7977,1116,7968,1114,7960,1114xe" filled="true" fillcolor="#000000" stroked="false">
              <v:path arrowok="t"/>
              <v:fill type="solid"/>
            </v:shape>
            <v:shape style="position:absolute;left:8015;top:1113;width:69;height:93" coordorigin="8016,1114" coordsize="69,93" path="m8082,1114l8016,1114,8016,1207,8085,1207,8085,1196,8028,1196,8028,1164,8079,1164,8079,1153,8028,1153,8028,1125,8082,1125,8082,1114xe" filled="true" fillcolor="#000000" stroked="false">
              <v:path arrowok="t"/>
              <v:fill type="solid"/>
            </v:shape>
            <v:shape style="position:absolute;left:8100;top:1113;width:58;height:93" coordorigin="8101,1114" coordsize="58,93" path="m8113,1114l8101,1114,8101,1207,8159,1207,8159,1196,8113,1196,8113,1114xe" filled="true" fillcolor="#000000" stroked="false">
              <v:path arrowok="t"/>
              <v:fill type="solid"/>
            </v:shape>
            <v:shape style="position:absolute;left:7464;top:1268;width:67;height:96" coordorigin="7465,1269" coordsize="67,96" path="m7502,1269l7492,1269,7474,1276,7465,1289,7466,1304,7511,1323,7518,1329,7520,1331,7526,1343,7517,1352,7505,1353,7502,1354,7469,1354,7470,1355,7491,1364,7515,1362,7531,1349,7531,1326,7530,1324,7530,1324,7529,1322,7521,1316,7510,1312,7499,1309,7489,1306,7486,1305,7482,1304,7478,1302,7475,1296,7476,1292,7491,1280,7497,1280,7525,1280,7523,1278,7517,1272,7510,1270,7502,1269xe" filled="true" fillcolor="#000000" stroked="false">
              <v:path arrowok="t"/>
              <v:fill type="solid"/>
            </v:shape>
            <v:shape style="position:absolute;left:7547;top:1278;width:45;height:77" coordorigin="7547,1279" coordsize="45,77" path="m7563,1279l7562,1280,7551,1297,7547,1318,7552,1339,7564,1355,7592,1354,7591,1354,7568,1343,7560,1318,7567,1292,7589,1280,7592,1280,7563,1279xe" filled="true" fillcolor="#000000" stroked="false">
              <v:path arrowok="t"/>
              <v:fill type="solid"/>
            </v:shape>
            <v:shape style="position:absolute;left:7563;top:1268;width:71;height:94" coordorigin="7563,1268" coordsize="71,94" path="m7582,1268l7572,1272,7565,1277,7563,1279,7592,1280,7616,1291,7624,1317,7615,1343,7592,1354,7564,1355,7566,1357,7610,1362,7634,1332,7631,1294,7597,1269,7591,1269,7582,1268xe" filled="true" fillcolor="#000000" stroked="false">
              <v:path arrowok="t"/>
              <v:fill type="solid"/>
            </v:shape>
            <v:shape style="position:absolute;left:7663;top:1280;width:61;height:36" coordorigin="7664,1281" coordsize="61,36" path="m7718,1281l7701,1281,7709,1286,7710,1294,7710,1299,7708,1311,7702,1313,7691,1315,7664,1315,7716,1316,7723,1309,7724,1294,7720,1285,7719,1283,7718,1281xm7698,1281l7688,1281,7689,1281,7693,1282,7698,1281xm7701,1281l7698,1281,7701,1281,7701,1281xe" filled="true" fillcolor="#000000" stroked="false">
              <v:path arrowok="t"/>
              <v:fill type="solid"/>
            </v:shape>
            <v:shape style="position:absolute;left:7651;top:1270;width:66;height:93" coordorigin="7652,1271" coordsize="66,93" path="m7693,1271l7652,1271,7652,1363,7664,1363,7664,1326,7688,1326,7697,1325,7708,1325,7715,1317,7716,1316,7664,1315,7664,1281,7688,1281,7718,1281,7716,1279,7710,1272,7701,1271,7693,1271xe" filled="true" fillcolor="#000000" stroked="false">
              <v:path arrowok="t"/>
              <v:fill type="solid"/>
            </v:shape>
            <v:shape style="position:absolute;left:7734;top:1278;width:45;height:77" coordorigin="7734,1279" coordsize="45,77" path="m7750,1279l7749,1280,7738,1297,7734,1318,7739,1339,7751,1355,7779,1354,7778,1354,7755,1343,7747,1318,7754,1292,7776,1280,7779,1280,7750,1279xe" filled="true" fillcolor="#000000" stroked="false">
              <v:path arrowok="t"/>
              <v:fill type="solid"/>
            </v:shape>
            <v:shape style="position:absolute;left:7750;top:1268;width:71;height:94" coordorigin="7750,1268" coordsize="71,94" path="m7769,1268l7759,1272,7752,1277,7750,1279,7779,1280,7803,1291,7811,1317,7803,1343,7779,1354,7751,1355,7753,1357,7797,1362,7821,1332,7819,1294,7784,1269,7778,1269,7769,1268xe" filled="true" fillcolor="#000000" stroked="false">
              <v:path arrowok="t"/>
              <v:fill type="solid"/>
            </v:shape>
            <v:shape style="position:absolute;left:7865;top:1321;width:55;height:43" coordorigin="7866,1321" coordsize="55,43" path="m7888,1322l7880,1322,7887,1335,7893,1344,7905,1363,7920,1363,7905,1338,7900,1332,7898,1328,7892,1324,7890,1323,7888,1322xm7887,1321l7866,1322,7868,1322,7880,1322,7888,1322,7887,1321xe" filled="true" fillcolor="#000000" stroked="false">
              <v:path arrowok="t"/>
              <v:fill type="solid"/>
            </v:shape>
            <v:shape style="position:absolute;left:7880;top:1278;width:35;height:34" coordorigin="7880,1279" coordsize="35,34" path="m7907,1279l7880,1281,7884,1281,7893,1282,7900,1286,7900,1297,7900,1299,7897,1309,7889,1311,7880,1312,7907,1312,7909,1310,7915,1303,7914,1289,7909,1282,7909,1281,7907,1279xe" filled="true" fillcolor="#000000" stroked="false">
              <v:path arrowok="t"/>
              <v:fill type="solid"/>
            </v:shape>
            <v:shape style="position:absolute;left:7838;top:1270;width:69;height:93" coordorigin="7839,1271" coordsize="69,93" path="m7886,1271l7839,1271,7839,1363,7851,1363,7851,1322,7866,1322,7876,1322,7887,1321,7898,1318,7906,1312,7907,1312,7851,1312,7851,1281,7880,1281,7907,1279,7905,1277,7900,1272,7893,1271,7886,1271xe" filled="true" fillcolor="#000000" stroked="false">
              <v:path arrowok="t"/>
              <v:fill type="solid"/>
            </v:shape>
            <v:shape style="position:absolute;left:7925;top:1270;width:74;height:93" coordorigin="7926,1271" coordsize="74,93" path="m7968,1281l7956,1281,7956,1363,7968,1363,7968,1281xm7999,1271l7926,1271,7926,1281,7999,1281,7999,1271xe" filled="true" fillcolor="#000000" stroked="false">
              <v:path arrowok="t"/>
              <v:fill type="solid"/>
            </v:shape>
            <v:shape style="position:absolute;left:8011;top:1270;width:70;height:93" coordorigin="8012,1271" coordsize="70,93" path="m8079,1271l8012,1271,8012,1363,8081,1363,8081,1352,8024,1352,8024,1321,8075,1321,8075,1310,8024,1310,8024,1281,8079,1281,8079,1271xe" filled="true" fillcolor="#000000" stroked="false">
              <v:path arrowok="t"/>
              <v:fill type="solid"/>
            </v:shape>
            <v:shape style="position:absolute;left:4306;top:2174;width:1537;height:1122" coordorigin="4307,2175" coordsize="1537,1122" path="m5015,2175l5844,2175,5844,3297,4307,3297e" filled="false" stroked="true" strokeweight=".154pt" strokecolor="#000000">
              <v:path arrowok="t"/>
              <v:stroke dashstyle="solid"/>
            </v:shape>
            <v:line style="position:absolute" from="4307,1424" to="4307,1581" stroked="true" strokeweight=".11pt" strokecolor="#000000">
              <v:stroke dashstyle="solid"/>
            </v:line>
            <v:line style="position:absolute" from="4306,1651" to="4308,1651" stroked="true" strokeweight=".132pt" strokecolor="#000000">
              <v:stroke dashstyle="solid"/>
            </v:line>
            <v:line style="position:absolute" from="4307,1721" to="4307,1860" stroked="true" strokeweight=".11pt" strokecolor="#000000">
              <v:stroke dashstyle="solid"/>
            </v:line>
            <v:line style="position:absolute" from="4306,1930" to="4308,1930" stroked="true" strokeweight=".132pt" strokecolor="#000000">
              <v:stroke dashstyle="solid"/>
            </v:line>
            <v:line style="position:absolute" from="4307,2000" to="4307,2139" stroked="true" strokeweight=".11pt" strokecolor="#000000">
              <v:stroke dashstyle="solid"/>
            </v:line>
            <v:line style="position:absolute" from="4306,2209" to="4308,2209" stroked="true" strokeweight=".132pt" strokecolor="#000000">
              <v:stroke dashstyle="solid"/>
            </v:line>
            <v:line style="position:absolute" from="4307,2279" to="4307,2419" stroked="true" strokeweight=".11pt" strokecolor="#000000">
              <v:stroke dashstyle="solid"/>
            </v:line>
            <v:line style="position:absolute" from="4306,2488" to="4308,2488" stroked="true" strokeweight=".132pt" strokecolor="#000000">
              <v:stroke dashstyle="solid"/>
            </v:line>
            <v:line style="position:absolute" from="4307,2558" to="4307,2697" stroked="true" strokeweight=".11pt" strokecolor="#000000">
              <v:stroke dashstyle="solid"/>
            </v:line>
            <v:line style="position:absolute" from="4306,2767" to="4308,2767" stroked="true" strokeweight=".132pt" strokecolor="#000000">
              <v:stroke dashstyle="solid"/>
            </v:line>
            <v:line style="position:absolute" from="4307,2837" to="4307,2977" stroked="true" strokeweight=".11pt" strokecolor="#000000">
              <v:stroke dashstyle="solid"/>
            </v:line>
            <v:line style="position:absolute" from="4306,3047" to="4308,3047" stroked="true" strokeweight=".132pt" strokecolor="#000000">
              <v:stroke dashstyle="solid"/>
            </v:line>
            <v:line style="position:absolute" from="4307,3116" to="4307,3256" stroked="true" strokeweight=".11pt" strokecolor="#000000">
              <v:stroke dashstyle="solid"/>
            </v:line>
            <v:line style="position:absolute" from="4306,3325" to="4308,3325" stroked="true" strokeweight=".132pt" strokecolor="#000000">
              <v:stroke dashstyle="solid"/>
            </v:line>
            <v:line style="position:absolute" from="4307,3395" to="4307,3553" stroked="true" strokeweight=".11pt" strokecolor="#000000">
              <v:stroke dashstyle="solid"/>
            </v:line>
            <v:shape style="position:absolute;left:4306;top:2007;width:709;height:168" coordorigin="4307,2008" coordsize="709,168" path="m5015,2175l4745,2008,4307,2008e" filled="false" stroked="true" strokeweight=".154pt" strokecolor="#000000">
              <v:path arrowok="t"/>
              <v:stroke dashstyle="solid"/>
            </v:shape>
            <v:shape style="position:absolute;left:4306;top:1706;width:1538;height:397" coordorigin="4307,1706" coordsize="1538,397" path="m4307,1706l5844,1806,5844,2103e" filled="false" stroked="true" strokeweight=".154pt" strokecolor="#000000">
              <v:path arrowok="t"/>
              <v:stroke dashstyle="solid"/>
            </v:shape>
            <v:line style="position:absolute" from="5844,3297" to="6024,3297" stroked="true" strokeweight=".154pt" strokecolor="#000000">
              <v:stroke dashstyle="solid"/>
            </v:line>
            <v:line style="position:absolute" from="5983,2173" to="5983,2632" stroked="true" strokeweight=".154pt" strokecolor="#000000">
              <v:stroke dashstyle="solid"/>
            </v:line>
            <v:line style="position:absolute" from="5595,2129" to="6024,2129" stroked="true" strokeweight=".154pt" strokecolor="#000000">
              <v:stroke dashstyle="solid"/>
            </v:line>
            <v:line style="position:absolute" from="6024,2535" to="6024,2043" stroked="true" strokeweight=".154pt" strokecolor="#000000">
              <v:stroke dashstyle="solid"/>
            </v:line>
            <v:line style="position:absolute" from="5844,1806" to="5890,1806" stroked="true" strokeweight=".11pt" strokecolor="#000000">
              <v:stroke dashstyle="solid"/>
            </v:line>
            <v:line style="position:absolute" from="5960,1806" to="5972,1806" stroked="true" strokeweight=".11pt" strokecolor="#000000">
              <v:stroke dashstyle="solid"/>
            </v:line>
            <v:line style="position:absolute" from="6041,1806" to="6053,1806" stroked="true" strokeweight=".11pt" strokecolor="#000000">
              <v:stroke dashstyle="solid"/>
            </v:line>
            <v:line style="position:absolute" from="6123,1806" to="6134,1806" stroked="true" strokeweight=".11pt" strokecolor="#000000">
              <v:stroke dashstyle="solid"/>
            </v:line>
            <v:line style="position:absolute" from="6204,1806" to="6216,1806" stroked="true" strokeweight=".11pt" strokecolor="#000000">
              <v:stroke dashstyle="solid"/>
            </v:line>
            <v:line style="position:absolute" from="6285,1806" to="6297,1806" stroked="true" strokeweight=".11pt" strokecolor="#000000">
              <v:stroke dashstyle="solid"/>
            </v:line>
            <v:line style="position:absolute" from="6367,1806" to="6379,1806" stroked="true" strokeweight=".11pt" strokecolor="#000000">
              <v:stroke dashstyle="solid"/>
            </v:line>
            <v:line style="position:absolute" from="6448,1806" to="6460,1806" stroked="true" strokeweight=".11pt" strokecolor="#000000">
              <v:stroke dashstyle="solid"/>
            </v:line>
            <v:line style="position:absolute" from="6530,1806" to="6542,1806" stroked="true" strokeweight=".11pt" strokecolor="#000000">
              <v:stroke dashstyle="solid"/>
            </v:line>
            <v:line style="position:absolute" from="6611,1806" to="6657,1806" stroked="true" strokeweight=".11pt" strokecolor="#000000">
              <v:stroke dashstyle="solid"/>
            </v:line>
            <v:shape style="position:absolute;left:5953;top:1920;width:298;height:187" coordorigin="5953,1921" coordsize="298,187" path="m5953,2107l5953,1921,6251,1921e" filled="false" stroked="true" strokeweight=".154pt" strokecolor="#000000">
              <v:path arrowok="t"/>
              <v:stroke dashstyle="solid"/>
            </v:shape>
            <v:shape style="position:absolute;left:5886;top:3259;width:10;height:38" coordorigin="5887,3259" coordsize="10,38" path="m5887,3259l5887,3297,5896,3297,5887,3259xe" filled="true" fillcolor="#000000" stroked="false">
              <v:path arrowok="t"/>
              <v:fill type="solid"/>
            </v:shape>
            <v:shape style="position:absolute;left:5886;top:3259;width:10;height:38" coordorigin="5887,3259" coordsize="10,38" path="m5896,3259l5887,3259,5896,3297,5896,3259xe" filled="true" fillcolor="#000000" stroked="false">
              <v:path arrowok="t"/>
              <v:fill type="solid"/>
            </v:shape>
            <v:shape style="position:absolute;left:5886;top:3206;width:10;height:35" coordorigin="5887,3207" coordsize="10,35" path="m5887,3207l5887,3241,5896,3241,5887,3207xe" filled="true" fillcolor="#000000" stroked="false">
              <v:path arrowok="t"/>
              <v:fill type="solid"/>
            </v:shape>
            <v:shape style="position:absolute;left:5886;top:3206;width:10;height:35" coordorigin="5887,3207" coordsize="10,35" path="m5896,3207l5887,3207,5896,3241,5896,3207xe" filled="true" fillcolor="#000000" stroked="false">
              <v:path arrowok="t"/>
              <v:fill type="solid"/>
            </v:shape>
            <v:shape style="position:absolute;left:5886;top:3154;width:10;height:35" coordorigin="5887,3154" coordsize="10,35" path="m5887,3154l5887,3189,5896,3189,5887,3154xe" filled="true" fillcolor="#000000" stroked="false">
              <v:path arrowok="t"/>
              <v:fill type="solid"/>
            </v:shape>
            <v:shape style="position:absolute;left:5886;top:3154;width:10;height:35" coordorigin="5887,3154" coordsize="10,35" path="m5896,3154l5887,3154,5896,3189,5896,3154xe" filled="true" fillcolor="#000000" stroked="false">
              <v:path arrowok="t"/>
              <v:fill type="solid"/>
            </v:shape>
            <v:shape style="position:absolute;left:5886;top:3102;width:10;height:35" coordorigin="5887,3102" coordsize="10,35" path="m5887,3102l5887,3137,5896,3137,5887,3102xe" filled="true" fillcolor="#000000" stroked="false">
              <v:path arrowok="t"/>
              <v:fill type="solid"/>
            </v:shape>
            <v:shape style="position:absolute;left:5886;top:3102;width:10;height:35" coordorigin="5887,3102" coordsize="10,35" path="m5896,3102l5887,3102,5896,3137,5896,3102xe" filled="true" fillcolor="#000000" stroked="false">
              <v:path arrowok="t"/>
              <v:fill type="solid"/>
            </v:shape>
            <v:shape style="position:absolute;left:5886;top:3049;width:10;height:36" coordorigin="5887,3050" coordsize="10,36" path="m5887,3050l5887,3085,5896,3085,5887,3050xe" filled="true" fillcolor="#000000" stroked="false">
              <v:path arrowok="t"/>
              <v:fill type="solid"/>
            </v:shape>
            <v:shape style="position:absolute;left:5886;top:3049;width:10;height:36" coordorigin="5887,3050" coordsize="10,36" path="m5896,3050l5887,3050,5896,3085,5896,3050xe" filled="true" fillcolor="#000000" stroked="false">
              <v:path arrowok="t"/>
              <v:fill type="solid"/>
            </v:shape>
            <v:shape style="position:absolute;left:5886;top:2997;width:10;height:36" coordorigin="5887,2997" coordsize="10,36" path="m5887,2997l5887,3032,5896,3032,5887,2997xe" filled="true" fillcolor="#000000" stroked="false">
              <v:path arrowok="t"/>
              <v:fill type="solid"/>
            </v:shape>
            <v:shape style="position:absolute;left:5886;top:2997;width:10;height:36" coordorigin="5887,2997" coordsize="10,36" path="m5896,2997l5887,2997,5896,3032,5896,2997xe" filled="true" fillcolor="#000000" stroked="false">
              <v:path arrowok="t"/>
              <v:fill type="solid"/>
            </v:shape>
            <v:shape style="position:absolute;left:5886;top:2945;width:10;height:36" coordorigin="5887,2945" coordsize="10,36" path="m5887,2945l5887,2980,5896,2980,5887,2945xe" filled="true" fillcolor="#000000" stroked="false">
              <v:path arrowok="t"/>
              <v:fill type="solid"/>
            </v:shape>
            <v:shape style="position:absolute;left:5886;top:2945;width:10;height:36" coordorigin="5887,2945" coordsize="10,36" path="m5896,2945l5887,2945,5896,2980,5896,2945xe" filled="true" fillcolor="#000000" stroked="false">
              <v:path arrowok="t"/>
              <v:fill type="solid"/>
            </v:shape>
            <v:shape style="position:absolute;left:5886;top:2892;width:10;height:35" coordorigin="5887,2893" coordsize="10,35" path="m5887,2893l5887,2927,5896,2927,5887,2893xe" filled="true" fillcolor="#000000" stroked="false">
              <v:path arrowok="t"/>
              <v:fill type="solid"/>
            </v:shape>
            <v:shape style="position:absolute;left:5886;top:2892;width:10;height:35" coordorigin="5887,2893" coordsize="10,35" path="m5896,2893l5887,2893,5896,2927,5896,2893xe" filled="true" fillcolor="#000000" stroked="false">
              <v:path arrowok="t"/>
              <v:fill type="solid"/>
            </v:shape>
            <v:shape style="position:absolute;left:5886;top:2840;width:10;height:35" coordorigin="5887,2841" coordsize="10,35" path="m5887,2841l5887,2875,5896,2875,5887,2841xe" filled="true" fillcolor="#000000" stroked="false">
              <v:path arrowok="t"/>
              <v:fill type="solid"/>
            </v:shape>
            <v:shape style="position:absolute;left:5886;top:2840;width:10;height:35" coordorigin="5887,2841" coordsize="10,35" path="m5896,2841l5887,2841,5896,2875,5896,2841xe" filled="true" fillcolor="#000000" stroked="false">
              <v:path arrowok="t"/>
              <v:fill type="solid"/>
            </v:shape>
            <v:shape style="position:absolute;left:5886;top:2788;width:10;height:35" coordorigin="5887,2788" coordsize="10,35" path="m5887,2788l5887,2823,5896,2823,5887,2788xe" filled="true" fillcolor="#000000" stroked="false">
              <v:path arrowok="t"/>
              <v:fill type="solid"/>
            </v:shape>
            <v:shape style="position:absolute;left:5886;top:2788;width:10;height:35" coordorigin="5887,2788" coordsize="10,35" path="m5896,2788l5887,2788,5896,2823,5896,2788xe" filled="true" fillcolor="#000000" stroked="false">
              <v:path arrowok="t"/>
              <v:fill type="solid"/>
            </v:shape>
            <v:shape style="position:absolute;left:5886;top:2736;width:10;height:35" coordorigin="5887,2736" coordsize="10,35" path="m5887,2736l5887,2771,5896,2771,5887,2736xe" filled="true" fillcolor="#000000" stroked="false">
              <v:path arrowok="t"/>
              <v:fill type="solid"/>
            </v:shape>
            <v:shape style="position:absolute;left:5886;top:2736;width:10;height:35" coordorigin="5887,2736" coordsize="10,35" path="m5896,2736l5887,2736,5896,2771,5896,2736xe" filled="true" fillcolor="#000000" stroked="false">
              <v:path arrowok="t"/>
              <v:fill type="solid"/>
            </v:shape>
            <v:shape style="position:absolute;left:5886;top:2683;width:10;height:36" coordorigin="5887,2683" coordsize="10,36" path="m5887,2683l5887,2718,5896,2718,5887,2683xe" filled="true" fillcolor="#000000" stroked="false">
              <v:path arrowok="t"/>
              <v:fill type="solid"/>
            </v:shape>
            <v:shape style="position:absolute;left:5886;top:2683;width:10;height:36" coordorigin="5887,2683" coordsize="10,36" path="m5896,2683l5887,2683,5896,2718,5896,2683xe" filled="true" fillcolor="#000000" stroked="false">
              <v:path arrowok="t"/>
              <v:fill type="solid"/>
            </v:shape>
            <v:shape style="position:absolute;left:5886;top:2631;width:10;height:36" coordorigin="5887,2631" coordsize="10,36" path="m5887,2631l5887,2666,5896,2666,5887,2631xe" filled="true" fillcolor="#000000" stroked="false">
              <v:path arrowok="t"/>
              <v:fill type="solid"/>
            </v:shape>
            <v:shape style="position:absolute;left:5886;top:2631;width:10;height:36" coordorigin="5887,2631" coordsize="10,36" path="m5896,2631l5887,2631,5896,2666,5896,2631xe" filled="true" fillcolor="#000000" stroked="false">
              <v:path arrowok="t"/>
              <v:fill type="solid"/>
            </v:shape>
            <v:shape style="position:absolute;left:5886;top:2578;width:10;height:36" coordorigin="5887,2579" coordsize="10,36" path="m5887,2579l5887,2614,5896,2614,5887,2579xe" filled="true" fillcolor="#000000" stroked="false">
              <v:path arrowok="t"/>
              <v:fill type="solid"/>
            </v:shape>
            <v:shape style="position:absolute;left:5886;top:2578;width:10;height:36" coordorigin="5887,2579" coordsize="10,36" path="m5896,2579l5887,2579,5896,2614,5896,2579xe" filled="true" fillcolor="#000000" stroked="false">
              <v:path arrowok="t"/>
              <v:fill type="solid"/>
            </v:shape>
            <v:shape style="position:absolute;left:5886;top:2526;width:10;height:35" coordorigin="5887,2527" coordsize="10,35" path="m5887,2527l5887,2561,5896,2561,5887,2527xe" filled="true" fillcolor="#000000" stroked="false">
              <v:path arrowok="t"/>
              <v:fill type="solid"/>
            </v:shape>
            <v:shape style="position:absolute;left:5886;top:2526;width:10;height:35" coordorigin="5887,2527" coordsize="10,35" path="m5896,2527l5887,2527,5896,2561,5896,2527xe" filled="true" fillcolor="#000000" stroked="false">
              <v:path arrowok="t"/>
              <v:fill type="solid"/>
            </v:shape>
            <v:shape style="position:absolute;left:5886;top:2474;width:10;height:35" coordorigin="5887,2474" coordsize="10,35" path="m5887,2474l5887,2509,5896,2509,5887,2474xe" filled="true" fillcolor="#000000" stroked="false">
              <v:path arrowok="t"/>
              <v:fill type="solid"/>
            </v:shape>
            <v:shape style="position:absolute;left:5886;top:2474;width:10;height:35" coordorigin="5887,2474" coordsize="10,35" path="m5896,2474l5887,2474,5896,2509,5896,2474xe" filled="true" fillcolor="#000000" stroked="false">
              <v:path arrowok="t"/>
              <v:fill type="solid"/>
            </v:shape>
            <v:shape style="position:absolute;left:5886;top:2422;width:10;height:35" coordorigin="5887,2422" coordsize="10,35" path="m5887,2422l5887,2457,5896,2457,5887,2422xe" filled="true" fillcolor="#000000" stroked="false">
              <v:path arrowok="t"/>
              <v:fill type="solid"/>
            </v:shape>
            <v:shape style="position:absolute;left:5886;top:2422;width:10;height:35" coordorigin="5887,2422" coordsize="10,35" path="m5896,2422l5887,2422,5896,2457,5896,2422xe" filled="true" fillcolor="#000000" stroked="false">
              <v:path arrowok="t"/>
              <v:fill type="solid"/>
            </v:shape>
            <v:shape style="position:absolute;left:5886;top:2369;width:10;height:36" coordorigin="5887,2369" coordsize="10,36" path="m5887,2369l5887,2404,5896,2404,5887,2369xe" filled="true" fillcolor="#000000" stroked="false">
              <v:path arrowok="t"/>
              <v:fill type="solid"/>
            </v:shape>
            <v:shape style="position:absolute;left:5886;top:2369;width:10;height:36" coordorigin="5887,2369" coordsize="10,36" path="m5896,2369l5887,2369,5896,2404,5896,2369xe" filled="true" fillcolor="#000000" stroked="false">
              <v:path arrowok="t"/>
              <v:fill type="solid"/>
            </v:shape>
            <v:shape style="position:absolute;left:5886;top:2317;width:10;height:36" coordorigin="5887,2317" coordsize="10,36" path="m5887,2317l5887,2352,5896,2352,5887,2317xe" filled="true" fillcolor="#000000" stroked="false">
              <v:path arrowok="t"/>
              <v:fill type="solid"/>
            </v:shape>
            <v:shape style="position:absolute;left:5886;top:2317;width:10;height:36" coordorigin="5887,2317" coordsize="10,36" path="m5896,2317l5887,2317,5896,2352,5896,2317xe" filled="true" fillcolor="#000000" stroked="false">
              <v:path arrowok="t"/>
              <v:fill type="solid"/>
            </v:shape>
            <v:shape style="position:absolute;left:5886;top:2264;width:10;height:36" coordorigin="5887,2265" coordsize="10,36" path="m5887,2265l5887,2300,5896,2300,5887,2265xe" filled="true" fillcolor="#000000" stroked="false">
              <v:path arrowok="t"/>
              <v:fill type="solid"/>
            </v:shape>
            <v:shape style="position:absolute;left:5886;top:2264;width:10;height:36" coordorigin="5887,2265" coordsize="10,36" path="m5896,2265l5887,2265,5896,2300,5896,2265xe" filled="true" fillcolor="#000000" stroked="false">
              <v:path arrowok="t"/>
              <v:fill type="solid"/>
            </v:shape>
            <v:shape style="position:absolute;left:5886;top:2212;width:10;height:35" coordorigin="5887,2213" coordsize="10,35" path="m5887,2213l5887,2247,5896,2247,5887,2213xe" filled="true" fillcolor="#000000" stroked="false">
              <v:path arrowok="t"/>
              <v:fill type="solid"/>
            </v:shape>
            <v:shape style="position:absolute;left:5886;top:2212;width:10;height:35" coordorigin="5887,2213" coordsize="10,35" path="m5896,2213l5887,2213,5896,2247,5896,2213xe" filled="true" fillcolor="#000000" stroked="false">
              <v:path arrowok="t"/>
              <v:fill type="solid"/>
            </v:shape>
            <v:shape style="position:absolute;left:5886;top:2157;width:10;height:38" coordorigin="5887,2157" coordsize="10,38" path="m5887,2157l5887,2195,5896,2195,5887,2157xe" filled="true" fillcolor="#000000" stroked="false">
              <v:path arrowok="t"/>
              <v:fill type="solid"/>
            </v:shape>
            <v:shape style="position:absolute;left:5886;top:2157;width:10;height:38" coordorigin="5887,2157" coordsize="10,38" path="m5896,2157l5887,2157,5896,2195,5896,2157xe" filled="true" fillcolor="#000000" stroked="false">
              <v:path arrowok="t"/>
              <v:fill type="solid"/>
            </v:shape>
            <v:line style="position:absolute" from="5887,2157" to="5896,2157" stroked="true" strokeweight=".11pt" strokecolor="#000000">
              <v:stroke dashstyle="solid"/>
            </v:line>
            <v:shape style="position:absolute;left:5856;top:2152;width:35;height:10" coordorigin="5856,2152" coordsize="35,10" path="m5891,2152l5856,2162,5891,2162,5891,2152xe" filled="true" fillcolor="#000000" stroked="false">
              <v:path arrowok="t"/>
              <v:fill type="solid"/>
            </v:shape>
            <v:shape style="position:absolute;left:5856;top:2152;width:35;height:10" coordorigin="5856,2152" coordsize="35,10" path="m5891,2152l5856,2152,5856,2162,5891,2152xe" filled="true" fillcolor="#000000" stroked="false">
              <v:path arrowok="t"/>
              <v:fill type="solid"/>
            </v:shape>
            <v:shape style="position:absolute;left:5804;top:2152;width:36;height:10" coordorigin="5804,2152" coordsize="36,10" path="m5839,2152l5804,2162,5839,2162,5839,2152xe" filled="true" fillcolor="#000000" stroked="false">
              <v:path arrowok="t"/>
              <v:fill type="solid"/>
            </v:shape>
            <v:shape style="position:absolute;left:5804;top:2152;width:36;height:10" coordorigin="5804,2152" coordsize="36,10" path="m5839,2152l5804,2152,5804,2162,5839,2152xe" filled="true" fillcolor="#000000" stroked="false">
              <v:path arrowok="t"/>
              <v:fill type="solid"/>
            </v:shape>
            <v:shape style="position:absolute;left:5751;top:2152;width:35;height:10" coordorigin="5752,2152" coordsize="35,10" path="m5787,2152l5752,2162,5787,2162,5787,2152xe" filled="true" fillcolor="#000000" stroked="false">
              <v:path arrowok="t"/>
              <v:fill type="solid"/>
            </v:shape>
            <v:shape style="position:absolute;left:5751;top:2152;width:35;height:10" coordorigin="5752,2152" coordsize="35,10" path="m5787,2152l5752,2152,5752,2162,5787,2152xe" filled="true" fillcolor="#000000" stroked="false">
              <v:path arrowok="t"/>
              <v:fill type="solid"/>
            </v:shape>
            <v:shape style="position:absolute;left:5699;top:2152;width:35;height:10" coordorigin="5700,2152" coordsize="35,10" path="m5734,2152l5700,2162,5734,2162,5734,2152xe" filled="true" fillcolor="#000000" stroked="false">
              <v:path arrowok="t"/>
              <v:fill type="solid"/>
            </v:shape>
            <v:shape style="position:absolute;left:5699;top:2152;width:35;height:10" coordorigin="5700,2152" coordsize="35,10" path="m5734,2152l5700,2152,5700,2162,5734,2152xe" filled="true" fillcolor="#000000" stroked="false">
              <v:path arrowok="t"/>
              <v:fill type="solid"/>
            </v:shape>
            <v:shape style="position:absolute;left:5647;top:2152;width:35;height:10" coordorigin="5647,2152" coordsize="35,10" path="m5682,2152l5647,2162,5682,2162,5682,2152xe" filled="true" fillcolor="#000000" stroked="false">
              <v:path arrowok="t"/>
              <v:fill type="solid"/>
            </v:shape>
            <v:shape style="position:absolute;left:5647;top:2152;width:35;height:10" coordorigin="5647,2152" coordsize="35,10" path="m5682,2152l5647,2152,5647,2162,5682,2152xe" filled="true" fillcolor="#000000" stroked="false">
              <v:path arrowok="t"/>
              <v:fill type="solid"/>
            </v:shape>
            <v:shape style="position:absolute;left:5595;top:2152;width:35;height:10" coordorigin="5595,2152" coordsize="35,10" path="m5630,2152l5595,2162,5630,2162,5630,2152xe" filled="true" fillcolor="#000000" stroked="false">
              <v:path arrowok="t"/>
              <v:fill type="solid"/>
            </v:shape>
            <v:shape style="position:absolute;left:5595;top:2152;width:35;height:10" coordorigin="5595,2152" coordsize="35,10" path="m5630,2152l5595,2152,5595,2162,5630,2152xe" filled="true" fillcolor="#000000" stroked="false">
              <v:path arrowok="t"/>
              <v:fill type="solid"/>
            </v:shape>
            <v:shape style="position:absolute;left:5542;top:2152;width:36;height:10" coordorigin="5542,2152" coordsize="36,10" path="m5578,2152l5542,2162,5578,2162,5578,2152xe" filled="true" fillcolor="#000000" stroked="false">
              <v:path arrowok="t"/>
              <v:fill type="solid"/>
            </v:shape>
            <v:shape style="position:absolute;left:5542;top:2152;width:36;height:10" coordorigin="5542,2152" coordsize="36,10" path="m5578,2152l5542,2152,5542,2162,5578,2152xe" filled="true" fillcolor="#000000" stroked="false">
              <v:path arrowok="t"/>
              <v:fill type="solid"/>
            </v:shape>
            <v:shape style="position:absolute;left:5490;top:2152;width:36;height:10" coordorigin="5490,2152" coordsize="36,10" path="m5525,2152l5490,2162,5525,2162,5525,2152xe" filled="true" fillcolor="#000000" stroked="false">
              <v:path arrowok="t"/>
              <v:fill type="solid"/>
            </v:shape>
            <v:shape style="position:absolute;left:5490;top:2152;width:36;height:10" coordorigin="5490,2152" coordsize="36,10" path="m5525,2152l5490,2152,5490,2162,5525,2152xe" filled="true" fillcolor="#000000" stroked="false">
              <v:path arrowok="t"/>
              <v:fill type="solid"/>
            </v:shape>
            <v:shape style="position:absolute;left:5437;top:2152;width:35;height:10" coordorigin="5438,2152" coordsize="35,10" path="m5473,2152l5438,2162,5473,2162,5473,2152xe" filled="true" fillcolor="#000000" stroked="false">
              <v:path arrowok="t"/>
              <v:fill type="solid"/>
            </v:shape>
            <v:shape style="position:absolute;left:5437;top:2152;width:35;height:10" coordorigin="5438,2152" coordsize="35,10" path="m5473,2152l5438,2152,5438,2162,5473,2152xe" filled="true" fillcolor="#000000" stroked="false">
              <v:path arrowok="t"/>
              <v:fill type="solid"/>
            </v:shape>
            <v:shape style="position:absolute;left:5385;top:2152;width:35;height:10" coordorigin="5386,2152" coordsize="35,10" path="m5420,2152l5386,2162,5420,2162,5420,2152xe" filled="true" fillcolor="#000000" stroked="false">
              <v:path arrowok="t"/>
              <v:fill type="solid"/>
            </v:shape>
            <v:shape style="position:absolute;left:5385;top:2152;width:35;height:10" coordorigin="5386,2152" coordsize="35,10" path="m5420,2152l5386,2152,5386,2162,5420,2152xe" filled="true" fillcolor="#000000" stroked="false">
              <v:path arrowok="t"/>
              <v:fill type="solid"/>
            </v:shape>
            <v:shape style="position:absolute;left:5333;top:2152;width:35;height:10" coordorigin="5333,2152" coordsize="35,10" path="m5368,2152l5333,2162,5368,2162,5368,2152xe" filled="true" fillcolor="#000000" stroked="false">
              <v:path arrowok="t"/>
              <v:fill type="solid"/>
            </v:shape>
            <v:shape style="position:absolute;left:5333;top:2152;width:35;height:10" coordorigin="5333,2152" coordsize="35,10" path="m5368,2152l5333,2152,5333,2162,5368,2152xe" filled="true" fillcolor="#000000" stroked="false">
              <v:path arrowok="t"/>
              <v:fill type="solid"/>
            </v:shape>
            <v:shape style="position:absolute;left:5281;top:2152;width:35;height:10" coordorigin="5281,2152" coordsize="35,10" path="m5316,2152l5281,2162,5316,2162,5316,2152xe" filled="true" fillcolor="#000000" stroked="false">
              <v:path arrowok="t"/>
              <v:fill type="solid"/>
            </v:shape>
            <v:shape style="position:absolute;left:5281;top:2152;width:35;height:10" coordorigin="5281,2152" coordsize="35,10" path="m5316,2152l5281,2152,5281,2162,5316,2152xe" filled="true" fillcolor="#000000" stroked="false">
              <v:path arrowok="t"/>
              <v:fill type="solid"/>
            </v:shape>
            <v:shape style="position:absolute;left:5228;top:2152;width:36;height:10" coordorigin="5228,2152" coordsize="36,10" path="m5264,2152l5228,2162,5264,2162,5264,2152xe" filled="true" fillcolor="#000000" stroked="false">
              <v:path arrowok="t"/>
              <v:fill type="solid"/>
            </v:shape>
            <v:shape style="position:absolute;left:5228;top:2152;width:36;height:10" coordorigin="5228,2152" coordsize="36,10" path="m5264,2152l5228,2152,5228,2162,5264,2152xe" filled="true" fillcolor="#000000" stroked="false">
              <v:path arrowok="t"/>
              <v:fill type="solid"/>
            </v:shape>
            <v:shape style="position:absolute;left:5176;top:2152;width:36;height:10" coordorigin="5176,2152" coordsize="36,10" path="m5211,2152l5176,2162,5211,2162,5211,2152xe" filled="true" fillcolor="#000000" stroked="false">
              <v:path arrowok="t"/>
              <v:fill type="solid"/>
            </v:shape>
            <v:shape style="position:absolute;left:5176;top:2152;width:36;height:10" coordorigin="5176,2152" coordsize="36,10" path="m5211,2152l5176,2152,5176,2162,5211,2152xe" filled="true" fillcolor="#000000" stroked="false">
              <v:path arrowok="t"/>
              <v:fill type="solid"/>
            </v:shape>
            <v:shape style="position:absolute;left:5123;top:2152;width:36;height:10" coordorigin="5124,2152" coordsize="36,10" path="m5159,2152l5124,2162,5159,2162,5159,2152xe" filled="true" fillcolor="#000000" stroked="false">
              <v:path arrowok="t"/>
              <v:fill type="solid"/>
            </v:shape>
            <v:shape style="position:absolute;left:5123;top:2152;width:36;height:10" coordorigin="5124,2152" coordsize="36,10" path="m5159,2152l5124,2152,5124,2162,5159,2152xe" filled="true" fillcolor="#000000" stroked="false">
              <v:path arrowok="t"/>
              <v:fill type="solid"/>
            </v:shape>
            <v:shape style="position:absolute;left:5071;top:2152;width:35;height:10" coordorigin="5072,2152" coordsize="35,10" path="m5106,2152l5072,2162,5106,2162,5106,2152xe" filled="true" fillcolor="#000000" stroked="false">
              <v:path arrowok="t"/>
              <v:fill type="solid"/>
            </v:shape>
            <v:shape style="position:absolute;left:5071;top:2152;width:35;height:10" coordorigin="5072,2152" coordsize="35,10" path="m5106,2152l5072,2152,5072,2162,5106,2152xe" filled="true" fillcolor="#000000" stroked="false">
              <v:path arrowok="t"/>
              <v:fill type="solid"/>
            </v:shape>
            <v:shape style="position:absolute;left:5019;top:2152;width:35;height:10" coordorigin="5019,2152" coordsize="35,10" path="m5054,2152l5019,2162,5054,2162,5054,2152xe" filled="true" fillcolor="#000000" stroked="false">
              <v:path arrowok="t"/>
              <v:fill type="solid"/>
            </v:shape>
            <v:shape style="position:absolute;left:5019;top:2152;width:35;height:10" coordorigin="5019,2152" coordsize="35,10" path="m5054,2152l5019,2152,5019,2162,5054,2152xe" filled="true" fillcolor="#000000" stroked="false">
              <v:path arrowok="t"/>
              <v:fill type="solid"/>
            </v:shape>
            <v:line style="position:absolute" from="5019,2162" to="5019,2152" stroked="true" strokeweight=".11pt" strokecolor="#000000">
              <v:stroke dashstyle="solid"/>
            </v:line>
            <v:shape style="position:absolute;left:5851;top:2098;width:40;height:10" coordorigin="5851,2098" coordsize="40,10" path="m5891,2098l5851,2108,5891,2108,5891,2098xe" filled="true" fillcolor="#000000" stroked="false">
              <v:path arrowok="t"/>
              <v:fill type="solid"/>
            </v:shape>
            <v:shape style="position:absolute;left:5851;top:2098;width:40;height:10" coordorigin="5851,2098" coordsize="40,10" path="m5891,2098l5851,2098,5851,2108,5891,2098xe" filled="true" fillcolor="#000000" stroked="false">
              <v:path arrowok="t"/>
              <v:fill type="solid"/>
            </v:shape>
            <v:shape style="position:absolute;left:5798;top:2098;width:35;height:10" coordorigin="5799,2098" coordsize="35,10" path="m5834,2098l5799,2108,5834,2108,5834,2098xe" filled="true" fillcolor="#000000" stroked="false">
              <v:path arrowok="t"/>
              <v:fill type="solid"/>
            </v:shape>
            <v:shape style="position:absolute;left:5798;top:2098;width:35;height:10" coordorigin="5799,2098" coordsize="35,10" path="m5834,2098l5799,2098,5799,2108,5834,2098xe" filled="true" fillcolor="#000000" stroked="false">
              <v:path arrowok="t"/>
              <v:fill type="solid"/>
            </v:shape>
            <v:shape style="position:absolute;left:5746;top:2098;width:36;height:10" coordorigin="5746,2098" coordsize="36,10" path="m5781,2098l5746,2108,5781,2108,5781,2098xe" filled="true" fillcolor="#000000" stroked="false">
              <v:path arrowok="t"/>
              <v:fill type="solid"/>
            </v:shape>
            <v:shape style="position:absolute;left:5746;top:2098;width:36;height:10" coordorigin="5746,2098" coordsize="36,10" path="m5781,2098l5746,2098,5746,2108,5781,2098xe" filled="true" fillcolor="#000000" stroked="false">
              <v:path arrowok="t"/>
              <v:fill type="solid"/>
            </v:shape>
            <v:shape style="position:absolute;left:5693;top:2098;width:36;height:10" coordorigin="5694,2098" coordsize="36,10" path="m5729,2098l5694,2108,5729,2108,5729,2098xe" filled="true" fillcolor="#000000" stroked="false">
              <v:path arrowok="t"/>
              <v:fill type="solid"/>
            </v:shape>
            <v:shape style="position:absolute;left:5693;top:2098;width:36;height:10" coordorigin="5694,2098" coordsize="36,10" path="m5729,2098l5694,2098,5694,2108,5729,2098xe" filled="true" fillcolor="#000000" stroked="false">
              <v:path arrowok="t"/>
              <v:fill type="solid"/>
            </v:shape>
            <v:shape style="position:absolute;left:5641;top:2098;width:36;height:10" coordorigin="5642,2098" coordsize="36,10" path="m5677,2098l5642,2108,5677,2108,5677,2098xe" filled="true" fillcolor="#000000" stroked="false">
              <v:path arrowok="t"/>
              <v:fill type="solid"/>
            </v:shape>
            <v:shape style="position:absolute;left:5641;top:2098;width:36;height:10" coordorigin="5642,2098" coordsize="36,10" path="m5677,2098l5642,2098,5642,2108,5677,2098xe" filled="true" fillcolor="#000000" stroked="false">
              <v:path arrowok="t"/>
              <v:fill type="solid"/>
            </v:shape>
            <v:shape style="position:absolute;left:5589;top:2098;width:35;height:10" coordorigin="5589,2098" coordsize="35,10" path="m5624,2098l5589,2108,5624,2108,5624,2098xe" filled="true" fillcolor="#000000" stroked="false">
              <v:path arrowok="t"/>
              <v:fill type="solid"/>
            </v:shape>
            <v:shape style="position:absolute;left:5589;top:2098;width:35;height:10" coordorigin="5589,2098" coordsize="35,10" path="m5624,2098l5589,2098,5589,2108,5624,2098xe" filled="true" fillcolor="#000000" stroked="false">
              <v:path arrowok="t"/>
              <v:fill type="solid"/>
            </v:shape>
            <v:shape style="position:absolute;left:5537;top:2098;width:35;height:10" coordorigin="5537,2098" coordsize="35,10" path="m5572,2098l5537,2108,5572,2108,5572,2098xe" filled="true" fillcolor="#000000" stroked="false">
              <v:path arrowok="t"/>
              <v:fill type="solid"/>
            </v:shape>
            <v:shape style="position:absolute;left:5537;top:2098;width:35;height:10" coordorigin="5537,2098" coordsize="35,10" path="m5572,2098l5537,2098,5537,2108,5572,2098xe" filled="true" fillcolor="#000000" stroked="false">
              <v:path arrowok="t"/>
              <v:fill type="solid"/>
            </v:shape>
            <v:shape style="position:absolute;left:5484;top:2098;width:35;height:10" coordorigin="5485,2098" coordsize="35,10" path="m5520,2098l5485,2108,5520,2108,5520,2098xe" filled="true" fillcolor="#000000" stroked="false">
              <v:path arrowok="t"/>
              <v:fill type="solid"/>
            </v:shape>
            <v:shape style="position:absolute;left:5484;top:2098;width:35;height:10" coordorigin="5485,2098" coordsize="35,10" path="m5520,2098l5485,2098,5485,2108,5520,2098xe" filled="true" fillcolor="#000000" stroked="false">
              <v:path arrowok="t"/>
              <v:fill type="solid"/>
            </v:shape>
            <v:shape style="position:absolute;left:5432;top:2098;width:35;height:10" coordorigin="5433,2098" coordsize="35,10" path="m5467,2098l5433,2108,5467,2108,5467,2098xe" filled="true" fillcolor="#000000" stroked="false">
              <v:path arrowok="t"/>
              <v:fill type="solid"/>
            </v:shape>
            <v:shape style="position:absolute;left:5432;top:2098;width:35;height:10" coordorigin="5433,2098" coordsize="35,10" path="m5467,2098l5433,2098,5433,2108,5467,2098xe" filled="true" fillcolor="#000000" stroked="false">
              <v:path arrowok="t"/>
              <v:fill type="solid"/>
            </v:shape>
            <v:shape style="position:absolute;left:5379;top:2098;width:36;height:10" coordorigin="5380,2098" coordsize="36,10" path="m5415,2098l5380,2108,5415,2108,5415,2098xe" filled="true" fillcolor="#000000" stroked="false">
              <v:path arrowok="t"/>
              <v:fill type="solid"/>
            </v:shape>
            <v:shape style="position:absolute;left:5379;top:2098;width:36;height:10" coordorigin="5380,2098" coordsize="36,10" path="m5415,2098l5380,2098,5380,2108,5415,2098xe" filled="true" fillcolor="#000000" stroked="false">
              <v:path arrowok="t"/>
              <v:fill type="solid"/>
            </v:shape>
            <v:shape style="position:absolute;left:5327;top:2098;width:36;height:10" coordorigin="5328,2098" coordsize="36,10" path="m5363,2098l5328,2108,5363,2108,5363,2098xe" filled="true" fillcolor="#000000" stroked="false">
              <v:path arrowok="t"/>
              <v:fill type="solid"/>
            </v:shape>
            <v:shape style="position:absolute;left:5327;top:2098;width:36;height:10" coordorigin="5328,2098" coordsize="36,10" path="m5363,2098l5328,2098,5328,2108,5363,2098xe" filled="true" fillcolor="#000000" stroked="false">
              <v:path arrowok="t"/>
              <v:fill type="solid"/>
            </v:shape>
            <v:shape style="position:absolute;left:5275;top:2098;width:35;height:10" coordorigin="5275,2098" coordsize="35,10" path="m5310,2098l5275,2108,5310,2108,5310,2098xe" filled="true" fillcolor="#000000" stroked="false">
              <v:path arrowok="t"/>
              <v:fill type="solid"/>
            </v:shape>
            <v:shape style="position:absolute;left:5275;top:2098;width:35;height:10" coordorigin="5275,2098" coordsize="35,10" path="m5310,2098l5275,2098,5275,2108,5310,2098xe" filled="true" fillcolor="#000000" stroked="false">
              <v:path arrowok="t"/>
              <v:fill type="solid"/>
            </v:shape>
            <v:shape style="position:absolute;left:5223;top:2098;width:35;height:10" coordorigin="5223,2098" coordsize="35,10" path="m5258,2098l5223,2108,5258,2108,5258,2098xe" filled="true" fillcolor="#000000" stroked="false">
              <v:path arrowok="t"/>
              <v:fill type="solid"/>
            </v:shape>
            <v:shape style="position:absolute;left:5223;top:2098;width:35;height:10" coordorigin="5223,2098" coordsize="35,10" path="m5258,2098l5223,2098,5223,2108,5258,2098xe" filled="true" fillcolor="#000000" stroked="false">
              <v:path arrowok="t"/>
              <v:fill type="solid"/>
            </v:shape>
            <v:shape style="position:absolute;left:5170;top:2098;width:35;height:10" coordorigin="5171,2098" coordsize="35,10" path="m5206,2098l5171,2108,5206,2108,5206,2098xe" filled="true" fillcolor="#000000" stroked="false">
              <v:path arrowok="t"/>
              <v:fill type="solid"/>
            </v:shape>
            <v:shape style="position:absolute;left:5170;top:2098;width:35;height:10" coordorigin="5171,2098" coordsize="35,10" path="m5206,2098l5171,2098,5171,2108,5206,2098xe" filled="true" fillcolor="#000000" stroked="false">
              <v:path arrowok="t"/>
              <v:fill type="solid"/>
            </v:shape>
            <v:shape style="position:absolute;left:5118;top:2098;width:35;height:10" coordorigin="5119,2098" coordsize="35,10" path="m5153,2098l5119,2108,5153,2108,5153,2098xe" filled="true" fillcolor="#000000" stroked="false">
              <v:path arrowok="t"/>
              <v:fill type="solid"/>
            </v:shape>
            <v:shape style="position:absolute;left:5118;top:2098;width:35;height:10" coordorigin="5119,2098" coordsize="35,10" path="m5153,2098l5119,2098,5119,2108,5153,2098xe" filled="true" fillcolor="#000000" stroked="false">
              <v:path arrowok="t"/>
              <v:fill type="solid"/>
            </v:shape>
            <v:shape style="position:absolute;left:5065;top:2098;width:36;height:10" coordorigin="5066,2098" coordsize="36,10" path="m5101,2098l5066,2108,5101,2108,5101,2098xe" filled="true" fillcolor="#000000" stroked="false">
              <v:path arrowok="t"/>
              <v:fill type="solid"/>
            </v:shape>
            <v:shape style="position:absolute;left:5065;top:2098;width:36;height:10" coordorigin="5066,2098" coordsize="36,10" path="m5101,2098l5066,2098,5066,2108,5101,2098xe" filled="true" fillcolor="#000000" stroked="false">
              <v:path arrowok="t"/>
              <v:fill type="solid"/>
            </v:shape>
            <v:shape style="position:absolute;left:5008;top:2098;width:41;height:10" coordorigin="5008,2098" coordsize="41,10" path="m5049,2098l5008,2108,5049,2108,5049,2098xe" filled="true" fillcolor="#000000" stroked="false">
              <v:path arrowok="t"/>
              <v:fill type="solid"/>
            </v:shape>
            <v:shape style="position:absolute;left:5008;top:2098;width:41;height:10" coordorigin="5008,2098" coordsize="41,10" path="m5049,2098l5008,2098,5008,2108,5049,2098xe" filled="true" fillcolor="#000000" stroked="false">
              <v:path arrowok="t"/>
              <v:fill type="solid"/>
            </v:shape>
            <v:line style="position:absolute" from="5008,2108" to="5008,2098" stroked="true" strokeweight=".11pt" strokecolor="#000000">
              <v:stroke dashstyle="solid"/>
            </v:line>
            <v:shape style="position:absolute;left:4980;top:2096;width:30;height:12" coordorigin="4981,2096" coordsize="30,12" path="m4981,2096l5007,2108,5010,2099,4981,2096xe" filled="true" fillcolor="#000000" stroked="false">
              <v:path arrowok="t"/>
              <v:fill type="solid"/>
            </v:shape>
            <v:shape style="position:absolute;left:4980;top:2087;width:30;height:12" coordorigin="4981,2087" coordsize="30,12" path="m4984,2087l4981,2096,5010,2099,4984,2087xe" filled="true" fillcolor="#000000" stroked="false">
              <v:path arrowok="t"/>
              <v:fill type="solid"/>
            </v:shape>
            <v:shape style="position:absolute;left:4932;top:2075;width:36;height:15" coordorigin="4933,2075" coordsize="36,15" path="m4933,2075l4965,2089,4968,2081,4933,2075xe" filled="true" fillcolor="#000000" stroked="false">
              <v:path arrowok="t"/>
              <v:fill type="solid"/>
            </v:shape>
            <v:shape style="position:absolute;left:4932;top:2066;width:36;height:15" coordorigin="4933,2067" coordsize="36,15" path="m4936,2067l4933,2075,4968,2081,4936,2067xe" filled="true" fillcolor="#000000" stroked="false">
              <v:path arrowok="t"/>
              <v:fill type="solid"/>
            </v:shape>
            <v:shape style="position:absolute;left:4884;top:2054;width:37;height:15" coordorigin="4885,2054" coordsize="37,15" path="m4885,2054l4917,2068,4921,2060,4885,2054xe" filled="true" fillcolor="#000000" stroked="false">
              <v:path arrowok="t"/>
              <v:fill type="solid"/>
            </v:shape>
            <v:shape style="position:absolute;left:4884;top:2045;width:37;height:15" coordorigin="4885,2046" coordsize="37,15" path="m4889,2046l4885,2054,4921,2060,4889,2046xe" filled="true" fillcolor="#000000" stroked="false">
              <v:path arrowok="t"/>
              <v:fill type="solid"/>
            </v:shape>
            <v:shape style="position:absolute;left:4836;top:2033;width:36;height:15" coordorigin="4837,2033" coordsize="36,15" path="m4837,2033l4869,2048,4872,2039,4837,2033xe" filled="true" fillcolor="#000000" stroked="false">
              <v:path arrowok="t"/>
              <v:fill type="solid"/>
            </v:shape>
            <v:shape style="position:absolute;left:4836;top:2024;width:36;height:15" coordorigin="4837,2025" coordsize="36,15" path="m4841,2025l4837,2033,4872,2039,4841,2025xe" filled="true" fillcolor="#000000" stroked="false">
              <v:path arrowok="t"/>
              <v:fill type="solid"/>
            </v:shape>
            <v:shape style="position:absolute;left:4788;top:2012;width:36;height:15" coordorigin="4789,2012" coordsize="36,15" path="m4789,2012l4821,2026,4824,2018,4789,2012xe" filled="true" fillcolor="#000000" stroked="false">
              <v:path arrowok="t"/>
              <v:fill type="solid"/>
            </v:shape>
            <v:shape style="position:absolute;left:4788;top:2004;width:36;height:14" coordorigin="4789,2004" coordsize="36,14" path="m4792,2004l4789,2012,4824,2018,4792,2004xe" filled="true" fillcolor="#000000" stroked="false">
              <v:path arrowok="t"/>
              <v:fill type="solid"/>
            </v:shape>
            <v:shape style="position:absolute;left:4746;top:1993;width:30;height:12" coordorigin="4747,1994" coordsize="30,12" path="m4747,1994l4773,2005,4777,1997,4747,1994xe" filled="true" fillcolor="#000000" stroked="false">
              <v:path arrowok="t"/>
              <v:fill type="solid"/>
            </v:shape>
            <v:shape style="position:absolute;left:4746;top:1985;width:30;height:12" coordorigin="4747,1986" coordsize="30,12" path="m4751,1986l4747,1994,4777,1997,4751,1986xe" filled="true" fillcolor="#000000" stroked="false">
              <v:path arrowok="t"/>
              <v:fill type="solid"/>
            </v:shape>
            <v:line style="position:absolute" from="4747,1994" to="4751,1986" stroked="true" strokeweight=".11pt" strokecolor="#000000">
              <v:stroke dashstyle="solid"/>
            </v:line>
            <v:shape style="position:absolute;left:4719;top:1985;width:30;height:10" coordorigin="4719,1985" coordsize="30,10" path="m4749,1985l4719,1994,4749,1994,4749,1985xe" filled="true" fillcolor="#000000" stroked="false">
              <v:path arrowok="t"/>
              <v:fill type="solid"/>
            </v:shape>
            <v:shape style="position:absolute;left:4719;top:1985;width:30;height:10" coordorigin="4719,1985" coordsize="30,10" path="m4749,1985l4719,1985,4719,1994,4749,1985xe" filled="true" fillcolor="#000000" stroked="false">
              <v:path arrowok="t"/>
              <v:fill type="solid"/>
            </v:shape>
            <v:shape style="position:absolute;left:4667;top:1985;width:35;height:10" coordorigin="4667,1985" coordsize="35,10" path="m4702,1985l4667,1994,4702,1994,4702,1985xe" filled="true" fillcolor="#000000" stroked="false">
              <v:path arrowok="t"/>
              <v:fill type="solid"/>
            </v:shape>
            <v:shape style="position:absolute;left:4667;top:1985;width:35;height:10" coordorigin="4667,1985" coordsize="35,10" path="m4702,1985l4667,1985,4667,1994,4702,1985xe" filled="true" fillcolor="#000000" stroked="false">
              <v:path arrowok="t"/>
              <v:fill type="solid"/>
            </v:shape>
            <v:shape style="position:absolute;left:4614;top:1985;width:35;height:10" coordorigin="4615,1985" coordsize="35,10" path="m4650,1985l4615,1994,4650,1994,4650,1985xe" filled="true" fillcolor="#000000" stroked="false">
              <v:path arrowok="t"/>
              <v:fill type="solid"/>
            </v:shape>
            <v:shape style="position:absolute;left:4614;top:1985;width:35;height:10" coordorigin="4615,1985" coordsize="35,10" path="m4650,1985l4615,1985,4615,1994,4650,1985xe" filled="true" fillcolor="#000000" stroked="false">
              <v:path arrowok="t"/>
              <v:fill type="solid"/>
            </v:shape>
            <v:shape style="position:absolute;left:4562;top:1985;width:35;height:10" coordorigin="4563,1985" coordsize="35,10" path="m4597,1985l4563,1994,4597,1994,4597,1985xe" filled="true" fillcolor="#000000" stroked="false">
              <v:path arrowok="t"/>
              <v:fill type="solid"/>
            </v:shape>
            <v:shape style="position:absolute;left:4562;top:1985;width:35;height:10" coordorigin="4563,1985" coordsize="35,10" path="m4597,1985l4563,1985,4563,1994,4597,1985xe" filled="true" fillcolor="#000000" stroked="false">
              <v:path arrowok="t"/>
              <v:fill type="solid"/>
            </v:shape>
            <v:shape style="position:absolute;left:4510;top:1985;width:36;height:10" coordorigin="4510,1985" coordsize="36,10" path="m4545,1985l4510,1994,4545,1994,4545,1985xe" filled="true" fillcolor="#000000" stroked="false">
              <v:path arrowok="t"/>
              <v:fill type="solid"/>
            </v:shape>
            <v:shape style="position:absolute;left:4510;top:1985;width:36;height:10" coordorigin="4510,1985" coordsize="36,10" path="m4545,1985l4510,1985,4510,1994,4545,1985xe" filled="true" fillcolor="#000000" stroked="false">
              <v:path arrowok="t"/>
              <v:fill type="solid"/>
            </v:shape>
            <v:shape style="position:absolute;left:4457;top:1985;width:36;height:10" coordorigin="4458,1985" coordsize="36,10" path="m4493,1985l4458,1994,4493,1994,4493,1985xe" filled="true" fillcolor="#000000" stroked="false">
              <v:path arrowok="t"/>
              <v:fill type="solid"/>
            </v:shape>
            <v:shape style="position:absolute;left:4457;top:1985;width:36;height:10" coordorigin="4458,1985" coordsize="36,10" path="m4493,1985l4458,1985,4458,1994,4493,1985xe" filled="true" fillcolor="#000000" stroked="false">
              <v:path arrowok="t"/>
              <v:fill type="solid"/>
            </v:shape>
            <v:shape style="position:absolute;left:4405;top:1985;width:36;height:10" coordorigin="4405,1985" coordsize="36,10" path="m4441,1985l4405,1994,4441,1994,4441,1985xe" filled="true" fillcolor="#000000" stroked="false">
              <v:path arrowok="t"/>
              <v:fill type="solid"/>
            </v:shape>
            <v:shape style="position:absolute;left:4405;top:1985;width:36;height:10" coordorigin="4405,1985" coordsize="36,10" path="m4441,1985l4405,1985,4405,1994,4441,1985xe" filled="true" fillcolor="#000000" stroked="false">
              <v:path arrowok="t"/>
              <v:fill type="solid"/>
            </v:shape>
            <v:shape style="position:absolute;left:4353;top:1985;width:35;height:10" coordorigin="4353,1985" coordsize="35,10" path="m4388,1985l4353,1994,4388,1994,4388,1985xe" filled="true" fillcolor="#000000" stroked="false">
              <v:path arrowok="t"/>
              <v:fill type="solid"/>
            </v:shape>
            <v:shape style="position:absolute;left:4353;top:1985;width:35;height:10" coordorigin="4353,1985" coordsize="35,10" path="m4388,1985l4353,1985,4353,1994,4388,1985xe" filled="true" fillcolor="#000000" stroked="false">
              <v:path arrowok="t"/>
              <v:fill type="solid"/>
            </v:shape>
            <v:shape style="position:absolute;left:4306;top:1985;width:29;height:10" coordorigin="4307,1985" coordsize="29,10" path="m4336,1985l4307,1994,4336,1994,4336,1985xe" filled="true" fillcolor="#000000" stroked="false">
              <v:path arrowok="t"/>
              <v:fill type="solid"/>
            </v:shape>
            <v:shape style="position:absolute;left:4306;top:1985;width:29;height:10" coordorigin="4307,1985" coordsize="29,10" path="m4336,1985l4307,1985,4307,1994,4336,1985xe" filled="true" fillcolor="#000000" stroked="false">
              <v:path arrowok="t"/>
              <v:fill type="solid"/>
            </v:shape>
            <v:line style="position:absolute" from="4307,1994" to="4307,1985" stroked="true" strokeweight=".11pt" strokecolor="#000000">
              <v:stroke dashstyle="solid"/>
            </v:line>
            <v:shape style="position:absolute;left:5967;top:1418;width:838;height:653" coordorigin="5967,1418" coordsize="838,653" path="m6804,1418l5967,1418,6264,2071e" filled="false" stroked="true" strokeweight=".11pt" strokecolor="#000000">
              <v:path arrowok="t"/>
              <v:stroke dashstyle="solid"/>
            </v:shape>
            <v:shape style="position:absolute;left:6069;top:1333;width:38;height:22" coordorigin="6070,1334" coordsize="38,22" path="m6107,1355l6097,1355,6097,1355,6107,1355xm6082,1334l6070,1335,6070,1337,6071,1344,6073,1350,6078,1355,6097,1355,6086,1350,6083,1339,6082,1334xe" filled="true" fillcolor="#000000" stroked="false">
              <v:path arrowok="t"/>
              <v:fill type="solid"/>
            </v:shape>
            <v:shape style="position:absolute;left:6106;top:1280;width:35;height:19" coordorigin="6107,1281" coordsize="35,19" path="m6135,1281l6118,1281,6128,1287,6129,1296,6129,1299,6141,1298,6141,1295,6141,1293,6140,1290,6138,1286,6137,1283,6136,1283,6135,1281xm6110,1281l6107,1281,6109,1281,6110,1281xm6118,1281l6110,1281,6118,1281,6118,1281xe" filled="true" fillcolor="#000000" stroked="false">
              <v:path arrowok="t"/>
              <v:fill type="solid"/>
            </v:shape>
            <v:shape style="position:absolute;left:6074;top:1270;width:68;height:96" coordorigin="6075,1270" coordsize="68,96" path="m6112,1270l6101,1270,6084,1276,6075,1289,6075,1305,6089,1317,6095,1319,6104,1322,6121,1325,6128,1330,6130,1332,6136,1345,6126,1353,6114,1355,6112,1355,6078,1355,6082,1359,6102,1366,6124,1364,6140,1352,6142,1330,6141,1327,6098,1308,6096,1307,6094,1306,6086,1300,6086,1292,6091,1285,6101,1281,6107,1281,6135,1281,6133,1279,6128,1274,6119,1271,6112,1270xe" filled="true" fillcolor="#000000" stroked="false">
              <v:path arrowok="t"/>
              <v:fill type="solid"/>
            </v:shape>
            <v:shape style="position:absolute;left:6168;top:1272;width:66;height:94" coordorigin="6168,1272" coordsize="66,94" path="m6196,1355l6168,1355,6170,1357,6191,1366,6212,1364,6224,1355,6218,1355,6196,1355xm6234,1272l6221,1272,6221,1345,6218,1355,6224,1355,6229,1352,6234,1329,6234,1272xe" filled="true" fillcolor="#000000" stroked="false">
              <v:path arrowok="t"/>
              <v:fill type="solid"/>
            </v:shape>
            <v:shape style="position:absolute;left:6160;top:1272;width:36;height:84" coordorigin="6161,1272" coordsize="36,84" path="m6173,1272l6161,1272,6161,1329,6161,1335,6162,1345,6167,1353,6168,1355,6196,1355,6195,1355,6178,1354,6174,1345,6173,1329,6173,1272xe" filled="true" fillcolor="#000000" stroked="false">
              <v:path arrowok="t"/>
              <v:fill type="solid"/>
            </v:shape>
            <v:shape style="position:absolute;left:6292;top:1272;width:51;height:93" coordorigin="6293,1272" coordsize="51,93" path="m6343,1272l6326,1272,6303,1336,6303,1337,6303,1340,6300,1348,6299,1349,6299,1351,6293,1365,6303,1365,6331,1287,6343,1272xe" filled="true" fillcolor="#000000" stroked="false">
              <v:path arrowok="t"/>
              <v:fill type="solid"/>
            </v:shape>
            <v:shape style="position:absolute;left:6330;top:1272;width:12;height:93" coordorigin="6331,1272" coordsize="12,93" path="m6343,1272l6331,1287,6331,1365,6343,1365,6343,1272xe" filled="true" fillcolor="#000000" stroked="false">
              <v:path arrowok="t"/>
              <v:fill type="solid"/>
            </v:shape>
            <v:shape style="position:absolute;left:6253;top:1272;width:19;height:93" coordorigin="6254,1272" coordsize="19,93" path="m6272,1272l6254,1272,6254,1365,6266,1365,6266,1286,6272,1272xe" filled="true" fillcolor="#000000" stroked="false">
              <v:path arrowok="t"/>
              <v:fill type="solid"/>
            </v:shape>
            <v:shape style="position:absolute;left:6265;top:1272;width:33;height:93" coordorigin="6266,1272" coordsize="33,93" path="m6272,1272l6266,1286,6293,1365,6299,1351,6297,1348,6297,1343,6295,1341,6294,1337,6272,1272xe" filled="true" fillcolor="#000000" stroked="false">
              <v:path arrowok="t"/>
              <v:fill type="solid"/>
            </v:shape>
            <v:rect style="position:absolute;left:6364;top:1272;width:13;height:93" filled="true" fillcolor="#000000" stroked="false">
              <v:fill type="solid"/>
            </v:rect>
            <v:shape style="position:absolute;left:6429;top:1281;width:46;height:73" coordorigin="6430,1281" coordsize="46,73" path="m6462,1281l6430,1283,6430,1283,6434,1283,6446,1285,6455,1292,6460,1302,6462,1314,6462,1320,6460,1334,6455,1344,6447,1351,6433,1354,6462,1354,6471,1339,6475,1320,6473,1301,6465,1285,6463,1283,6462,1281xe" filled="true" fillcolor="#000000" stroked="false">
              <v:path arrowok="t"/>
              <v:fill type="solid"/>
            </v:shape>
            <v:shape style="position:absolute;left:6397;top:1271;width:65;height:93" coordorigin="6398,1272" coordsize="65,93" path="m6443,1272l6436,1272,6398,1272,6398,1365,6431,1365,6441,1364,6452,1363,6460,1356,6462,1354,6410,1354,6410,1283,6430,1283,6462,1281,6460,1280,6455,1274,6443,1272xe" filled="true" fillcolor="#000000" stroked="false">
              <v:path arrowok="t"/>
              <v:fill type="solid"/>
            </v:shape>
            <v:shape style="position:absolute;left:6491;top:1272;width:70;height:93" coordorigin="6492,1272" coordsize="70,93" path="m6559,1272l6492,1272,6492,1365,6561,1365,6561,1354,6504,1354,6504,1322,6556,1322,6556,1311,6504,1311,6504,1283,6559,1283,6559,1272xe" filled="true" fillcolor="#000000" stroked="false">
              <v:path arrowok="t"/>
              <v:fill type="solid"/>
            </v:shape>
            <v:shape style="position:absolute;left:6604;top:1322;width:55;height:43" coordorigin="6605,1323" coordsize="55,43" path="m6627,1323l6620,1323,6626,1336,6632,1345,6644,1365,6660,1365,6644,1339,6640,1334,6637,1330,6631,1325,6629,1324,6627,1323xm6626,1323l6605,1323,6607,1323,6620,1323,6627,1323,6626,1323xe" filled="true" fillcolor="#000000" stroked="false">
              <v:path arrowok="t"/>
              <v:fill type="solid"/>
            </v:shape>
            <v:shape style="position:absolute;left:6619;top:1279;width:35;height:34" coordorigin="6620,1280" coordsize="35,34" path="m6646,1280l6620,1282,6624,1282,6633,1283,6640,1287,6639,1298,6639,1301,6637,1310,6628,1312,6620,1313,6646,1313,6648,1311,6654,1304,6653,1291,6648,1283,6648,1282,6646,1280xe" filled="true" fillcolor="#000000" stroked="false">
              <v:path arrowok="t"/>
              <v:fill type="solid"/>
            </v:shape>
            <v:shape style="position:absolute;left:6577;top:1272;width:69;height:93" coordorigin="6578,1272" coordsize="69,93" path="m6625,1272l6578,1272,6578,1365,6590,1365,6590,1323,6605,1323,6646,1313,6590,1313,6590,1282,6620,1282,6646,1280,6644,1278,6638,1273,6633,1272,6625,1272xe" filled="true" fillcolor="#000000" stroked="false">
              <v:path arrowok="t"/>
              <v:fill type="solid"/>
            </v:shape>
            <v:shape style="position:absolute;left:6667;top:1279;width:45;height:77" coordorigin="6668,1280" coordsize="45,77" path="m6684,1280l6682,1281,6671,1298,6668,1320,6672,1340,6684,1357,6712,1355,6709,1355,6687,1343,6680,1318,6687,1293,6710,1281,6712,1281,6684,1280xe" filled="true" fillcolor="#000000" stroked="false">
              <v:path arrowok="t"/>
              <v:fill type="solid"/>
            </v:shape>
            <v:shape style="position:absolute;left:6683;top:1269;width:71;height:94" coordorigin="6684,1270" coordsize="71,94" path="m6702,1270l6693,1273,6686,1278,6684,1280,6712,1281,6736,1292,6744,1318,6736,1344,6712,1355,6684,1357,6686,1359,6730,1363,6754,1334,6752,1295,6718,1270,6711,1270,6702,1270xe" filled="true" fillcolor="#000000" stroked="false">
              <v:path arrowok="t"/>
              <v:fill type="solid"/>
            </v:shape>
            <v:line style="position:absolute" from="5803,3758" to="5902,3758" stroked="true" strokeweight=".11pt" strokecolor="#000000">
              <v:stroke dashstyle="solid"/>
            </v:line>
            <v:line style="position:absolute" from="5970,3758" to="5973,3758" stroked="true" strokeweight=".11pt" strokecolor="#000000">
              <v:stroke dashstyle="solid"/>
            </v:line>
            <v:line style="position:absolute" from="6041,3758" to="6181,3758" stroked="true" strokeweight=".11pt" strokecolor="#000000">
              <v:stroke dashstyle="solid"/>
            </v:line>
            <v:line style="position:absolute" from="6249,3758" to="6252,3758" stroked="true" strokeweight=".11pt" strokecolor="#000000">
              <v:stroke dashstyle="solid"/>
            </v:line>
            <v:line style="position:absolute" from="6321,3758" to="6460,3758" stroked="true" strokeweight=".11pt" strokecolor="#000000">
              <v:stroke dashstyle="solid"/>
            </v:line>
            <v:line style="position:absolute" from="6528,3758" to="6531,3758" stroked="true" strokeweight=".11pt" strokecolor="#000000">
              <v:stroke dashstyle="solid"/>
            </v:line>
            <v:line style="position:absolute" from="6599,3758" to="6699,3758" stroked="true" strokeweight=".11pt" strokecolor="#000000">
              <v:stroke dashstyle="solid"/>
            </v:line>
            <v:shape style="position:absolute;left:5983;top:2631;width:41;height:1127" coordorigin="5983,2632" coordsize="41,1127" path="m6024,3758l6024,2688,5983,2632e" filled="false" stroked="true" strokeweight=".154pt" strokecolor="#000000">
              <v:path arrowok="t"/>
              <v:stroke dashstyle="solid"/>
            </v:shape>
            <v:shape style="position:absolute;left:6657;top:2174;width:1537;height:1122" coordorigin="6657,2175" coordsize="1537,1122" path="m7486,2175l6657,2175,6657,3297,8194,3297e" filled="false" stroked="true" strokeweight=".154pt" strokecolor="#000000">
              <v:path arrowok="t"/>
              <v:stroke dashstyle="solid"/>
            </v:shape>
            <v:line style="position:absolute" from="8194,1424" to="8194,1581" stroked="true" strokeweight=".11pt" strokecolor="#000000">
              <v:stroke dashstyle="solid"/>
            </v:line>
            <v:line style="position:absolute" from="8193,1651" to="8196,1651" stroked="true" strokeweight=".132pt" strokecolor="#000000">
              <v:stroke dashstyle="solid"/>
            </v:line>
            <v:line style="position:absolute" from="8194,1721" to="8194,1860" stroked="true" strokeweight=".11pt" strokecolor="#000000">
              <v:stroke dashstyle="solid"/>
            </v:line>
            <v:line style="position:absolute" from="8193,1930" to="8196,1930" stroked="true" strokeweight=".132pt" strokecolor="#000000">
              <v:stroke dashstyle="solid"/>
            </v:line>
            <v:line style="position:absolute" from="8194,2000" to="8194,2139" stroked="true" strokeweight=".11pt" strokecolor="#000000">
              <v:stroke dashstyle="solid"/>
            </v:line>
            <v:line style="position:absolute" from="8193,2209" to="8196,2209" stroked="true" strokeweight=".132pt" strokecolor="#000000">
              <v:stroke dashstyle="solid"/>
            </v:line>
            <v:line style="position:absolute" from="8194,2279" to="8194,2419" stroked="true" strokeweight=".11pt" strokecolor="#000000">
              <v:stroke dashstyle="solid"/>
            </v:line>
            <v:line style="position:absolute" from="8193,2488" to="8196,2488" stroked="true" strokeweight=".132pt" strokecolor="#000000">
              <v:stroke dashstyle="solid"/>
            </v:line>
            <v:line style="position:absolute" from="8194,2558" to="8194,2697" stroked="true" strokeweight=".11pt" strokecolor="#000000">
              <v:stroke dashstyle="solid"/>
            </v:line>
            <v:line style="position:absolute" from="8193,2767" to="8196,2767" stroked="true" strokeweight=".132pt" strokecolor="#000000">
              <v:stroke dashstyle="solid"/>
            </v:line>
            <v:line style="position:absolute" from="8194,2837" to="8194,2977" stroked="true" strokeweight=".11pt" strokecolor="#000000">
              <v:stroke dashstyle="solid"/>
            </v:line>
            <v:line style="position:absolute" from="8193,3047" to="8196,3047" stroked="true" strokeweight=".132pt" strokecolor="#000000">
              <v:stroke dashstyle="solid"/>
            </v:line>
            <v:line style="position:absolute" from="8194,3116" to="8194,3256" stroked="true" strokeweight=".11pt" strokecolor="#000000">
              <v:stroke dashstyle="solid"/>
            </v:line>
            <v:line style="position:absolute" from="8193,3325" to="8196,3325" stroked="true" strokeweight=".132pt" strokecolor="#000000">
              <v:stroke dashstyle="solid"/>
            </v:line>
            <v:line style="position:absolute" from="8194,3395" to="8194,3553" stroked="true" strokeweight=".11pt" strokecolor="#000000">
              <v:stroke dashstyle="solid"/>
            </v:line>
            <v:line style="position:absolute" from="6518,2173" to="6518,2632" stroked="true" strokeweight=".154pt" strokecolor="#000000">
              <v:stroke dashstyle="solid"/>
            </v:line>
            <v:shape style="position:absolute;left:7485;top:2007;width:709;height:168" coordorigin="7486,2008" coordsize="709,168" path="m7486,2175l7756,2008,8194,2008e" filled="false" stroked="true" strokeweight=".154pt" strokecolor="#000000">
              <v:path arrowok="t"/>
              <v:stroke dashstyle="solid"/>
            </v:shape>
            <v:shape style="position:absolute;left:6657;top:1706;width:1538;height:397" coordorigin="6657,1706" coordsize="1538,397" path="m8194,1706l6657,1806,6657,2103e" filled="false" stroked="true" strokeweight=".154pt" strokecolor="#000000">
              <v:path arrowok="t"/>
              <v:stroke dashstyle="solid"/>
            </v:shape>
            <v:line style="position:absolute" from="6657,3297" to="6477,3297" stroked="true" strokeweight=".154pt" strokecolor="#000000">
              <v:stroke dashstyle="solid"/>
            </v:line>
            <v:line style="position:absolute" from="6906,2129" to="6477,2129" stroked="true" strokeweight=".154pt" strokecolor="#000000">
              <v:stroke dashstyle="solid"/>
            </v:line>
            <v:line style="position:absolute" from="6477,2535" to="6477,2043" stroked="true" strokeweight=".154pt" strokecolor="#000000">
              <v:stroke dashstyle="solid"/>
            </v:line>
            <v:shape style="position:absolute;left:6250;top:1920;width:297;height:187" coordorigin="6251,1921" coordsize="297,187" path="m6548,2107l6548,1921,6251,1921e" filled="false" stroked="true" strokeweight=".154pt" strokecolor="#000000">
              <v:path arrowok="t"/>
              <v:stroke dashstyle="solid"/>
            </v:shape>
            <v:shape style="position:absolute;left:6605;top:3259;width:10;height:38" coordorigin="6605,3259" coordsize="10,38" path="m6605,3259l6605,3297,6614,3297,6605,3259xe" filled="true" fillcolor="#000000" stroked="false">
              <v:path arrowok="t"/>
              <v:fill type="solid"/>
            </v:shape>
            <v:shape style="position:absolute;left:6605;top:3259;width:10;height:38" coordorigin="6605,3259" coordsize="10,38" path="m6614,3259l6605,3259,6614,3297,6614,3259xe" filled="true" fillcolor="#000000" stroked="false">
              <v:path arrowok="t"/>
              <v:fill type="solid"/>
            </v:shape>
            <v:shape style="position:absolute;left:6605;top:3206;width:10;height:35" coordorigin="6605,3207" coordsize="10,35" path="m6605,3207l6605,3241,6614,3241,6605,3207xe" filled="true" fillcolor="#000000" stroked="false">
              <v:path arrowok="t"/>
              <v:fill type="solid"/>
            </v:shape>
            <v:shape style="position:absolute;left:6605;top:3206;width:10;height:35" coordorigin="6605,3207" coordsize="10,35" path="m6614,3207l6605,3207,6614,3241,6614,3207xe" filled="true" fillcolor="#000000" stroked="false">
              <v:path arrowok="t"/>
              <v:fill type="solid"/>
            </v:shape>
            <v:shape style="position:absolute;left:6605;top:3154;width:10;height:35" coordorigin="6605,3154" coordsize="10,35" path="m6605,3154l6605,3189,6614,3189,6605,3154xe" filled="true" fillcolor="#000000" stroked="false">
              <v:path arrowok="t"/>
              <v:fill type="solid"/>
            </v:shape>
            <v:shape style="position:absolute;left:6605;top:3154;width:10;height:35" coordorigin="6605,3154" coordsize="10,35" path="m6614,3154l6605,3154,6614,3189,6614,3154xe" filled="true" fillcolor="#000000" stroked="false">
              <v:path arrowok="t"/>
              <v:fill type="solid"/>
            </v:shape>
            <v:shape style="position:absolute;left:6605;top:3102;width:10;height:35" coordorigin="6605,3102" coordsize="10,35" path="m6605,3102l6605,3137,6614,3137,6605,3102xe" filled="true" fillcolor="#000000" stroked="false">
              <v:path arrowok="t"/>
              <v:fill type="solid"/>
            </v:shape>
            <v:shape style="position:absolute;left:6605;top:3102;width:10;height:35" coordorigin="6605,3102" coordsize="10,35" path="m6614,3102l6605,3102,6614,3137,6614,3102xe" filled="true" fillcolor="#000000" stroked="false">
              <v:path arrowok="t"/>
              <v:fill type="solid"/>
            </v:shape>
            <v:shape style="position:absolute;left:6605;top:3049;width:10;height:36" coordorigin="6605,3050" coordsize="10,36" path="m6605,3050l6605,3085,6614,3085,6605,3050xe" filled="true" fillcolor="#000000" stroked="false">
              <v:path arrowok="t"/>
              <v:fill type="solid"/>
            </v:shape>
            <v:shape style="position:absolute;left:6605;top:3049;width:10;height:36" coordorigin="6605,3050" coordsize="10,36" path="m6614,3050l6605,3050,6614,3085,6614,3050xe" filled="true" fillcolor="#000000" stroked="false">
              <v:path arrowok="t"/>
              <v:fill type="solid"/>
            </v:shape>
            <v:shape style="position:absolute;left:6605;top:2997;width:10;height:36" coordorigin="6605,2997" coordsize="10,36" path="m6605,2997l6605,3032,6614,3032,6605,2997xe" filled="true" fillcolor="#000000" stroked="false">
              <v:path arrowok="t"/>
              <v:fill type="solid"/>
            </v:shape>
            <v:shape style="position:absolute;left:6605;top:2997;width:10;height:36" coordorigin="6605,2997" coordsize="10,36" path="m6614,2997l6605,2997,6614,3032,6614,2997xe" filled="true" fillcolor="#000000" stroked="false">
              <v:path arrowok="t"/>
              <v:fill type="solid"/>
            </v:shape>
            <v:shape style="position:absolute;left:6605;top:2945;width:10;height:36" coordorigin="6605,2945" coordsize="10,36" path="m6605,2945l6605,2980,6614,2980,6605,2945xe" filled="true" fillcolor="#000000" stroked="false">
              <v:path arrowok="t"/>
              <v:fill type="solid"/>
            </v:shape>
            <v:shape style="position:absolute;left:6605;top:2945;width:10;height:36" coordorigin="6605,2945" coordsize="10,36" path="m6614,2945l6605,2945,6614,2980,6614,2945xe" filled="true" fillcolor="#000000" stroked="false">
              <v:path arrowok="t"/>
              <v:fill type="solid"/>
            </v:shape>
            <v:shape style="position:absolute;left:6605;top:2892;width:10;height:35" coordorigin="6605,2893" coordsize="10,35" path="m6605,2893l6605,2927,6614,2927,6605,2893xe" filled="true" fillcolor="#000000" stroked="false">
              <v:path arrowok="t"/>
              <v:fill type="solid"/>
            </v:shape>
            <v:shape style="position:absolute;left:6605;top:2892;width:10;height:35" coordorigin="6605,2893" coordsize="10,35" path="m6614,2893l6605,2893,6614,2927,6614,2893xe" filled="true" fillcolor="#000000" stroked="false">
              <v:path arrowok="t"/>
              <v:fill type="solid"/>
            </v:shape>
            <v:shape style="position:absolute;left:6605;top:2840;width:10;height:35" coordorigin="6605,2841" coordsize="10,35" path="m6605,2841l6605,2875,6614,2875,6605,2841xe" filled="true" fillcolor="#000000" stroked="false">
              <v:path arrowok="t"/>
              <v:fill type="solid"/>
            </v:shape>
            <v:shape style="position:absolute;left:6605;top:2840;width:10;height:35" coordorigin="6605,2841" coordsize="10,35" path="m6614,2841l6605,2841,6614,2875,6614,2841xe" filled="true" fillcolor="#000000" stroked="false">
              <v:path arrowok="t"/>
              <v:fill type="solid"/>
            </v:shape>
            <v:shape style="position:absolute;left:6605;top:2788;width:10;height:35" coordorigin="6605,2788" coordsize="10,35" path="m6605,2788l6605,2823,6614,2823,6605,2788xe" filled="true" fillcolor="#000000" stroked="false">
              <v:path arrowok="t"/>
              <v:fill type="solid"/>
            </v:shape>
            <v:shape style="position:absolute;left:6605;top:2788;width:10;height:35" coordorigin="6605,2788" coordsize="10,35" path="m6614,2788l6605,2788,6614,2823,6614,2788xe" filled="true" fillcolor="#000000" stroked="false">
              <v:path arrowok="t"/>
              <v:fill type="solid"/>
            </v:shape>
            <v:shape style="position:absolute;left:6605;top:2736;width:10;height:35" coordorigin="6605,2736" coordsize="10,35" path="m6605,2736l6605,2771,6614,2771,6605,2736xe" filled="true" fillcolor="#000000" stroked="false">
              <v:path arrowok="t"/>
              <v:fill type="solid"/>
            </v:shape>
            <v:shape style="position:absolute;left:6605;top:2736;width:10;height:35" coordorigin="6605,2736" coordsize="10,35" path="m6614,2736l6605,2736,6614,2771,6614,2736xe" filled="true" fillcolor="#000000" stroked="false">
              <v:path arrowok="t"/>
              <v:fill type="solid"/>
            </v:shape>
            <v:shape style="position:absolute;left:6605;top:2683;width:10;height:36" coordorigin="6605,2683" coordsize="10,36" path="m6605,2683l6605,2718,6614,2718,6605,2683xe" filled="true" fillcolor="#000000" stroked="false">
              <v:path arrowok="t"/>
              <v:fill type="solid"/>
            </v:shape>
            <v:shape style="position:absolute;left:6605;top:2683;width:10;height:36" coordorigin="6605,2683" coordsize="10,36" path="m6614,2683l6605,2683,6614,2718,6614,2683xe" filled="true" fillcolor="#000000" stroked="false">
              <v:path arrowok="t"/>
              <v:fill type="solid"/>
            </v:shape>
            <v:shape style="position:absolute;left:6605;top:2631;width:10;height:36" coordorigin="6605,2631" coordsize="10,36" path="m6605,2631l6605,2666,6614,2666,6605,2631xe" filled="true" fillcolor="#000000" stroked="false">
              <v:path arrowok="t"/>
              <v:fill type="solid"/>
            </v:shape>
            <v:shape style="position:absolute;left:6605;top:2631;width:10;height:36" coordorigin="6605,2631" coordsize="10,36" path="m6614,2631l6605,2631,6614,2666,6614,2631xe" filled="true" fillcolor="#000000" stroked="false">
              <v:path arrowok="t"/>
              <v:fill type="solid"/>
            </v:shape>
            <v:shape style="position:absolute;left:6605;top:2578;width:10;height:36" coordorigin="6605,2579" coordsize="10,36" path="m6605,2579l6605,2614,6614,2614,6605,2579xe" filled="true" fillcolor="#000000" stroked="false">
              <v:path arrowok="t"/>
              <v:fill type="solid"/>
            </v:shape>
            <v:shape style="position:absolute;left:6605;top:2578;width:10;height:36" coordorigin="6605,2579" coordsize="10,36" path="m6614,2579l6605,2579,6614,2614,6614,2579xe" filled="true" fillcolor="#000000" stroked="false">
              <v:path arrowok="t"/>
              <v:fill type="solid"/>
            </v:shape>
            <v:shape style="position:absolute;left:6605;top:2526;width:10;height:35" coordorigin="6605,2527" coordsize="10,35" path="m6605,2527l6605,2561,6614,2561,6605,2527xe" filled="true" fillcolor="#000000" stroked="false">
              <v:path arrowok="t"/>
              <v:fill type="solid"/>
            </v:shape>
            <v:shape style="position:absolute;left:6605;top:2526;width:10;height:35" coordorigin="6605,2527" coordsize="10,35" path="m6614,2527l6605,2527,6614,2561,6614,2527xe" filled="true" fillcolor="#000000" stroked="false">
              <v:path arrowok="t"/>
              <v:fill type="solid"/>
            </v:shape>
            <v:shape style="position:absolute;left:6605;top:2474;width:10;height:35" coordorigin="6605,2474" coordsize="10,35" path="m6605,2474l6605,2509,6614,2509,6605,2474xe" filled="true" fillcolor="#000000" stroked="false">
              <v:path arrowok="t"/>
              <v:fill type="solid"/>
            </v:shape>
            <v:shape style="position:absolute;left:6605;top:2474;width:10;height:35" coordorigin="6605,2474" coordsize="10,35" path="m6614,2474l6605,2474,6614,2509,6614,2474xe" filled="true" fillcolor="#000000" stroked="false">
              <v:path arrowok="t"/>
              <v:fill type="solid"/>
            </v:shape>
            <v:shape style="position:absolute;left:6605;top:2422;width:10;height:35" coordorigin="6605,2422" coordsize="10,35" path="m6605,2422l6605,2457,6614,2457,6605,2422xe" filled="true" fillcolor="#000000" stroked="false">
              <v:path arrowok="t"/>
              <v:fill type="solid"/>
            </v:shape>
            <v:shape style="position:absolute;left:6605;top:2422;width:10;height:35" coordorigin="6605,2422" coordsize="10,35" path="m6614,2422l6605,2422,6614,2457,6614,2422xe" filled="true" fillcolor="#000000" stroked="false">
              <v:path arrowok="t"/>
              <v:fill type="solid"/>
            </v:shape>
            <v:shape style="position:absolute;left:6605;top:2369;width:10;height:36" coordorigin="6605,2369" coordsize="10,36" path="m6605,2369l6605,2404,6614,2404,6605,2369xe" filled="true" fillcolor="#000000" stroked="false">
              <v:path arrowok="t"/>
              <v:fill type="solid"/>
            </v:shape>
            <v:shape style="position:absolute;left:6605;top:2369;width:10;height:36" coordorigin="6605,2369" coordsize="10,36" path="m6614,2369l6605,2369,6614,2404,6614,2369xe" filled="true" fillcolor="#000000" stroked="false">
              <v:path arrowok="t"/>
              <v:fill type="solid"/>
            </v:shape>
            <v:shape style="position:absolute;left:6605;top:2317;width:10;height:36" coordorigin="6605,2317" coordsize="10,36" path="m6605,2317l6605,2352,6614,2352,6605,2317xe" filled="true" fillcolor="#000000" stroked="false">
              <v:path arrowok="t"/>
              <v:fill type="solid"/>
            </v:shape>
            <v:shape style="position:absolute;left:6605;top:2317;width:10;height:36" coordorigin="6605,2317" coordsize="10,36" path="m6614,2317l6605,2317,6614,2352,6614,2317xe" filled="true" fillcolor="#000000" stroked="false">
              <v:path arrowok="t"/>
              <v:fill type="solid"/>
            </v:shape>
            <v:shape style="position:absolute;left:6605;top:2264;width:10;height:36" coordorigin="6605,2265" coordsize="10,36" path="m6605,2265l6605,2300,6614,2300,6605,2265xe" filled="true" fillcolor="#000000" stroked="false">
              <v:path arrowok="t"/>
              <v:fill type="solid"/>
            </v:shape>
            <v:shape style="position:absolute;left:6605;top:2264;width:10;height:36" coordorigin="6605,2265" coordsize="10,36" path="m6614,2265l6605,2265,6614,2300,6614,2265xe" filled="true" fillcolor="#000000" stroked="false">
              <v:path arrowok="t"/>
              <v:fill type="solid"/>
            </v:shape>
            <v:shape style="position:absolute;left:6605;top:2212;width:10;height:35" coordorigin="6605,2213" coordsize="10,35" path="m6605,2213l6605,2247,6614,2247,6605,2213xe" filled="true" fillcolor="#000000" stroked="false">
              <v:path arrowok="t"/>
              <v:fill type="solid"/>
            </v:shape>
            <v:shape style="position:absolute;left:6605;top:2212;width:10;height:35" coordorigin="6605,2213" coordsize="10,35" path="m6614,2213l6605,2213,6614,2247,6614,2213xe" filled="true" fillcolor="#000000" stroked="false">
              <v:path arrowok="t"/>
              <v:fill type="solid"/>
            </v:shape>
            <v:shape style="position:absolute;left:6605;top:2157;width:10;height:38" coordorigin="6605,2157" coordsize="10,38" path="m6605,2157l6605,2195,6614,2195,6605,2157xe" filled="true" fillcolor="#000000" stroked="false">
              <v:path arrowok="t"/>
              <v:fill type="solid"/>
            </v:shape>
            <v:shape style="position:absolute;left:6605;top:2157;width:10;height:38" coordorigin="6605,2157" coordsize="10,38" path="m6614,2157l6605,2157,6614,2195,6614,2157xe" filled="true" fillcolor="#000000" stroked="false">
              <v:path arrowok="t"/>
              <v:fill type="solid"/>
            </v:shape>
            <v:line style="position:absolute" from="6605,2157" to="6614,2157" stroked="true" strokeweight=".11pt" strokecolor="#000000">
              <v:stroke dashstyle="solid"/>
            </v:line>
            <v:shape style="position:absolute;left:6610;top:2152;width:35;height:10" coordorigin="6610,2152" coordsize="35,10" path="m6645,2152l6610,2152,6610,2162,6645,2152xe" filled="true" fillcolor="#000000" stroked="false">
              <v:path arrowok="t"/>
              <v:fill type="solid"/>
            </v:shape>
            <v:shape style="position:absolute;left:6610;top:2152;width:35;height:10" coordorigin="6610,2152" coordsize="35,10" path="m6645,2152l6610,2162,6645,2162,6645,2152xe" filled="true" fillcolor="#000000" stroked="false">
              <v:path arrowok="t"/>
              <v:fill type="solid"/>
            </v:shape>
            <v:shape style="position:absolute;left:6662;top:2152;width:35;height:10" coordorigin="6662,2152" coordsize="35,10" path="m6697,2152l6662,2152,6662,2162,6697,2152xe" filled="true" fillcolor="#000000" stroked="false">
              <v:path arrowok="t"/>
              <v:fill type="solid"/>
            </v:shape>
            <v:shape style="position:absolute;left:6662;top:2152;width:35;height:10" coordorigin="6662,2152" coordsize="35,10" path="m6697,2152l6662,2162,6697,2162,6697,2152xe" filled="true" fillcolor="#000000" stroked="false">
              <v:path arrowok="t"/>
              <v:fill type="solid"/>
            </v:shape>
            <v:shape style="position:absolute;left:6714;top:2152;width:35;height:10" coordorigin="6715,2152" coordsize="35,10" path="m6749,2152l6715,2152,6715,2162,6749,2152xe" filled="true" fillcolor="#000000" stroked="false">
              <v:path arrowok="t"/>
              <v:fill type="solid"/>
            </v:shape>
            <v:shape style="position:absolute;left:6714;top:2152;width:35;height:10" coordorigin="6715,2152" coordsize="35,10" path="m6749,2152l6715,2162,6749,2162,6749,2152xe" filled="true" fillcolor="#000000" stroked="false">
              <v:path arrowok="t"/>
              <v:fill type="solid"/>
            </v:shape>
            <v:shape style="position:absolute;left:6766;top:2152;width:35;height:10" coordorigin="6767,2152" coordsize="35,10" path="m6801,2152l6767,2152,6767,2162,6801,2152xe" filled="true" fillcolor="#000000" stroked="false">
              <v:path arrowok="t"/>
              <v:fill type="solid"/>
            </v:shape>
            <v:shape style="position:absolute;left:6766;top:2152;width:35;height:10" coordorigin="6767,2152" coordsize="35,10" path="m6801,2152l6767,2162,6801,2162,6801,2152xe" filled="true" fillcolor="#000000" stroked="false">
              <v:path arrowok="t"/>
              <v:fill type="solid"/>
            </v:shape>
            <v:shape style="position:absolute;left:6819;top:2152;width:35;height:10" coordorigin="6819,2152" coordsize="35,10" path="m6854,2152l6819,2152,6819,2162,6854,2152xe" filled="true" fillcolor="#000000" stroked="false">
              <v:path arrowok="t"/>
              <v:fill type="solid"/>
            </v:shape>
            <v:shape style="position:absolute;left:6819;top:2152;width:35;height:10" coordorigin="6819,2152" coordsize="35,10" path="m6854,2152l6819,2162,6854,2162,6854,2152xe" filled="true" fillcolor="#000000" stroked="false">
              <v:path arrowok="t"/>
              <v:fill type="solid"/>
            </v:shape>
            <v:shape style="position:absolute;left:6871;top:2152;width:36;height:10" coordorigin="6871,2152" coordsize="36,10" path="m6906,2152l6871,2152,6871,2162,6906,2152xe" filled="true" fillcolor="#000000" stroked="false">
              <v:path arrowok="t"/>
              <v:fill type="solid"/>
            </v:shape>
            <v:shape style="position:absolute;left:6871;top:2152;width:36;height:10" coordorigin="6871,2152" coordsize="36,10" path="m6906,2152l6871,2162,6906,2162,6906,2152xe" filled="true" fillcolor="#000000" stroked="false">
              <v:path arrowok="t"/>
              <v:fill type="solid"/>
            </v:shape>
            <v:shape style="position:absolute;left:6923;top:2152;width:36;height:10" coordorigin="6924,2152" coordsize="36,10" path="m6959,2152l6924,2152,6924,2162,6959,2152xe" filled="true" fillcolor="#000000" stroked="false">
              <v:path arrowok="t"/>
              <v:fill type="solid"/>
            </v:shape>
            <v:shape style="position:absolute;left:6923;top:2152;width:36;height:10" coordorigin="6924,2152" coordsize="36,10" path="m6959,2152l6924,2162,6959,2162,6959,2152xe" filled="true" fillcolor="#000000" stroked="false">
              <v:path arrowok="t"/>
              <v:fill type="solid"/>
            </v:shape>
            <v:shape style="position:absolute;left:6976;top:2152;width:35;height:10" coordorigin="6976,2152" coordsize="35,10" path="m7011,2152l6976,2152,6976,2162,7011,2152xe" filled="true" fillcolor="#000000" stroked="false">
              <v:path arrowok="t"/>
              <v:fill type="solid"/>
            </v:shape>
            <v:shape style="position:absolute;left:6976;top:2152;width:35;height:10" coordorigin="6976,2152" coordsize="35,10" path="m7011,2152l6976,2162,7011,2162,7011,2152xe" filled="true" fillcolor="#000000" stroked="false">
              <v:path arrowok="t"/>
              <v:fill type="solid"/>
            </v:shape>
            <v:shape style="position:absolute;left:7028;top:2152;width:35;height:10" coordorigin="7029,2152" coordsize="35,10" path="m7063,2152l7029,2152,7029,2162,7063,2152xe" filled="true" fillcolor="#000000" stroked="false">
              <v:path arrowok="t"/>
              <v:fill type="solid"/>
            </v:shape>
            <v:shape style="position:absolute;left:7028;top:2152;width:35;height:10" coordorigin="7029,2152" coordsize="35,10" path="m7063,2152l7029,2162,7063,2162,7063,2152xe" filled="true" fillcolor="#000000" stroked="false">
              <v:path arrowok="t"/>
              <v:fill type="solid"/>
            </v:shape>
            <v:shape style="position:absolute;left:7080;top:2152;width:35;height:10" coordorigin="7081,2152" coordsize="35,10" path="m7115,2152l7081,2152,7081,2162,7115,2152xe" filled="true" fillcolor="#000000" stroked="false">
              <v:path arrowok="t"/>
              <v:fill type="solid"/>
            </v:shape>
            <v:shape style="position:absolute;left:7080;top:2152;width:35;height:10" coordorigin="7081,2152" coordsize="35,10" path="m7115,2152l7081,2162,7115,2162,7115,2152xe" filled="true" fillcolor="#000000" stroked="false">
              <v:path arrowok="t"/>
              <v:fill type="solid"/>
            </v:shape>
            <v:shape style="position:absolute;left:7133;top:2152;width:35;height:10" coordorigin="7133,2152" coordsize="35,10" path="m7168,2152l7133,2152,7133,2162,7168,2152xe" filled="true" fillcolor="#000000" stroked="false">
              <v:path arrowok="t"/>
              <v:fill type="solid"/>
            </v:shape>
            <v:shape style="position:absolute;left:7133;top:2152;width:35;height:10" coordorigin="7133,2152" coordsize="35,10" path="m7168,2152l7133,2162,7168,2162,7168,2152xe" filled="true" fillcolor="#000000" stroked="false">
              <v:path arrowok="t"/>
              <v:fill type="solid"/>
            </v:shape>
            <v:shape style="position:absolute;left:7185;top:2152;width:36;height:10" coordorigin="7185,2152" coordsize="36,10" path="m7220,2152l7185,2152,7185,2162,7220,2152xe" filled="true" fillcolor="#000000" stroked="false">
              <v:path arrowok="t"/>
              <v:fill type="solid"/>
            </v:shape>
            <v:shape style="position:absolute;left:7185;top:2152;width:36;height:10" coordorigin="7185,2152" coordsize="36,10" path="m7220,2152l7185,2162,7220,2162,7220,2152xe" filled="true" fillcolor="#000000" stroked="false">
              <v:path arrowok="t"/>
              <v:fill type="solid"/>
            </v:shape>
            <v:shape style="position:absolute;left:7237;top:2152;width:36;height:10" coordorigin="7238,2152" coordsize="36,10" path="m7273,2152l7238,2152,7238,2162,7273,2152xe" filled="true" fillcolor="#000000" stroked="false">
              <v:path arrowok="t"/>
              <v:fill type="solid"/>
            </v:shape>
            <v:shape style="position:absolute;left:7237;top:2152;width:36;height:10" coordorigin="7238,2152" coordsize="36,10" path="m7273,2152l7238,2162,7273,2162,7273,2152xe" filled="true" fillcolor="#000000" stroked="false">
              <v:path arrowok="t"/>
              <v:fill type="solid"/>
            </v:shape>
            <v:shape style="position:absolute;left:7289;top:2152;width:36;height:10" coordorigin="7290,2152" coordsize="36,10" path="m7325,2152l7290,2152,7290,2162,7325,2152xe" filled="true" fillcolor="#000000" stroked="false">
              <v:path arrowok="t"/>
              <v:fill type="solid"/>
            </v:shape>
            <v:shape style="position:absolute;left:7289;top:2152;width:36;height:10" coordorigin="7290,2152" coordsize="36,10" path="m7325,2152l7290,2162,7325,2162,7325,2152xe" filled="true" fillcolor="#000000" stroked="false">
              <v:path arrowok="t"/>
              <v:fill type="solid"/>
            </v:shape>
            <v:shape style="position:absolute;left:7342;top:2152;width:35;height:10" coordorigin="7343,2152" coordsize="35,10" path="m7377,2152l7343,2152,7343,2162,7377,2152xe" filled="true" fillcolor="#000000" stroked="false">
              <v:path arrowok="t"/>
              <v:fill type="solid"/>
            </v:shape>
            <v:shape style="position:absolute;left:7342;top:2152;width:35;height:10" coordorigin="7343,2152" coordsize="35,10" path="m7377,2152l7343,2162,7377,2162,7377,2152xe" filled="true" fillcolor="#000000" stroked="false">
              <v:path arrowok="t"/>
              <v:fill type="solid"/>
            </v:shape>
            <v:shape style="position:absolute;left:7394;top:2152;width:35;height:10" coordorigin="7395,2152" coordsize="35,10" path="m7429,2152l7395,2152,7395,2162,7429,2152xe" filled="true" fillcolor="#000000" stroked="false">
              <v:path arrowok="t"/>
              <v:fill type="solid"/>
            </v:shape>
            <v:shape style="position:absolute;left:7394;top:2152;width:35;height:10" coordorigin="7395,2152" coordsize="35,10" path="m7429,2152l7395,2162,7429,2162,7429,2152xe" filled="true" fillcolor="#000000" stroked="false">
              <v:path arrowok="t"/>
              <v:fill type="solid"/>
            </v:shape>
            <v:shape style="position:absolute;left:7447;top:2152;width:35;height:10" coordorigin="7447,2152" coordsize="35,10" path="m7482,2152l7447,2152,7447,2162,7482,2152xe" filled="true" fillcolor="#000000" stroked="false">
              <v:path arrowok="t"/>
              <v:fill type="solid"/>
            </v:shape>
            <v:shape style="position:absolute;left:7447;top:2152;width:35;height:10" coordorigin="7447,2152" coordsize="35,10" path="m7482,2152l7447,2162,7482,2162,7482,2152xe" filled="true" fillcolor="#000000" stroked="false">
              <v:path arrowok="t"/>
              <v:fill type="solid"/>
            </v:shape>
            <v:line style="position:absolute" from="7482,2152" to="7482,2162" stroked="true" strokeweight=".11pt" strokecolor="#000000">
              <v:stroke dashstyle="solid"/>
            </v:line>
            <v:shape style="position:absolute;left:6610;top:2098;width:40;height:10" coordorigin="6610,2098" coordsize="40,10" path="m6650,2098l6610,2098,6610,2108,6650,2098xe" filled="true" fillcolor="#000000" stroked="false">
              <v:path arrowok="t"/>
              <v:fill type="solid"/>
            </v:shape>
            <v:shape style="position:absolute;left:6610;top:2098;width:40;height:10" coordorigin="6610,2098" coordsize="40,10" path="m6650,2098l6610,2108,6650,2108,6650,2098xe" filled="true" fillcolor="#000000" stroked="false">
              <v:path arrowok="t"/>
              <v:fill type="solid"/>
            </v:shape>
            <v:shape style="position:absolute;left:6667;top:2098;width:35;height:10" coordorigin="6668,2098" coordsize="35,10" path="m6702,2098l6668,2098,6668,2108,6702,2098xe" filled="true" fillcolor="#000000" stroked="false">
              <v:path arrowok="t"/>
              <v:fill type="solid"/>
            </v:shape>
            <v:shape style="position:absolute;left:6667;top:2098;width:35;height:10" coordorigin="6668,2098" coordsize="35,10" path="m6702,2098l6668,2108,6702,2108,6702,2098xe" filled="true" fillcolor="#000000" stroked="false">
              <v:path arrowok="t"/>
              <v:fill type="solid"/>
            </v:shape>
            <v:shape style="position:absolute;left:6719;top:2098;width:36;height:10" coordorigin="6720,2098" coordsize="36,10" path="m6755,2098l6720,2098,6720,2108,6755,2098xe" filled="true" fillcolor="#000000" stroked="false">
              <v:path arrowok="t"/>
              <v:fill type="solid"/>
            </v:shape>
            <v:shape style="position:absolute;left:6719;top:2098;width:36;height:10" coordorigin="6720,2098" coordsize="36,10" path="m6755,2098l6720,2108,6755,2108,6755,2098xe" filled="true" fillcolor="#000000" stroked="false">
              <v:path arrowok="t"/>
              <v:fill type="solid"/>
            </v:shape>
            <v:shape style="position:absolute;left:6772;top:2098;width:36;height:10" coordorigin="6772,2098" coordsize="36,10" path="m6807,2098l6772,2098,6772,2108,6807,2098xe" filled="true" fillcolor="#000000" stroked="false">
              <v:path arrowok="t"/>
              <v:fill type="solid"/>
            </v:shape>
            <v:shape style="position:absolute;left:6772;top:2098;width:36;height:10" coordorigin="6772,2098" coordsize="36,10" path="m6807,2098l6772,2108,6807,2108,6807,2098xe" filled="true" fillcolor="#000000" stroked="false">
              <v:path arrowok="t"/>
              <v:fill type="solid"/>
            </v:shape>
            <v:shape style="position:absolute;left:6824;top:2098;width:35;height:10" coordorigin="6825,2098" coordsize="35,10" path="m6859,2098l6825,2098,6825,2108,6859,2098xe" filled="true" fillcolor="#000000" stroked="false">
              <v:path arrowok="t"/>
              <v:fill type="solid"/>
            </v:shape>
            <v:shape style="position:absolute;left:6824;top:2098;width:35;height:10" coordorigin="6825,2098" coordsize="35,10" path="m6859,2098l6825,2108,6859,2108,6859,2098xe" filled="true" fillcolor="#000000" stroked="false">
              <v:path arrowok="t"/>
              <v:fill type="solid"/>
            </v:shape>
            <v:shape style="position:absolute;left:6877;top:2098;width:35;height:10" coordorigin="6877,2098" coordsize="35,10" path="m6912,2098l6877,2098,6877,2108,6912,2098xe" filled="true" fillcolor="#000000" stroked="false">
              <v:path arrowok="t"/>
              <v:fill type="solid"/>
            </v:shape>
            <v:shape style="position:absolute;left:6877;top:2098;width:35;height:10" coordorigin="6877,2098" coordsize="35,10" path="m6912,2098l6877,2108,6912,2108,6912,2098xe" filled="true" fillcolor="#000000" stroked="false">
              <v:path arrowok="t"/>
              <v:fill type="solid"/>
            </v:shape>
            <v:shape style="position:absolute;left:6929;top:2098;width:35;height:10" coordorigin="6929,2098" coordsize="35,10" path="m6964,2098l6929,2098,6929,2108,6964,2098xe" filled="true" fillcolor="#000000" stroked="false">
              <v:path arrowok="t"/>
              <v:fill type="solid"/>
            </v:shape>
            <v:shape style="position:absolute;left:6929;top:2098;width:35;height:10" coordorigin="6929,2098" coordsize="35,10" path="m6964,2098l6929,2108,6964,2108,6964,2098xe" filled="true" fillcolor="#000000" stroked="false">
              <v:path arrowok="t"/>
              <v:fill type="solid"/>
            </v:shape>
            <v:shape style="position:absolute;left:6981;top:2098;width:35;height:10" coordorigin="6982,2098" coordsize="35,10" path="m7016,2098l6982,2098,6982,2108,7016,2098xe" filled="true" fillcolor="#000000" stroked="false">
              <v:path arrowok="t"/>
              <v:fill type="solid"/>
            </v:shape>
            <v:shape style="position:absolute;left:6981;top:2098;width:35;height:10" coordorigin="6982,2098" coordsize="35,10" path="m7016,2098l6982,2108,7016,2108,7016,2098xe" filled="true" fillcolor="#000000" stroked="false">
              <v:path arrowok="t"/>
              <v:fill type="solid"/>
            </v:shape>
            <v:shape style="position:absolute;left:7033;top:2098;width:36;height:10" coordorigin="7034,2098" coordsize="36,10" path="m7069,2098l7034,2098,7034,2108,7069,2098xe" filled="true" fillcolor="#000000" stroked="false">
              <v:path arrowok="t"/>
              <v:fill type="solid"/>
            </v:shape>
            <v:shape style="position:absolute;left:7033;top:2098;width:36;height:10" coordorigin="7034,2098" coordsize="36,10" path="m7069,2098l7034,2108,7069,2108,7069,2098xe" filled="true" fillcolor="#000000" stroked="false">
              <v:path arrowok="t"/>
              <v:fill type="solid"/>
            </v:shape>
            <v:shape style="position:absolute;left:7086;top:2098;width:36;height:10" coordorigin="7086,2098" coordsize="36,10" path="m7121,2098l7086,2098,7086,2108,7121,2098xe" filled="true" fillcolor="#000000" stroked="false">
              <v:path arrowok="t"/>
              <v:fill type="solid"/>
            </v:shape>
            <v:shape style="position:absolute;left:7086;top:2098;width:36;height:10" coordorigin="7086,2098" coordsize="36,10" path="m7121,2098l7086,2108,7121,2108,7121,2098xe" filled="true" fillcolor="#000000" stroked="false">
              <v:path arrowok="t"/>
              <v:fill type="solid"/>
            </v:shape>
            <v:shape style="position:absolute;left:7138;top:2098;width:36;height:10" coordorigin="7138,2098" coordsize="36,10" path="m7173,2098l7138,2098,7138,2108,7173,2098xe" filled="true" fillcolor="#000000" stroked="false">
              <v:path arrowok="t"/>
              <v:fill type="solid"/>
            </v:shape>
            <v:shape style="position:absolute;left:7138;top:2098;width:36;height:10" coordorigin="7138,2098" coordsize="36,10" path="m7173,2098l7138,2108,7173,2108,7173,2098xe" filled="true" fillcolor="#000000" stroked="false">
              <v:path arrowok="t"/>
              <v:fill type="solid"/>
            </v:shape>
            <v:shape style="position:absolute;left:7191;top:2098;width:35;height:10" coordorigin="7191,2098" coordsize="35,10" path="m7226,2098l7191,2098,7191,2108,7226,2098xe" filled="true" fillcolor="#000000" stroked="false">
              <v:path arrowok="t"/>
              <v:fill type="solid"/>
            </v:shape>
            <v:shape style="position:absolute;left:7191;top:2098;width:35;height:10" coordorigin="7191,2098" coordsize="35,10" path="m7226,2098l7191,2108,7226,2108,7226,2098xe" filled="true" fillcolor="#000000" stroked="false">
              <v:path arrowok="t"/>
              <v:fill type="solid"/>
            </v:shape>
            <v:shape style="position:absolute;left:7243;top:2098;width:35;height:10" coordorigin="7243,2098" coordsize="35,10" path="m7278,2098l7243,2098,7243,2108,7278,2098xe" filled="true" fillcolor="#000000" stroked="false">
              <v:path arrowok="t"/>
              <v:fill type="solid"/>
            </v:shape>
            <v:shape style="position:absolute;left:7243;top:2098;width:35;height:10" coordorigin="7243,2098" coordsize="35,10" path="m7278,2098l7243,2108,7278,2108,7278,2098xe" filled="true" fillcolor="#000000" stroked="false">
              <v:path arrowok="t"/>
              <v:fill type="solid"/>
            </v:shape>
            <v:shape style="position:absolute;left:7295;top:2098;width:35;height:10" coordorigin="7296,2098" coordsize="35,10" path="m7330,2098l7296,2098,7296,2108,7330,2098xe" filled="true" fillcolor="#000000" stroked="false">
              <v:path arrowok="t"/>
              <v:fill type="solid"/>
            </v:shape>
            <v:shape style="position:absolute;left:7295;top:2098;width:35;height:10" coordorigin="7296,2098" coordsize="35,10" path="m7330,2098l7296,2108,7330,2108,7330,2098xe" filled="true" fillcolor="#000000" stroked="false">
              <v:path arrowok="t"/>
              <v:fill type="solid"/>
            </v:shape>
            <v:shape style="position:absolute;left:7347;top:2098;width:36;height:10" coordorigin="7348,2098" coordsize="36,10" path="m7383,2098l7348,2098,7348,2108,7383,2098xe" filled="true" fillcolor="#000000" stroked="false">
              <v:path arrowok="t"/>
              <v:fill type="solid"/>
            </v:shape>
            <v:shape style="position:absolute;left:7347;top:2098;width:36;height:10" coordorigin="7348,2098" coordsize="36,10" path="m7383,2098l7348,2108,7383,2108,7383,2098xe" filled="true" fillcolor="#000000" stroked="false">
              <v:path arrowok="t"/>
              <v:fill type="solid"/>
            </v:shape>
            <v:shape style="position:absolute;left:7400;top:2098;width:36;height:10" coordorigin="7400,2098" coordsize="36,10" path="m7435,2098l7400,2098,7400,2108,7435,2098xe" filled="true" fillcolor="#000000" stroked="false">
              <v:path arrowok="t"/>
              <v:fill type="solid"/>
            </v:shape>
            <v:shape style="position:absolute;left:7400;top:2098;width:36;height:10" coordorigin="7400,2098" coordsize="36,10" path="m7435,2098l7400,2108,7435,2108,7435,2098xe" filled="true" fillcolor="#000000" stroked="false">
              <v:path arrowok="t"/>
              <v:fill type="solid"/>
            </v:shape>
            <v:shape style="position:absolute;left:7452;top:2098;width:41;height:10" coordorigin="7452,2098" coordsize="41,10" path="m7493,2098l7452,2098,7452,2108,7493,2098xe" filled="true" fillcolor="#000000" stroked="false">
              <v:path arrowok="t"/>
              <v:fill type="solid"/>
            </v:shape>
            <v:shape style="position:absolute;left:7452;top:2098;width:41;height:10" coordorigin="7452,2098" coordsize="41,10" path="m7493,2098l7452,2108,7493,2108,7493,2098xe" filled="true" fillcolor="#000000" stroked="false">
              <v:path arrowok="t"/>
              <v:fill type="solid"/>
            </v:shape>
            <v:line style="position:absolute" from="7493,2098" to="7493,2108" stroked="true" strokeweight=".11pt" strokecolor="#000000">
              <v:stroke dashstyle="solid"/>
            </v:line>
            <v:shape style="position:absolute;left:7490;top:2087;width:26;height:21" coordorigin="7491,2087" coordsize="26,21" path="m7517,2087l7491,2099,7494,2108,7517,2087xe" filled="true" fillcolor="#000000" stroked="false">
              <v:path arrowok="t"/>
              <v:fill type="solid"/>
            </v:shape>
            <v:shape style="position:absolute;left:7494;top:2087;width:26;height:21" coordorigin="7494,2087" coordsize="26,21" path="m7517,2087l7494,2108,7520,2096,7517,2087xe" filled="true" fillcolor="#000000" stroked="false">
              <v:path arrowok="t"/>
              <v:fill type="solid"/>
            </v:shape>
            <v:shape style="position:absolute;left:7532;top:2066;width:33;height:23" coordorigin="7533,2067" coordsize="33,23" path="m7565,2067l7533,2081,7537,2089,7565,2067xe" filled="true" fillcolor="#000000" stroked="false">
              <v:path arrowok="t"/>
              <v:fill type="solid"/>
            </v:shape>
            <v:shape style="position:absolute;left:7536;top:2066;width:33;height:23" coordorigin="7537,2067" coordsize="33,23" path="m7565,2067l7537,2089,7569,2075,7565,2067xe" filled="true" fillcolor="#000000" stroked="false">
              <v:path arrowok="t"/>
              <v:fill type="solid"/>
            </v:shape>
            <v:shape style="position:absolute;left:7580;top:2045;width:33;height:23" coordorigin="7581,2046" coordsize="33,23" path="m7613,2046l7581,2060,7584,2068,7613,2046xe" filled="true" fillcolor="#000000" stroked="false">
              <v:path arrowok="t"/>
              <v:fill type="solid"/>
            </v:shape>
            <v:shape style="position:absolute;left:7584;top:2045;width:33;height:23" coordorigin="7584,2046" coordsize="33,23" path="m7613,2046l7584,2068,7617,2054,7613,2046xe" filled="true" fillcolor="#000000" stroked="false">
              <v:path arrowok="t"/>
              <v:fill type="solid"/>
            </v:shape>
            <v:shape style="position:absolute;left:7628;top:2024;width:32;height:23" coordorigin="7629,2025" coordsize="32,23" path="m7660,2025l7629,2039,7632,2048,7660,2025xe" filled="true" fillcolor="#000000" stroked="false">
              <v:path arrowok="t"/>
              <v:fill type="solid"/>
            </v:shape>
            <v:shape style="position:absolute;left:7632;top:2024;width:33;height:23" coordorigin="7632,2025" coordsize="33,23" path="m7660,2025l7632,2048,7664,2033,7660,2025xe" filled="true" fillcolor="#000000" stroked="false">
              <v:path arrowok="t"/>
              <v:fill type="solid"/>
            </v:shape>
            <v:shape style="position:absolute;left:7676;top:2004;width:33;height:23" coordorigin="7677,2004" coordsize="33,23" path="m7709,2004l7677,2018,7680,2026,7709,2004xe" filled="true" fillcolor="#000000" stroked="false">
              <v:path arrowok="t"/>
              <v:fill type="solid"/>
            </v:shape>
            <v:shape style="position:absolute;left:7680;top:2004;width:33;height:23" coordorigin="7680,2004" coordsize="33,23" path="m7709,2004l7680,2026,7712,2012,7709,2004xe" filled="true" fillcolor="#000000" stroked="false">
              <v:path arrowok="t"/>
              <v:fill type="solid"/>
            </v:shape>
            <v:shape style="position:absolute;left:7724;top:1985;width:26;height:20" coordorigin="7725,1986" coordsize="26,20" path="m7750,1986l7725,1997,7729,2005,7750,1986xe" filled="true" fillcolor="#000000" stroked="false">
              <v:path arrowok="t"/>
              <v:fill type="solid"/>
            </v:shape>
            <v:shape style="position:absolute;left:7728;top:1985;width:26;height:20" coordorigin="7729,1986" coordsize="26,20" path="m7751,1986l7729,2005,7754,1994,7751,1986xe" filled="true" fillcolor="#000000" stroked="false">
              <v:path arrowok="t"/>
              <v:fill type="solid"/>
            </v:shape>
            <v:line style="position:absolute" from="7750,1986" to="7754,1994" stroked="true" strokeweight=".11pt" strokecolor="#000000">
              <v:stroke dashstyle="solid"/>
            </v:line>
            <v:shape style="position:absolute;left:7752;top:1985;width:30;height:10" coordorigin="7752,1985" coordsize="30,10" path="m7782,1985l7752,1985,7752,1994,7782,1985xe" filled="true" fillcolor="#000000" stroked="false">
              <v:path arrowok="t"/>
              <v:fill type="solid"/>
            </v:shape>
            <v:shape style="position:absolute;left:7752;top:1985;width:30;height:10" coordorigin="7752,1985" coordsize="30,10" path="m7782,1985l7752,1994,7782,1994,7782,1985xe" filled="true" fillcolor="#000000" stroked="false">
              <v:path arrowok="t"/>
              <v:fill type="solid"/>
            </v:shape>
            <v:shape style="position:absolute;left:7799;top:1985;width:35;height:10" coordorigin="7799,1985" coordsize="35,10" path="m7834,1985l7799,1985,7799,1994,7834,1985xe" filled="true" fillcolor="#000000" stroked="false">
              <v:path arrowok="t"/>
              <v:fill type="solid"/>
            </v:shape>
            <v:shape style="position:absolute;left:7799;top:1985;width:35;height:10" coordorigin="7799,1985" coordsize="35,10" path="m7834,1985l7799,1994,7834,1994,7834,1985xe" filled="true" fillcolor="#000000" stroked="false">
              <v:path arrowok="t"/>
              <v:fill type="solid"/>
            </v:shape>
            <v:shape style="position:absolute;left:7851;top:1985;width:35;height:10" coordorigin="7851,1985" coordsize="35,10" path="m7886,1985l7851,1985,7851,1994,7886,1985xe" filled="true" fillcolor="#000000" stroked="false">
              <v:path arrowok="t"/>
              <v:fill type="solid"/>
            </v:shape>
            <v:shape style="position:absolute;left:7851;top:1985;width:35;height:10" coordorigin="7851,1985" coordsize="35,10" path="m7886,1985l7851,1994,7886,1994,7886,1985xe" filled="true" fillcolor="#000000" stroked="false">
              <v:path arrowok="t"/>
              <v:fill type="solid"/>
            </v:shape>
            <v:shape style="position:absolute;left:7903;top:1985;width:36;height:10" coordorigin="7904,1985" coordsize="36,10" path="m7939,1985l7904,1985,7904,1994,7939,1985xe" filled="true" fillcolor="#000000" stroked="false">
              <v:path arrowok="t"/>
              <v:fill type="solid"/>
            </v:shape>
            <v:shape style="position:absolute;left:7903;top:1985;width:36;height:10" coordorigin="7904,1985" coordsize="36,10" path="m7939,1985l7904,1994,7939,1994,7939,1985xe" filled="true" fillcolor="#000000" stroked="false">
              <v:path arrowok="t"/>
              <v:fill type="solid"/>
            </v:shape>
            <v:shape style="position:absolute;left:7956;top:1985;width:36;height:10" coordorigin="7956,1985" coordsize="36,10" path="m7991,1985l7956,1985,7956,1994,7991,1985xe" filled="true" fillcolor="#000000" stroked="false">
              <v:path arrowok="t"/>
              <v:fill type="solid"/>
            </v:shape>
            <v:shape style="position:absolute;left:7956;top:1985;width:36;height:10" coordorigin="7956,1985" coordsize="36,10" path="m7991,1985l7956,1994,7991,1994,7991,1985xe" filled="true" fillcolor="#000000" stroked="false">
              <v:path arrowok="t"/>
              <v:fill type="solid"/>
            </v:shape>
            <v:shape style="position:absolute;left:8008;top:1985;width:36;height:10" coordorigin="8008,1985" coordsize="36,10" path="m8043,1985l8008,1985,8008,1994,8043,1985xe" filled="true" fillcolor="#000000" stroked="false">
              <v:path arrowok="t"/>
              <v:fill type="solid"/>
            </v:shape>
            <v:shape style="position:absolute;left:8008;top:1985;width:36;height:10" coordorigin="8008,1985" coordsize="36,10" path="m8043,1985l8008,1994,8043,1994,8043,1985xe" filled="true" fillcolor="#000000" stroked="false">
              <v:path arrowok="t"/>
              <v:fill type="solid"/>
            </v:shape>
            <v:shape style="position:absolute;left:8060;top:1985;width:35;height:10" coordorigin="8061,1985" coordsize="35,10" path="m8096,1985l8061,1985,8061,1994,8096,1985xe" filled="true" fillcolor="#000000" stroked="false">
              <v:path arrowok="t"/>
              <v:fill type="solid"/>
            </v:shape>
            <v:shape style="position:absolute;left:8060;top:1985;width:35;height:10" coordorigin="8061,1985" coordsize="35,10" path="m8096,1985l8061,1994,8096,1994,8096,1985xe" filled="true" fillcolor="#000000" stroked="false">
              <v:path arrowok="t"/>
              <v:fill type="solid"/>
            </v:shape>
            <v:shape style="position:absolute;left:8113;top:1985;width:35;height:10" coordorigin="8113,1985" coordsize="35,10" path="m8148,1985l8113,1985,8113,1994,8148,1985xe" filled="true" fillcolor="#000000" stroked="false">
              <v:path arrowok="t"/>
              <v:fill type="solid"/>
            </v:shape>
            <v:shape style="position:absolute;left:8113;top:1985;width:35;height:10" coordorigin="8113,1985" coordsize="35,10" path="m8148,1985l8113,1994,8148,1994,8148,1985xe" filled="true" fillcolor="#000000" stroked="false">
              <v:path arrowok="t"/>
              <v:fill type="solid"/>
            </v:shape>
            <v:shape style="position:absolute;left:8165;top:1985;width:29;height:10" coordorigin="8165,1985" coordsize="29,10" path="m8194,1985l8165,1985,8165,1994,8194,1985xe" filled="true" fillcolor="#000000" stroked="false">
              <v:path arrowok="t"/>
              <v:fill type="solid"/>
            </v:shape>
            <v:shape style="position:absolute;left:8165;top:1985;width:29;height:10" coordorigin="8165,1985" coordsize="29,10" path="m8194,1985l8165,1994,8194,1994,8194,1985xe" filled="true" fillcolor="#000000" stroked="false">
              <v:path arrowok="t"/>
              <v:fill type="solid"/>
            </v:shape>
            <v:line style="position:absolute" from="8194,1985" to="8194,1994" stroked="true" strokeweight=".11pt" strokecolor="#000000">
              <v:stroke dashstyle="solid"/>
            </v:line>
            <v:shape style="position:absolute;left:6477;top:2631;width:41;height:1127" coordorigin="6477,2632" coordsize="41,1127" path="m6477,3758l6477,2688,6518,2632e" filled="false" stroked="true" strokeweight=".154pt" strokecolor="#000000">
              <v:path arrowok="t"/>
              <v:stroke dashstyle="solid"/>
            </v:shape>
            <v:shape style="position:absolute;left:4306;top:2174;width:1538;height:1122" coordorigin="4307,2175" coordsize="1538,1122" path="m5844,2175l4307,3297,5844,3297,5844,2175xe" filled="true" fillcolor="#808080" stroked="false">
              <v:path arrowok="t"/>
              <v:fill type="solid"/>
            </v:shape>
            <v:shape style="position:absolute;left:6657;top:2174;width:1538;height:1122" coordorigin="6657,2175" coordsize="1538,1122" path="m6657,2175l6657,3297,8194,3297,6657,2175xe" filled="true" fillcolor="#808080" stroked="false">
              <v:path arrowok="t"/>
              <v:fill type="solid"/>
            </v:shape>
            <v:shape style="position:absolute;left:4306;top:2174;width:1537;height:1122" coordorigin="4307,2175" coordsize="1537,1122" path="m5844,2175l5015,2175,4307,3297,5844,2175xe" filled="true" fillcolor="#808080" stroked="false">
              <v:path arrowok="t"/>
              <v:fill type="solid"/>
            </v:shape>
            <v:shape style="position:absolute;left:6657;top:2174;width:1537;height:1122" coordorigin="6657,2175" coordsize="1537,1122" path="m7486,2175l6657,2175,8194,3297,7486,2175xe" filled="true" fillcolor="#808080" stroked="false">
              <v:path arrowok="t"/>
              <v:fill type="solid"/>
            </v:shape>
            <v:shape style="position:absolute;left:7485;top:2007;width:709;height:1290" coordorigin="7486,2008" coordsize="709,1290" path="m8194,2008l7486,2175,8194,3297,8194,2008xe" filled="true" fillcolor="#808080" stroked="false">
              <v:path arrowok="t"/>
              <v:fill type="solid"/>
            </v:shape>
            <v:shape style="position:absolute;left:4306;top:2007;width:709;height:168" coordorigin="4307,2008" coordsize="709,168" path="m4745,2008l4307,2008,5015,2175,4745,2008xe" filled="true" fillcolor="#808080" stroked="false">
              <v:path arrowok="t"/>
              <v:fill type="solid"/>
            </v:shape>
            <v:shape style="position:absolute;left:4306;top:2007;width:709;height:1290" coordorigin="4307,2008" coordsize="709,1290" path="m4307,2008l4307,3297,5015,2175,4307,2008xe" filled="true" fillcolor="#808080" stroked="false">
              <v:path arrowok="t"/>
              <v:fill type="solid"/>
            </v:shape>
            <v:shape style="position:absolute;left:7485;top:2007;width:709;height:168" coordorigin="7486,2008" coordsize="709,168" path="m8194,2008l7756,2008,7486,2175,8194,2008xe" filled="true" fillcolor="#808080" stroked="false">
              <v:path arrowok="t"/>
              <v:fill type="solid"/>
            </v:shape>
            <w10:wrap type="topAndBottom"/>
          </v:group>
        </w:pict>
      </w:r>
      <w:r>
        <w:rPr>
          <w:sz w:val="20"/>
        </w:rPr>
        <w:t>El elemento que sirve de soporte de la </w:t>
      </w:r>
      <w:r>
        <w:rPr>
          <w:i/>
          <w:sz w:val="20"/>
        </w:rPr>
        <w:t>impermeabilización </w:t>
      </w:r>
      <w:r>
        <w:rPr>
          <w:sz w:val="20"/>
        </w:rPr>
        <w:t>debe rebajarse alrededor de los sumideros o en todo el perímetro de los canalones (Véase la figura 2.14) lo suficiente para que después de haberse dispuesto el </w:t>
      </w:r>
      <w:r>
        <w:rPr>
          <w:i/>
          <w:sz w:val="20"/>
        </w:rPr>
        <w:t>impermeabilizante </w:t>
      </w:r>
      <w:r>
        <w:rPr>
          <w:sz w:val="20"/>
        </w:rPr>
        <w:t>siga existiendo una pendiente adecuada en el sentido de la</w:t>
      </w:r>
      <w:r>
        <w:rPr>
          <w:spacing w:val="-3"/>
          <w:sz w:val="20"/>
        </w:rPr>
        <w:t> </w:t>
      </w:r>
      <w:r>
        <w:rPr>
          <w:sz w:val="20"/>
        </w:rPr>
        <w:t>evacuación.</w:t>
      </w:r>
    </w:p>
    <w:p>
      <w:pPr>
        <w:spacing w:line="190" w:lineRule="exact" w:before="0"/>
        <w:ind w:left="2545" w:right="0" w:firstLine="0"/>
        <w:jc w:val="left"/>
        <w:rPr>
          <w:b/>
          <w:sz w:val="18"/>
        </w:rPr>
      </w:pPr>
      <w:r>
        <w:rPr>
          <w:b/>
          <w:sz w:val="18"/>
        </w:rPr>
        <w:t>Figura 2.14 Rebaje del soporte alrededor de los sumideros</w:t>
      </w:r>
    </w:p>
    <w:p>
      <w:pPr>
        <w:pStyle w:val="ListParagraph"/>
        <w:numPr>
          <w:ilvl w:val="0"/>
          <w:numId w:val="57"/>
        </w:numPr>
        <w:tabs>
          <w:tab w:pos="671" w:val="left" w:leader="none"/>
          <w:tab w:pos="672" w:val="left" w:leader="none"/>
        </w:tabs>
        <w:spacing w:line="240" w:lineRule="auto" w:before="61" w:after="0"/>
        <w:ind w:left="671" w:right="0" w:hanging="454"/>
        <w:jc w:val="left"/>
        <w:rPr>
          <w:sz w:val="20"/>
        </w:rPr>
      </w:pPr>
      <w:r>
        <w:rPr>
          <w:sz w:val="20"/>
        </w:rPr>
        <w:t>La </w:t>
      </w:r>
      <w:r>
        <w:rPr>
          <w:i/>
          <w:sz w:val="20"/>
        </w:rPr>
        <w:t>impermeabilización </w:t>
      </w:r>
      <w:r>
        <w:rPr>
          <w:sz w:val="20"/>
        </w:rPr>
        <w:t>debe prolongarse 10 cm como mínimo por encima de las</w:t>
      </w:r>
      <w:r>
        <w:rPr>
          <w:spacing w:val="-13"/>
          <w:sz w:val="20"/>
        </w:rPr>
        <w:t> </w:t>
      </w:r>
      <w:r>
        <w:rPr>
          <w:sz w:val="20"/>
        </w:rPr>
        <w:t>alas.</w:t>
      </w:r>
    </w:p>
    <w:p>
      <w:pPr>
        <w:pStyle w:val="ListParagraph"/>
        <w:numPr>
          <w:ilvl w:val="0"/>
          <w:numId w:val="57"/>
        </w:numPr>
        <w:tabs>
          <w:tab w:pos="671" w:val="left" w:leader="none"/>
          <w:tab w:pos="672" w:val="left" w:leader="none"/>
        </w:tabs>
        <w:spacing w:line="240" w:lineRule="auto" w:before="119" w:after="0"/>
        <w:ind w:left="671" w:right="0" w:hanging="454"/>
        <w:jc w:val="left"/>
        <w:rPr>
          <w:sz w:val="20"/>
        </w:rPr>
      </w:pPr>
      <w:r>
        <w:rPr>
          <w:sz w:val="20"/>
        </w:rPr>
        <w:t>La unión del </w:t>
      </w:r>
      <w:r>
        <w:rPr>
          <w:i/>
          <w:sz w:val="20"/>
        </w:rPr>
        <w:t>impermeabilizante </w:t>
      </w:r>
      <w:r>
        <w:rPr>
          <w:sz w:val="20"/>
        </w:rPr>
        <w:t>con el sumidero o el canalón debe ser</w:t>
      </w:r>
      <w:r>
        <w:rPr>
          <w:spacing w:val="-13"/>
          <w:sz w:val="20"/>
        </w:rPr>
        <w:t> </w:t>
      </w:r>
      <w:r>
        <w:rPr>
          <w:sz w:val="20"/>
        </w:rPr>
        <w:t>estanca.</w:t>
      </w:r>
    </w:p>
    <w:p>
      <w:pPr>
        <w:pStyle w:val="ListParagraph"/>
        <w:numPr>
          <w:ilvl w:val="0"/>
          <w:numId w:val="57"/>
        </w:numPr>
        <w:tabs>
          <w:tab w:pos="672" w:val="left" w:leader="none"/>
        </w:tabs>
        <w:spacing w:line="240" w:lineRule="auto" w:before="120" w:after="0"/>
        <w:ind w:left="671" w:right="390" w:hanging="454"/>
        <w:jc w:val="both"/>
        <w:rPr>
          <w:sz w:val="20"/>
        </w:rPr>
      </w:pPr>
      <w:r>
        <w:rPr>
          <w:sz w:val="20"/>
        </w:rPr>
        <w:t>Cuando el sumidero se disponga en la parte horizontal de la cubierta, debe situarse separado 50  cm como mínimo de los encuentros con los paramentos verticales o con cualquier otro elemento que sobresalga de la</w:t>
      </w:r>
      <w:r>
        <w:rPr>
          <w:spacing w:val="-5"/>
          <w:sz w:val="20"/>
        </w:rPr>
        <w:t> </w:t>
      </w:r>
      <w:r>
        <w:rPr>
          <w:sz w:val="20"/>
        </w:rPr>
        <w:t>cubierta.</w:t>
      </w:r>
    </w:p>
    <w:p>
      <w:pPr>
        <w:pStyle w:val="ListParagraph"/>
        <w:numPr>
          <w:ilvl w:val="0"/>
          <w:numId w:val="57"/>
        </w:numPr>
        <w:tabs>
          <w:tab w:pos="671" w:val="left" w:leader="none"/>
          <w:tab w:pos="672" w:val="left" w:leader="none"/>
        </w:tabs>
        <w:spacing w:line="240" w:lineRule="auto" w:before="120" w:after="0"/>
        <w:ind w:left="671" w:right="0" w:hanging="454"/>
        <w:jc w:val="left"/>
        <w:rPr>
          <w:sz w:val="20"/>
        </w:rPr>
      </w:pPr>
      <w:r>
        <w:rPr>
          <w:sz w:val="20"/>
        </w:rPr>
        <w:t>El borde superior del sumidero debe quedar por debajo del nivel de escorrentía de la</w:t>
      </w:r>
      <w:r>
        <w:rPr>
          <w:spacing w:val="-28"/>
          <w:sz w:val="20"/>
        </w:rPr>
        <w:t> </w:t>
      </w:r>
      <w:r>
        <w:rPr>
          <w:sz w:val="20"/>
        </w:rPr>
        <w:t>cubierta.</w:t>
      </w:r>
    </w:p>
    <w:p>
      <w:pPr>
        <w:spacing w:after="0" w:line="240" w:lineRule="auto"/>
        <w:jc w:val="left"/>
        <w:rPr>
          <w:sz w:val="20"/>
        </w:rPr>
        <w:sectPr>
          <w:pgSz w:w="11910" w:h="16840"/>
          <w:pgMar w:header="724" w:footer="636" w:top="1320" w:bottom="840" w:left="1200" w:right="738"/>
        </w:sectPr>
      </w:pPr>
    </w:p>
    <w:p>
      <w:pPr>
        <w:pStyle w:val="ListParagraph"/>
        <w:numPr>
          <w:ilvl w:val="0"/>
          <w:numId w:val="57"/>
        </w:numPr>
        <w:tabs>
          <w:tab w:pos="672" w:val="left" w:leader="none"/>
        </w:tabs>
        <w:spacing w:line="240" w:lineRule="auto" w:before="89" w:after="0"/>
        <w:ind w:left="672" w:right="392" w:hanging="454"/>
        <w:jc w:val="both"/>
        <w:rPr>
          <w:sz w:val="20"/>
        </w:rPr>
      </w:pPr>
      <w:r>
        <w:rPr>
          <w:sz w:val="20"/>
        </w:rPr>
        <w:t>Cuando el sumidero se disponga en un paramento vertical, el sumidero debe tener sección rectangular. Debe disponerse un </w:t>
      </w:r>
      <w:r>
        <w:rPr>
          <w:i/>
          <w:sz w:val="20"/>
        </w:rPr>
        <w:t>impermeabilizante </w:t>
      </w:r>
      <w:r>
        <w:rPr>
          <w:sz w:val="20"/>
        </w:rPr>
        <w:t>que cubra el ala vertical, que se extienda hasta 20 cm como mínimo por encima de la protección de la cubierta y cuyo remate superior se haga según lo descrito en el apartado</w:t>
      </w:r>
      <w:r>
        <w:rPr>
          <w:spacing w:val="-3"/>
          <w:sz w:val="20"/>
        </w:rPr>
        <w:t> </w:t>
      </w:r>
      <w:r>
        <w:rPr>
          <w:sz w:val="20"/>
        </w:rPr>
        <w:t>2.4.4.1.2.</w:t>
      </w:r>
    </w:p>
    <w:p>
      <w:pPr>
        <w:pStyle w:val="ListParagraph"/>
        <w:numPr>
          <w:ilvl w:val="0"/>
          <w:numId w:val="57"/>
        </w:numPr>
        <w:tabs>
          <w:tab w:pos="673" w:val="left" w:leader="none"/>
        </w:tabs>
        <w:spacing w:line="240" w:lineRule="auto" w:before="120" w:after="0"/>
        <w:ind w:left="671" w:right="391" w:hanging="454"/>
        <w:jc w:val="both"/>
        <w:rPr>
          <w:sz w:val="20"/>
        </w:rPr>
      </w:pPr>
      <w:r>
        <w:rPr>
          <w:sz w:val="20"/>
        </w:rPr>
        <w:t>Cuando se disponga un canalón su borde superior debe quedar por debajo del nivel de escorrentía de la cubierta y debe estar fijado al elemento que sirve de</w:t>
      </w:r>
      <w:r>
        <w:rPr>
          <w:spacing w:val="-9"/>
          <w:sz w:val="20"/>
        </w:rPr>
        <w:t> </w:t>
      </w:r>
      <w:r>
        <w:rPr>
          <w:sz w:val="20"/>
        </w:rPr>
        <w:t>soporte.</w:t>
      </w:r>
    </w:p>
    <w:p>
      <w:pPr>
        <w:pStyle w:val="ListParagraph"/>
        <w:numPr>
          <w:ilvl w:val="0"/>
          <w:numId w:val="57"/>
        </w:numPr>
        <w:tabs>
          <w:tab w:pos="672" w:val="left" w:leader="none"/>
        </w:tabs>
        <w:spacing w:line="240" w:lineRule="auto" w:before="121" w:after="0"/>
        <w:ind w:left="671" w:right="391" w:hanging="454"/>
        <w:jc w:val="both"/>
        <w:rPr>
          <w:i/>
          <w:sz w:val="20"/>
        </w:rPr>
      </w:pPr>
      <w:r>
        <w:rPr>
          <w:sz w:val="20"/>
        </w:rPr>
        <w:t>Cuando el canalón se disponga en el encuentro con un paramento vertical, el ala del canalón de la parte del encuentro debe ascender por el paramento y debe disponerse una banda </w:t>
      </w:r>
      <w:r>
        <w:rPr>
          <w:i/>
          <w:sz w:val="20"/>
        </w:rPr>
        <w:t>impermeabilizante </w:t>
      </w:r>
      <w:r>
        <w:rPr>
          <w:sz w:val="20"/>
        </w:rPr>
        <w:t>que cubra el borde superior del ala, de 10 cm como mínimo de anchura centrada sobre dicho borde resuelto según lo descrito en el apartado</w:t>
      </w:r>
      <w:r>
        <w:rPr>
          <w:spacing w:val="-13"/>
          <w:sz w:val="20"/>
        </w:rPr>
        <w:t> </w:t>
      </w:r>
      <w:r>
        <w:rPr>
          <w:sz w:val="20"/>
        </w:rPr>
        <w:t>2.4.4.1.2</w:t>
      </w:r>
      <w:r>
        <w:rPr>
          <w:i/>
          <w:sz w:val="20"/>
        </w:rPr>
        <w:t>.</w:t>
      </w:r>
    </w:p>
    <w:p>
      <w:pPr>
        <w:pStyle w:val="BodyText"/>
        <w:rPr>
          <w:i/>
          <w:sz w:val="22"/>
        </w:rPr>
      </w:pPr>
    </w:p>
    <w:p>
      <w:pPr>
        <w:pStyle w:val="BodyText"/>
        <w:spacing w:before="9"/>
        <w:rPr>
          <w:i/>
          <w:sz w:val="18"/>
        </w:rPr>
      </w:pPr>
    </w:p>
    <w:p>
      <w:pPr>
        <w:spacing w:before="1"/>
        <w:ind w:left="1958" w:right="0" w:firstLine="0"/>
        <w:jc w:val="left"/>
        <w:rPr>
          <w:sz w:val="16"/>
        </w:rPr>
      </w:pPr>
      <w:r>
        <w:rPr/>
        <w:pict>
          <v:line style="position:absolute;mso-position-horizontal-relative:page;mso-position-vertical-relative:paragraph;z-index:251756544" from="152.520004pt,-2.825818pt" to="152.520004pt,21.534182pt" stroked="true" strokeweight=".48pt" strokecolor="#000000">
            <v:stroke dashstyle="solid"/>
            <w10:wrap type="none"/>
          </v:line>
        </w:pict>
      </w:r>
      <w:r>
        <w:rPr>
          <w:sz w:val="16"/>
        </w:rPr>
        <w:t>Se pretende limitar el riesgo de filtración de agua por una incorrecta evacuación o por la existencia de una discontinuidad en la cubierta.</w:t>
      </w:r>
    </w:p>
    <w:p>
      <w:pPr>
        <w:pStyle w:val="BodyText"/>
      </w:pPr>
    </w:p>
    <w:p>
      <w:pPr>
        <w:pStyle w:val="BodyText"/>
        <w:spacing w:before="10"/>
        <w:rPr>
          <w:sz w:val="25"/>
        </w:rPr>
      </w:pPr>
    </w:p>
    <w:p>
      <w:pPr>
        <w:pStyle w:val="Heading5"/>
        <w:numPr>
          <w:ilvl w:val="4"/>
          <w:numId w:val="14"/>
        </w:numPr>
        <w:tabs>
          <w:tab w:pos="1071" w:val="left" w:leader="none"/>
        </w:tabs>
        <w:spacing w:line="240" w:lineRule="auto" w:before="94" w:after="0"/>
        <w:ind w:left="1070" w:right="0" w:hanging="853"/>
        <w:jc w:val="left"/>
      </w:pPr>
      <w:r>
        <w:rPr/>
        <w:t>Rebosaderos</w:t>
      </w:r>
    </w:p>
    <w:p>
      <w:pPr>
        <w:pStyle w:val="ListParagraph"/>
        <w:numPr>
          <w:ilvl w:val="0"/>
          <w:numId w:val="58"/>
        </w:numPr>
        <w:tabs>
          <w:tab w:pos="672" w:val="left" w:leader="none"/>
        </w:tabs>
        <w:spacing w:line="240" w:lineRule="auto" w:before="157" w:after="0"/>
        <w:ind w:left="671" w:right="393" w:hanging="454"/>
        <w:jc w:val="both"/>
        <w:rPr>
          <w:sz w:val="20"/>
        </w:rPr>
      </w:pPr>
      <w:r>
        <w:rPr>
          <w:sz w:val="20"/>
        </w:rPr>
        <w:t>En las cubiertas planas que tengan un paramento vertical que las delimite en todo su perímetro, deben disponerse rebosaderos en los siguientes</w:t>
      </w:r>
      <w:r>
        <w:rPr>
          <w:spacing w:val="-2"/>
          <w:sz w:val="20"/>
        </w:rPr>
        <w:t> </w:t>
      </w:r>
      <w:r>
        <w:rPr>
          <w:sz w:val="20"/>
        </w:rPr>
        <w:t>casos:</w:t>
      </w:r>
    </w:p>
    <w:p>
      <w:pPr>
        <w:pStyle w:val="ListParagraph"/>
        <w:numPr>
          <w:ilvl w:val="1"/>
          <w:numId w:val="58"/>
        </w:numPr>
        <w:tabs>
          <w:tab w:pos="1125" w:val="left" w:leader="none"/>
          <w:tab w:pos="1127" w:val="left" w:leader="none"/>
        </w:tabs>
        <w:spacing w:line="240" w:lineRule="auto" w:before="120" w:after="0"/>
        <w:ind w:left="1126" w:right="0" w:hanging="456"/>
        <w:jc w:val="left"/>
        <w:rPr>
          <w:sz w:val="20"/>
        </w:rPr>
      </w:pPr>
      <w:r>
        <w:rPr>
          <w:sz w:val="20"/>
        </w:rPr>
        <w:t>cuando en la cubierta exista una sola</w:t>
      </w:r>
      <w:r>
        <w:rPr>
          <w:spacing w:val="-3"/>
          <w:sz w:val="20"/>
        </w:rPr>
        <w:t> </w:t>
      </w:r>
      <w:r>
        <w:rPr>
          <w:sz w:val="20"/>
        </w:rPr>
        <w:t>bajante;</w:t>
      </w:r>
    </w:p>
    <w:p>
      <w:pPr>
        <w:pStyle w:val="ListParagraph"/>
        <w:numPr>
          <w:ilvl w:val="1"/>
          <w:numId w:val="58"/>
        </w:numPr>
        <w:tabs>
          <w:tab w:pos="1126" w:val="left" w:leader="none"/>
          <w:tab w:pos="1127" w:val="left" w:leader="none"/>
        </w:tabs>
        <w:spacing w:line="240" w:lineRule="auto" w:before="121" w:after="0"/>
        <w:ind w:left="1125" w:right="392" w:hanging="454"/>
        <w:jc w:val="left"/>
        <w:rPr>
          <w:sz w:val="20"/>
        </w:rPr>
      </w:pPr>
      <w:r>
        <w:rPr>
          <w:sz w:val="20"/>
        </w:rPr>
        <w:t>cuando se prevea que, si se obtura una bajante, debido a la disposición de las bajantes o de los faldones de la cubierta, el agua acumulada no pueda evacuar por otras</w:t>
      </w:r>
      <w:r>
        <w:rPr>
          <w:spacing w:val="-26"/>
          <w:sz w:val="20"/>
        </w:rPr>
        <w:t> </w:t>
      </w:r>
      <w:r>
        <w:rPr>
          <w:sz w:val="20"/>
        </w:rPr>
        <w:t>bajantes;</w:t>
      </w:r>
    </w:p>
    <w:p>
      <w:pPr>
        <w:pStyle w:val="ListParagraph"/>
        <w:numPr>
          <w:ilvl w:val="1"/>
          <w:numId w:val="58"/>
        </w:numPr>
        <w:tabs>
          <w:tab w:pos="1125" w:val="left" w:leader="none"/>
          <w:tab w:pos="1126" w:val="left" w:leader="none"/>
        </w:tabs>
        <w:spacing w:line="240" w:lineRule="auto" w:before="119" w:after="0"/>
        <w:ind w:left="1125" w:right="392" w:hanging="454"/>
        <w:jc w:val="left"/>
        <w:rPr>
          <w:sz w:val="20"/>
        </w:rPr>
      </w:pPr>
      <w:r>
        <w:rPr>
          <w:sz w:val="20"/>
        </w:rPr>
        <w:t>cuando la obturación de una bajante pueda producir una carga en la cubierta que comprometa la estabilidad del elemento que sirve de soporte</w:t>
      </w:r>
      <w:r>
        <w:rPr>
          <w:spacing w:val="-7"/>
          <w:sz w:val="20"/>
        </w:rPr>
        <w:t> </w:t>
      </w:r>
      <w:r>
        <w:rPr>
          <w:sz w:val="20"/>
        </w:rPr>
        <w:t>resistente.</w:t>
      </w:r>
    </w:p>
    <w:p>
      <w:pPr>
        <w:pStyle w:val="ListParagraph"/>
        <w:numPr>
          <w:ilvl w:val="0"/>
          <w:numId w:val="58"/>
        </w:numPr>
        <w:tabs>
          <w:tab w:pos="672" w:val="left" w:leader="none"/>
        </w:tabs>
        <w:spacing w:line="240" w:lineRule="auto" w:before="121" w:after="0"/>
        <w:ind w:left="672" w:right="394" w:hanging="454"/>
        <w:jc w:val="both"/>
        <w:rPr>
          <w:sz w:val="20"/>
        </w:rPr>
      </w:pPr>
      <w:r>
        <w:rPr>
          <w:sz w:val="20"/>
        </w:rPr>
        <w:t>La suma de las áreas de las secciones de los rebosaderos debe ser igual o mayor que la suma de las de bajantes que evacuan el agua de la cubierta o de la parte de la cubierta a la que</w:t>
      </w:r>
      <w:r>
        <w:rPr>
          <w:spacing w:val="-35"/>
          <w:sz w:val="20"/>
        </w:rPr>
        <w:t> </w:t>
      </w:r>
      <w:r>
        <w:rPr>
          <w:sz w:val="20"/>
        </w:rPr>
        <w:t>sirvan.</w:t>
      </w:r>
    </w:p>
    <w:p>
      <w:pPr>
        <w:pStyle w:val="ListParagraph"/>
        <w:numPr>
          <w:ilvl w:val="0"/>
          <w:numId w:val="58"/>
        </w:numPr>
        <w:tabs>
          <w:tab w:pos="672" w:val="left" w:leader="none"/>
        </w:tabs>
        <w:spacing w:line="240" w:lineRule="auto" w:before="120" w:after="0"/>
        <w:ind w:left="672" w:right="393" w:hanging="454"/>
        <w:jc w:val="both"/>
        <w:rPr>
          <w:sz w:val="20"/>
        </w:rPr>
      </w:pPr>
      <w:r>
        <w:rPr>
          <w:sz w:val="20"/>
        </w:rPr>
        <w:t>El rebosadero debe disponerse a una altura intermedia entre la del punto más bajo y la del más alto de la entrega de la </w:t>
      </w:r>
      <w:r>
        <w:rPr>
          <w:i/>
          <w:sz w:val="20"/>
        </w:rPr>
        <w:t>impermeabilización </w:t>
      </w:r>
      <w:r>
        <w:rPr>
          <w:sz w:val="20"/>
        </w:rPr>
        <w:t>al paramento vertical (Véase la figura 2.15) y en todo caso a un nivel más bajo de cualquier acceso a la</w:t>
      </w:r>
      <w:r>
        <w:rPr>
          <w:spacing w:val="-8"/>
          <w:sz w:val="20"/>
        </w:rPr>
        <w:t> </w:t>
      </w:r>
      <w:r>
        <w:rPr>
          <w:sz w:val="20"/>
        </w:rPr>
        <w:t>cubierta.</w:t>
      </w:r>
    </w:p>
    <w:p>
      <w:pPr>
        <w:pStyle w:val="ListParagraph"/>
        <w:numPr>
          <w:ilvl w:val="0"/>
          <w:numId w:val="58"/>
        </w:numPr>
        <w:tabs>
          <w:tab w:pos="672" w:val="left" w:leader="none"/>
        </w:tabs>
        <w:spacing w:line="240" w:lineRule="auto" w:before="120" w:after="0"/>
        <w:ind w:left="671" w:right="390" w:hanging="454"/>
        <w:jc w:val="both"/>
        <w:rPr>
          <w:sz w:val="20"/>
        </w:rPr>
      </w:pPr>
      <w:r>
        <w:rPr/>
        <w:pict>
          <v:group style="position:absolute;margin-left:214.774506pt;margin-top:35.088615pt;width:197pt;height:146.8pt;mso-position-horizontal-relative:page;mso-position-vertical-relative:paragraph;z-index:-251560960;mso-wrap-distance-left:0;mso-wrap-distance-right:0" coordorigin="4295,702" coordsize="3940,2936">
            <v:line style="position:absolute" from="6426,824" to="6322,824" stroked="true" strokeweight=".467pt" strokecolor="#000000">
              <v:stroke dashstyle="solid"/>
            </v:line>
            <v:line style="position:absolute" from="6256,824" to="6256,824" stroked="true" strokeweight=".467pt" strokecolor="#000000">
              <v:stroke dashstyle="solid"/>
            </v:line>
            <v:shape style="position:absolute;left:5294;top:823;width:103;height:2" coordorigin="5294,824" coordsize="103,0" path="m5397,824l5294,824,5294,824e" filled="false" stroked="true" strokeweight=".467pt" strokecolor="#000000">
              <v:path arrowok="t"/>
              <v:stroke dashstyle="solid"/>
            </v:shape>
            <v:line style="position:absolute" from="7802,1296" to="7802,1369" stroked="true" strokeweight=".467pt" strokecolor="#000000">
              <v:stroke dashstyle="solid"/>
            </v:line>
            <v:line style="position:absolute" from="7802,1437" to="7802,1437" stroked="true" strokeweight=".467pt" strokecolor="#000000">
              <v:stroke dashstyle="solid"/>
            </v:line>
            <v:line style="position:absolute" from="7802,1502" to="7802,1635" stroked="true" strokeweight=".467pt" strokecolor="#000000">
              <v:stroke dashstyle="solid"/>
            </v:line>
            <v:line style="position:absolute" from="7802,1703" to="7802,1703" stroked="true" strokeweight=".467pt" strokecolor="#000000">
              <v:stroke dashstyle="solid"/>
            </v:line>
            <v:line style="position:absolute" from="7802,1769" to="7802,1902" stroked="true" strokeweight=".479pt" strokecolor="#000000">
              <v:stroke dashstyle="solid"/>
            </v:line>
            <v:line style="position:absolute" from="7802,1967" to="7802,1967" stroked="true" strokeweight=".467pt" strokecolor="#000000">
              <v:stroke dashstyle="solid"/>
            </v:line>
            <v:line style="position:absolute" from="7129,1872" to="7163,1872" stroked="true" strokeweight=".467pt" strokecolor="#000000">
              <v:stroke dashstyle="solid"/>
            </v:line>
            <v:line style="position:absolute" from="7179,1872" to="7211,1872" stroked="true" strokeweight=".467pt" strokecolor="#000000">
              <v:stroke dashstyle="solid"/>
            </v:line>
            <v:line style="position:absolute" from="7228,1872" to="7261,1872" stroked="true" strokeweight=".467pt" strokecolor="#000000">
              <v:stroke dashstyle="solid"/>
            </v:line>
            <v:line style="position:absolute" from="7278,1872" to="7312,1872" stroked="true" strokeweight=".467pt" strokecolor="#000000">
              <v:stroke dashstyle="solid"/>
            </v:line>
            <v:line style="position:absolute" from="7327,1872" to="7360,1872" stroked="true" strokeweight=".467pt" strokecolor="#000000">
              <v:stroke dashstyle="solid"/>
            </v:line>
            <v:line style="position:absolute" from="7377,1872" to="7410,1872" stroked="true" strokeweight=".467pt" strokecolor="#000000">
              <v:stroke dashstyle="solid"/>
            </v:line>
            <v:line style="position:absolute" from="7427,1872" to="7459,1872" stroked="true" strokeweight=".467pt" strokecolor="#000000">
              <v:stroke dashstyle="solid"/>
            </v:line>
            <v:line style="position:absolute" from="7476,1872" to="7509,1872" stroked="true" strokeweight=".467pt" strokecolor="#000000">
              <v:stroke dashstyle="solid"/>
            </v:line>
            <v:line style="position:absolute" from="7526,1872" to="7558,1872" stroked="true" strokeweight=".467pt" strokecolor="#000000">
              <v:stroke dashstyle="solid"/>
            </v:line>
            <v:line style="position:absolute" from="7575,1872" to="7608,1872" stroked="true" strokeweight=".467pt" strokecolor="#000000">
              <v:stroke dashstyle="solid"/>
            </v:line>
            <v:line style="position:absolute" from="7625,1872" to="7658,1872" stroked="true" strokeweight=".467pt" strokecolor="#000000">
              <v:stroke dashstyle="solid"/>
            </v:line>
            <v:line style="position:absolute" from="7673,1872" to="7707,1872" stroked="true" strokeweight=".467pt" strokecolor="#000000">
              <v:stroke dashstyle="solid"/>
            </v:line>
            <v:line style="position:absolute" from="7724,1872" to="7757,1872" stroked="true" strokeweight=".467pt" strokecolor="#000000">
              <v:stroke dashstyle="solid"/>
            </v:line>
            <v:line style="position:absolute" from="7774,1872" to="7802,1872" stroked="true" strokeweight=".467pt" strokecolor="#000000">
              <v:stroke dashstyle="solid"/>
            </v:line>
            <v:line style="position:absolute" from="7802,3297" to="7802,3297" stroked="true" strokeweight=".467pt" strokecolor="#000000">
              <v:stroke dashstyle="solid"/>
            </v:line>
            <v:line style="position:absolute" from="7798,3399" to="7807,3399" stroked="true" strokeweight="3.656pt" strokecolor="#000000">
              <v:stroke dashstyle="solid"/>
            </v:line>
            <v:line style="position:absolute" from="6387,1872" to="6419,1872" stroked="true" strokeweight=".467pt" strokecolor="#000000">
              <v:stroke dashstyle="solid"/>
            </v:line>
            <v:line style="position:absolute" from="6435,1872" to="6469,1872" stroked="true" strokeweight=".467pt" strokecolor="#000000">
              <v:stroke dashstyle="solid"/>
            </v:line>
            <v:line style="position:absolute" from="6486,1872" to="6519,1872" stroked="true" strokeweight=".467pt" strokecolor="#000000">
              <v:stroke dashstyle="solid"/>
            </v:line>
            <v:line style="position:absolute" from="6534,1872" to="6568,1872" stroked="true" strokeweight=".467pt" strokecolor="#000000">
              <v:stroke dashstyle="solid"/>
            </v:line>
            <v:line style="position:absolute" from="6585,1872" to="6618,1872" stroked="true" strokeweight=".467pt" strokecolor="#000000">
              <v:stroke dashstyle="solid"/>
            </v:line>
            <v:line style="position:absolute" from="6635,1872" to="6667,1872" stroked="true" strokeweight=".467pt" strokecolor="#000000">
              <v:stroke dashstyle="solid"/>
            </v:line>
            <v:line style="position:absolute" from="6683,1872" to="6717,1872" stroked="true" strokeweight=".467pt" strokecolor="#000000">
              <v:stroke dashstyle="solid"/>
            </v:line>
            <v:line style="position:absolute" from="6734,1872" to="6765,1872" stroked="true" strokeweight=".467pt" strokecolor="#000000">
              <v:stroke dashstyle="solid"/>
            </v:line>
            <v:line style="position:absolute" from="6782,1872" to="6816,1872" stroked="true" strokeweight=".467pt" strokecolor="#000000">
              <v:stroke dashstyle="solid"/>
            </v:line>
            <v:shape style="position:absolute;left:4295;top:701;width:3940;height:2936" type="#_x0000_t75" stroked="false">
              <v:imagedata r:id="rId55" o:title=""/>
            </v:shape>
            <w10:wrap type="topAndBottom"/>
          </v:group>
        </w:pict>
      </w:r>
      <w:r>
        <w:rPr>
          <w:sz w:val="20"/>
        </w:rPr>
        <w:t>El rebosadero debe sobresalir 5 cm como mínimo de la cara exterior del paramento vertical y disponerse con una pendiente favorable a la</w:t>
      </w:r>
      <w:r>
        <w:rPr>
          <w:spacing w:val="-3"/>
          <w:sz w:val="20"/>
        </w:rPr>
        <w:t> </w:t>
      </w:r>
      <w:r>
        <w:rPr>
          <w:sz w:val="20"/>
        </w:rPr>
        <w:t>evacuación.</w:t>
      </w:r>
    </w:p>
    <w:p>
      <w:pPr>
        <w:spacing w:before="37"/>
        <w:ind w:left="655" w:right="522" w:firstLine="0"/>
        <w:jc w:val="center"/>
        <w:rPr>
          <w:b/>
          <w:sz w:val="18"/>
        </w:rPr>
      </w:pPr>
      <w:r>
        <w:rPr>
          <w:b/>
          <w:sz w:val="18"/>
        </w:rPr>
        <w:t>Figura 2.15 Rebosadero</w:t>
      </w:r>
    </w:p>
    <w:p>
      <w:pPr>
        <w:pStyle w:val="BodyText"/>
        <w:rPr>
          <w:b/>
        </w:rPr>
      </w:pPr>
    </w:p>
    <w:p>
      <w:pPr>
        <w:pStyle w:val="BodyText"/>
        <w:spacing w:before="7"/>
        <w:rPr>
          <w:b/>
          <w:sz w:val="15"/>
        </w:rPr>
      </w:pPr>
    </w:p>
    <w:p>
      <w:pPr>
        <w:spacing w:before="1"/>
        <w:ind w:left="1958" w:right="418" w:firstLine="0"/>
        <w:jc w:val="left"/>
        <w:rPr>
          <w:sz w:val="16"/>
        </w:rPr>
      </w:pPr>
      <w:r>
        <w:rPr/>
        <w:pict>
          <v:line style="position:absolute;mso-position-horizontal-relative:page;mso-position-vertical-relative:paragraph;z-index:251757568" from="152.520004pt,-2.825792pt" to="152.520004pt,21.594208pt" stroked="true" strokeweight=".48pt" strokecolor="#000000">
            <v:stroke dashstyle="solid"/>
            <w10:wrap type="none"/>
          </v:line>
        </w:pict>
      </w:r>
      <w:r>
        <w:rPr>
          <w:sz w:val="16"/>
        </w:rPr>
        <w:t>Se pretende limitar el riesgo de filtración por acumulación accidental excesiva de agua en la cubierta así como que se comprometa la estabilidad del elemento que sirve de soporte resistente.</w:t>
      </w:r>
    </w:p>
    <w:p>
      <w:pPr>
        <w:pStyle w:val="BodyText"/>
        <w:spacing w:before="2"/>
        <w:rPr>
          <w:sz w:val="22"/>
        </w:rPr>
      </w:pPr>
    </w:p>
    <w:p>
      <w:pPr>
        <w:spacing w:before="94"/>
        <w:ind w:left="1958" w:right="390" w:firstLine="0"/>
        <w:jc w:val="both"/>
        <w:rPr>
          <w:sz w:val="16"/>
        </w:rPr>
      </w:pPr>
      <w:r>
        <w:rPr/>
        <w:pict>
          <v:line style="position:absolute;mso-position-horizontal-relative:page;mso-position-vertical-relative:paragraph;z-index:251758592" from="152.520004pt,1.824203pt" to="152.520004pt,35.424203pt" stroked="true" strokeweight=".48pt" strokecolor="#000000">
            <v:stroke dashstyle="solid"/>
            <w10:wrap type="none"/>
          </v:line>
        </w:pict>
      </w:r>
      <w:r>
        <w:rPr>
          <w:sz w:val="16"/>
        </w:rPr>
        <w:t>En un patio o una azotea con un peto de fábrica que la delimite en todo su perímetro, en los que sólo exista un sumidero o punto de desagüe, es posible que se produzcan acumulaciones excesivas de agua por obstrucción del desagüe y falta de</w:t>
      </w:r>
      <w:r>
        <w:rPr>
          <w:spacing w:val="-2"/>
          <w:sz w:val="16"/>
        </w:rPr>
        <w:t> </w:t>
      </w:r>
      <w:r>
        <w:rPr>
          <w:sz w:val="16"/>
        </w:rPr>
        <w:t>mantenimiento.</w:t>
      </w:r>
    </w:p>
    <w:p>
      <w:pPr>
        <w:spacing w:after="0"/>
        <w:jc w:val="both"/>
        <w:rPr>
          <w:sz w:val="16"/>
        </w:rPr>
        <w:sectPr>
          <w:pgSz w:w="11910" w:h="16840"/>
          <w:pgMar w:header="724" w:footer="636" w:top="1320" w:bottom="840" w:left="1200" w:right="738"/>
        </w:sectPr>
      </w:pPr>
    </w:p>
    <w:p>
      <w:pPr>
        <w:pStyle w:val="BodyText"/>
        <w:spacing w:before="1"/>
        <w:rPr>
          <w:sz w:val="18"/>
        </w:rPr>
      </w:pPr>
    </w:p>
    <w:p>
      <w:pPr>
        <w:pStyle w:val="ListParagraph"/>
        <w:numPr>
          <w:ilvl w:val="4"/>
          <w:numId w:val="14"/>
        </w:numPr>
        <w:tabs>
          <w:tab w:pos="1071" w:val="left" w:leader="none"/>
        </w:tabs>
        <w:spacing w:line="240" w:lineRule="auto" w:before="94" w:after="0"/>
        <w:ind w:left="1070" w:right="0" w:hanging="853"/>
        <w:jc w:val="left"/>
        <w:rPr>
          <w:b/>
          <w:i/>
          <w:sz w:val="20"/>
        </w:rPr>
      </w:pPr>
      <w:r>
        <w:rPr>
          <w:b/>
          <w:sz w:val="20"/>
        </w:rPr>
        <w:t>Encuentro de la cubierta con </w:t>
      </w:r>
      <w:r>
        <w:rPr>
          <w:b/>
          <w:i/>
          <w:sz w:val="20"/>
        </w:rPr>
        <w:t>elementos</w:t>
      </w:r>
      <w:r>
        <w:rPr>
          <w:b/>
          <w:i/>
          <w:spacing w:val="-6"/>
          <w:sz w:val="20"/>
        </w:rPr>
        <w:t> </w:t>
      </w:r>
      <w:r>
        <w:rPr>
          <w:b/>
          <w:i/>
          <w:sz w:val="20"/>
        </w:rPr>
        <w:t>pasantes</w:t>
      </w:r>
    </w:p>
    <w:p>
      <w:pPr>
        <w:pStyle w:val="ListParagraph"/>
        <w:numPr>
          <w:ilvl w:val="0"/>
          <w:numId w:val="59"/>
        </w:numPr>
        <w:tabs>
          <w:tab w:pos="671" w:val="left" w:leader="none"/>
          <w:tab w:pos="673" w:val="left" w:leader="none"/>
        </w:tabs>
        <w:spacing w:line="240" w:lineRule="auto" w:before="157" w:after="0"/>
        <w:ind w:left="671" w:right="392" w:hanging="454"/>
        <w:jc w:val="left"/>
        <w:rPr>
          <w:sz w:val="20"/>
        </w:rPr>
      </w:pPr>
      <w:r>
        <w:rPr>
          <w:sz w:val="20"/>
        </w:rPr>
        <w:t>Los </w:t>
      </w:r>
      <w:r>
        <w:rPr>
          <w:i/>
          <w:sz w:val="20"/>
        </w:rPr>
        <w:t>elementos pasantes </w:t>
      </w:r>
      <w:r>
        <w:rPr>
          <w:sz w:val="20"/>
        </w:rPr>
        <w:t>deben situarse separados 50 cm como mínimo de los encuentros con los paramentos verticales y de los elementos que sobresalgan de la</w:t>
      </w:r>
      <w:r>
        <w:rPr>
          <w:spacing w:val="-12"/>
          <w:sz w:val="20"/>
        </w:rPr>
        <w:t> </w:t>
      </w:r>
      <w:r>
        <w:rPr>
          <w:sz w:val="20"/>
        </w:rPr>
        <w:t>cubierta.</w:t>
      </w:r>
    </w:p>
    <w:p>
      <w:pPr>
        <w:pStyle w:val="ListParagraph"/>
        <w:numPr>
          <w:ilvl w:val="0"/>
          <w:numId w:val="59"/>
        </w:numPr>
        <w:tabs>
          <w:tab w:pos="671" w:val="left" w:leader="none"/>
          <w:tab w:pos="672" w:val="left" w:leader="none"/>
        </w:tabs>
        <w:spacing w:line="240" w:lineRule="auto" w:before="120" w:after="0"/>
        <w:ind w:left="671" w:right="393" w:hanging="454"/>
        <w:jc w:val="left"/>
        <w:rPr>
          <w:sz w:val="20"/>
        </w:rPr>
      </w:pPr>
      <w:r>
        <w:rPr>
          <w:sz w:val="20"/>
        </w:rPr>
        <w:t>Deben disponerse elementos de protección prefabricados o realizados in situ, que deben ascender por el </w:t>
      </w:r>
      <w:r>
        <w:rPr>
          <w:i/>
          <w:sz w:val="20"/>
        </w:rPr>
        <w:t>elemento pasante </w:t>
      </w:r>
      <w:r>
        <w:rPr>
          <w:sz w:val="20"/>
        </w:rPr>
        <w:t>20 cm como mínimo por encima de la </w:t>
      </w:r>
      <w:r>
        <w:rPr>
          <w:i/>
          <w:sz w:val="20"/>
        </w:rPr>
        <w:t>protección de la</w:t>
      </w:r>
      <w:r>
        <w:rPr>
          <w:i/>
          <w:spacing w:val="-28"/>
          <w:sz w:val="20"/>
        </w:rPr>
        <w:t> </w:t>
      </w:r>
      <w:r>
        <w:rPr>
          <w:i/>
          <w:sz w:val="20"/>
        </w:rPr>
        <w:t>cubierta</w:t>
      </w:r>
      <w:r>
        <w:rPr>
          <w:sz w:val="20"/>
        </w:rPr>
        <w:t>.</w:t>
      </w:r>
    </w:p>
    <w:p>
      <w:pPr>
        <w:pStyle w:val="BodyText"/>
        <w:rPr>
          <w:sz w:val="22"/>
        </w:rPr>
      </w:pPr>
    </w:p>
    <w:p>
      <w:pPr>
        <w:pStyle w:val="BodyText"/>
        <w:spacing w:before="10"/>
        <w:rPr>
          <w:sz w:val="18"/>
        </w:rPr>
      </w:pPr>
    </w:p>
    <w:p>
      <w:pPr>
        <w:spacing w:before="1"/>
        <w:ind w:left="1958" w:right="418" w:firstLine="0"/>
        <w:jc w:val="left"/>
        <w:rPr>
          <w:sz w:val="16"/>
        </w:rPr>
      </w:pPr>
      <w:r>
        <w:rPr/>
        <w:pict>
          <v:line style="position:absolute;mso-position-horizontal-relative:page;mso-position-vertical-relative:paragraph;z-index:251759616" from="152.520004pt,-2.825818pt" to="152.520004pt,21.594182pt" stroked="true" strokeweight=".48pt" strokecolor="#000000">
            <v:stroke dashstyle="solid"/>
            <w10:wrap type="none"/>
          </v:line>
        </w:pict>
      </w:r>
      <w:r>
        <w:rPr>
          <w:sz w:val="16"/>
        </w:rPr>
        <w:t>Se pretende limitar el riesgo de filtración de agua por una discontinuidad en el encuentro del elemento pasante y la cubierta.</w:t>
      </w:r>
    </w:p>
    <w:p>
      <w:pPr>
        <w:pStyle w:val="BodyText"/>
      </w:pPr>
    </w:p>
    <w:p>
      <w:pPr>
        <w:pStyle w:val="BodyText"/>
        <w:spacing w:before="10"/>
        <w:rPr>
          <w:sz w:val="25"/>
        </w:rPr>
      </w:pPr>
    </w:p>
    <w:p>
      <w:pPr>
        <w:pStyle w:val="Heading5"/>
        <w:numPr>
          <w:ilvl w:val="4"/>
          <w:numId w:val="14"/>
        </w:numPr>
        <w:tabs>
          <w:tab w:pos="1071" w:val="left" w:leader="none"/>
        </w:tabs>
        <w:spacing w:line="240" w:lineRule="auto" w:before="94" w:after="0"/>
        <w:ind w:left="1070" w:right="0" w:hanging="853"/>
        <w:jc w:val="left"/>
      </w:pPr>
      <w:r>
        <w:rPr/>
        <w:t>Anclaje de</w:t>
      </w:r>
      <w:r>
        <w:rPr>
          <w:spacing w:val="-2"/>
        </w:rPr>
        <w:t> </w:t>
      </w:r>
      <w:r>
        <w:rPr/>
        <w:t>elementos</w:t>
      </w:r>
    </w:p>
    <w:p>
      <w:pPr>
        <w:pStyle w:val="BodyText"/>
        <w:tabs>
          <w:tab w:pos="671" w:val="left" w:leader="none"/>
        </w:tabs>
        <w:spacing w:before="157"/>
        <w:ind w:left="218"/>
      </w:pPr>
      <w:r>
        <w:rPr/>
        <w:t>1</w:t>
        <w:tab/>
        <w:t>Los anclajes de elementos deben realizarse de una de las formas</w:t>
      </w:r>
      <w:r>
        <w:rPr>
          <w:spacing w:val="-10"/>
        </w:rPr>
        <w:t> </w:t>
      </w:r>
      <w:r>
        <w:rPr/>
        <w:t>siguientes:</w:t>
      </w:r>
    </w:p>
    <w:p>
      <w:pPr>
        <w:pStyle w:val="ListParagraph"/>
        <w:numPr>
          <w:ilvl w:val="0"/>
          <w:numId w:val="60"/>
        </w:numPr>
        <w:tabs>
          <w:tab w:pos="1125" w:val="left" w:leader="none"/>
          <w:tab w:pos="1126" w:val="left" w:leader="none"/>
        </w:tabs>
        <w:spacing w:line="240" w:lineRule="auto" w:before="121" w:after="0"/>
        <w:ind w:left="1125" w:right="0" w:hanging="455"/>
        <w:jc w:val="left"/>
        <w:rPr>
          <w:sz w:val="20"/>
        </w:rPr>
      </w:pPr>
      <w:r>
        <w:rPr>
          <w:sz w:val="20"/>
        </w:rPr>
        <w:t>sobre un paramento vertical por encima del remate de la</w:t>
      </w:r>
      <w:r>
        <w:rPr>
          <w:spacing w:val="-19"/>
          <w:sz w:val="20"/>
        </w:rPr>
        <w:t> </w:t>
      </w:r>
      <w:r>
        <w:rPr>
          <w:i/>
          <w:sz w:val="20"/>
        </w:rPr>
        <w:t>impermeabilización</w:t>
      </w:r>
      <w:r>
        <w:rPr>
          <w:sz w:val="20"/>
        </w:rPr>
        <w:t>;</w:t>
      </w:r>
    </w:p>
    <w:p>
      <w:pPr>
        <w:pStyle w:val="ListParagraph"/>
        <w:numPr>
          <w:ilvl w:val="0"/>
          <w:numId w:val="60"/>
        </w:numPr>
        <w:tabs>
          <w:tab w:pos="1126" w:val="left" w:leader="none"/>
          <w:tab w:pos="1127" w:val="left" w:leader="none"/>
        </w:tabs>
        <w:spacing w:line="240" w:lineRule="auto" w:before="120" w:after="0"/>
        <w:ind w:left="1125" w:right="393" w:hanging="454"/>
        <w:jc w:val="left"/>
        <w:rPr>
          <w:sz w:val="20"/>
        </w:rPr>
      </w:pPr>
      <w:r>
        <w:rPr>
          <w:sz w:val="20"/>
        </w:rPr>
        <w:t>sobre la parte horizontal de la cubierta de forma análoga a la establecida para los encuentros con </w:t>
      </w:r>
      <w:r>
        <w:rPr>
          <w:i/>
          <w:sz w:val="20"/>
        </w:rPr>
        <w:t>elementos pasantes </w:t>
      </w:r>
      <w:r>
        <w:rPr>
          <w:sz w:val="20"/>
        </w:rPr>
        <w:t>o sobre una bancada apoyada en la</w:t>
      </w:r>
      <w:r>
        <w:rPr>
          <w:spacing w:val="-12"/>
          <w:sz w:val="20"/>
        </w:rPr>
        <w:t> </w:t>
      </w:r>
      <w:r>
        <w:rPr>
          <w:sz w:val="20"/>
        </w:rPr>
        <w:t>misma.</w:t>
      </w:r>
    </w:p>
    <w:p>
      <w:pPr>
        <w:pStyle w:val="BodyText"/>
        <w:rPr>
          <w:sz w:val="22"/>
        </w:rPr>
      </w:pPr>
    </w:p>
    <w:p>
      <w:pPr>
        <w:pStyle w:val="BodyText"/>
        <w:spacing w:before="6"/>
        <w:rPr>
          <w:sz w:val="30"/>
        </w:rPr>
      </w:pPr>
    </w:p>
    <w:p>
      <w:pPr>
        <w:spacing w:before="0"/>
        <w:ind w:left="1958" w:right="0" w:firstLine="0"/>
        <w:jc w:val="left"/>
        <w:rPr>
          <w:sz w:val="16"/>
        </w:rPr>
      </w:pPr>
      <w:r>
        <w:rPr/>
        <w:pict>
          <v:line style="position:absolute;mso-position-horizontal-relative:page;mso-position-vertical-relative:paragraph;z-index:251760640" from="152.520004pt,-2.875988pt" to="152.520004pt,12.304012pt" stroked="true" strokeweight=".48pt" strokecolor="#000000">
            <v:stroke dashstyle="solid"/>
            <w10:wrap type="none"/>
          </v:line>
        </w:pict>
      </w:r>
      <w:r>
        <w:rPr>
          <w:sz w:val="16"/>
        </w:rPr>
        <w:t>Se pretende limitar el riesgo de filtración de agua por una discontinuidad en la impermeabilización.</w:t>
      </w:r>
    </w:p>
    <w:p>
      <w:pPr>
        <w:pStyle w:val="BodyText"/>
      </w:pPr>
    </w:p>
    <w:p>
      <w:pPr>
        <w:pStyle w:val="BodyText"/>
      </w:pPr>
    </w:p>
    <w:p>
      <w:pPr>
        <w:pStyle w:val="BodyText"/>
        <w:spacing w:before="7"/>
        <w:rPr>
          <w:sz w:val="17"/>
        </w:rPr>
      </w:pPr>
    </w:p>
    <w:p>
      <w:pPr>
        <w:pStyle w:val="Heading5"/>
        <w:numPr>
          <w:ilvl w:val="4"/>
          <w:numId w:val="14"/>
        </w:numPr>
        <w:tabs>
          <w:tab w:pos="1071" w:val="left" w:leader="none"/>
        </w:tabs>
        <w:spacing w:line="240" w:lineRule="auto" w:before="94" w:after="0"/>
        <w:ind w:left="1070" w:right="0" w:hanging="853"/>
        <w:jc w:val="left"/>
      </w:pPr>
      <w:r>
        <w:rPr/>
        <w:t>Rincones y</w:t>
      </w:r>
      <w:r>
        <w:rPr>
          <w:spacing w:val="-4"/>
        </w:rPr>
        <w:t> </w:t>
      </w:r>
      <w:r>
        <w:rPr/>
        <w:t>esquinas</w:t>
      </w:r>
    </w:p>
    <w:p>
      <w:pPr>
        <w:pStyle w:val="BodyText"/>
        <w:spacing w:before="158"/>
        <w:ind w:left="672" w:right="392" w:hanging="454"/>
        <w:jc w:val="both"/>
      </w:pPr>
      <w:r>
        <w:rPr/>
        <w:t>1 En los rincones y las esquinas deben disponerse elementos  de  protección  prefabricados  o  realizados in situ hasta una distancia de 10 cm como mínimo desde el vértice formado por los dos planos que conforman el rincón o la esquina y el plano de la</w:t>
      </w:r>
      <w:r>
        <w:rPr>
          <w:spacing w:val="-13"/>
        </w:rPr>
        <w:t> </w:t>
      </w:r>
      <w:r>
        <w:rPr/>
        <w:t>cubierta.</w:t>
      </w:r>
    </w:p>
    <w:p>
      <w:pPr>
        <w:pStyle w:val="BodyText"/>
        <w:rPr>
          <w:sz w:val="22"/>
        </w:rPr>
      </w:pPr>
    </w:p>
    <w:p>
      <w:pPr>
        <w:pStyle w:val="BodyText"/>
        <w:spacing w:before="5"/>
        <w:rPr>
          <w:sz w:val="30"/>
        </w:rPr>
      </w:pPr>
    </w:p>
    <w:p>
      <w:pPr>
        <w:spacing w:before="1"/>
        <w:ind w:left="1958" w:right="0" w:firstLine="0"/>
        <w:jc w:val="left"/>
        <w:rPr>
          <w:sz w:val="16"/>
        </w:rPr>
      </w:pPr>
      <w:r>
        <w:rPr/>
        <w:pict>
          <v:line style="position:absolute;mso-position-horizontal-relative:page;mso-position-vertical-relative:paragraph;z-index:251761664" from="152.520004pt,-2.825994pt" to="152.520004pt,12.354006pt" stroked="true" strokeweight=".48pt" strokecolor="#000000">
            <v:stroke dashstyle="solid"/>
            <w10:wrap type="none"/>
          </v:line>
        </w:pict>
      </w:r>
      <w:r>
        <w:rPr>
          <w:sz w:val="16"/>
        </w:rPr>
        <w:t>Se pretende limitar el riesgo de filtración de agua por una discontinuidad en la impermeabilización.</w:t>
      </w:r>
    </w:p>
    <w:p>
      <w:pPr>
        <w:pStyle w:val="BodyText"/>
      </w:pPr>
    </w:p>
    <w:p>
      <w:pPr>
        <w:pStyle w:val="BodyText"/>
      </w:pPr>
    </w:p>
    <w:p>
      <w:pPr>
        <w:pStyle w:val="BodyText"/>
        <w:spacing w:before="7"/>
        <w:rPr>
          <w:sz w:val="17"/>
        </w:rPr>
      </w:pPr>
    </w:p>
    <w:p>
      <w:pPr>
        <w:pStyle w:val="Heading5"/>
        <w:numPr>
          <w:ilvl w:val="4"/>
          <w:numId w:val="14"/>
        </w:numPr>
        <w:tabs>
          <w:tab w:pos="1072" w:val="left" w:leader="none"/>
        </w:tabs>
        <w:spacing w:line="240" w:lineRule="auto" w:before="94" w:after="0"/>
        <w:ind w:left="1071" w:right="0" w:hanging="854"/>
        <w:jc w:val="left"/>
      </w:pPr>
      <w:r>
        <w:rPr/>
        <w:t>Accesos y</w:t>
      </w:r>
      <w:r>
        <w:rPr>
          <w:spacing w:val="-4"/>
        </w:rPr>
        <w:t> </w:t>
      </w:r>
      <w:r>
        <w:rPr/>
        <w:t>aberturas</w:t>
      </w:r>
    </w:p>
    <w:p>
      <w:pPr>
        <w:pStyle w:val="ListParagraph"/>
        <w:numPr>
          <w:ilvl w:val="0"/>
          <w:numId w:val="61"/>
        </w:numPr>
        <w:tabs>
          <w:tab w:pos="671" w:val="left" w:leader="none"/>
          <w:tab w:pos="672" w:val="left" w:leader="none"/>
        </w:tabs>
        <w:spacing w:line="240" w:lineRule="auto" w:before="157" w:after="0"/>
        <w:ind w:left="672" w:right="393" w:hanging="454"/>
        <w:jc w:val="left"/>
        <w:rPr>
          <w:sz w:val="20"/>
        </w:rPr>
      </w:pPr>
      <w:r>
        <w:rPr>
          <w:sz w:val="20"/>
        </w:rPr>
        <w:t>Los accesos y las aberturas situados en un paramento vertical deben realizarse de una de las formas</w:t>
      </w:r>
      <w:r>
        <w:rPr>
          <w:spacing w:val="-1"/>
          <w:sz w:val="20"/>
        </w:rPr>
        <w:t> </w:t>
      </w:r>
      <w:r>
        <w:rPr>
          <w:sz w:val="20"/>
        </w:rPr>
        <w:t>siguientes:</w:t>
      </w:r>
    </w:p>
    <w:p>
      <w:pPr>
        <w:pStyle w:val="ListParagraph"/>
        <w:numPr>
          <w:ilvl w:val="1"/>
          <w:numId w:val="61"/>
        </w:numPr>
        <w:tabs>
          <w:tab w:pos="1127" w:val="left" w:leader="none"/>
        </w:tabs>
        <w:spacing w:line="240" w:lineRule="auto" w:before="120" w:after="0"/>
        <w:ind w:left="1125" w:right="391" w:hanging="454"/>
        <w:jc w:val="both"/>
        <w:rPr>
          <w:sz w:val="20"/>
        </w:rPr>
      </w:pPr>
      <w:r>
        <w:rPr>
          <w:sz w:val="20"/>
        </w:rPr>
        <w:t>disponiendo un desnivel de 20 cm de altura como mínimo por encima de la </w:t>
      </w:r>
      <w:r>
        <w:rPr>
          <w:i/>
          <w:sz w:val="20"/>
        </w:rPr>
        <w:t>protección de la </w:t>
      </w:r>
      <w:r>
        <w:rPr>
          <w:i/>
          <w:sz w:val="20"/>
        </w:rPr>
        <w:t>cubierta</w:t>
      </w:r>
      <w:r>
        <w:rPr>
          <w:sz w:val="20"/>
        </w:rPr>
        <w:t>, protegido con un </w:t>
      </w:r>
      <w:r>
        <w:rPr>
          <w:i/>
          <w:sz w:val="20"/>
        </w:rPr>
        <w:t>impermeabilizante </w:t>
      </w:r>
      <w:r>
        <w:rPr>
          <w:sz w:val="20"/>
        </w:rPr>
        <w:t>que lo cubra y ascienda por los laterales del hueco hasta una altura de 15 cm como mínimo por encima de dicho</w:t>
      </w:r>
      <w:r>
        <w:rPr>
          <w:spacing w:val="-18"/>
          <w:sz w:val="20"/>
        </w:rPr>
        <w:t> </w:t>
      </w:r>
      <w:r>
        <w:rPr>
          <w:sz w:val="20"/>
        </w:rPr>
        <w:t>desnivel;</w:t>
      </w:r>
    </w:p>
    <w:p>
      <w:pPr>
        <w:pStyle w:val="BodyText"/>
        <w:rPr>
          <w:sz w:val="22"/>
        </w:rPr>
      </w:pPr>
    </w:p>
    <w:p>
      <w:pPr>
        <w:pStyle w:val="BodyText"/>
        <w:spacing w:before="11"/>
        <w:rPr>
          <w:sz w:val="18"/>
        </w:rPr>
      </w:pPr>
    </w:p>
    <w:p>
      <w:pPr>
        <w:spacing w:before="0"/>
        <w:ind w:left="1958" w:right="392" w:firstLine="0"/>
        <w:jc w:val="both"/>
        <w:rPr>
          <w:sz w:val="16"/>
        </w:rPr>
      </w:pPr>
      <w:r>
        <w:rPr/>
        <w:pict>
          <v:line style="position:absolute;mso-position-horizontal-relative:page;mso-position-vertical-relative:paragraph;z-index:251762688" from="152.520004pt,-2.875793pt" to="152.520004pt,30.724207pt" stroked="true" strokeweight=".48pt" strokecolor="#000000">
            <v:stroke dashstyle="solid"/>
            <w10:wrap type="none"/>
          </v:line>
        </w:pict>
      </w:r>
      <w:r>
        <w:rPr>
          <w:sz w:val="16"/>
        </w:rPr>
        <w:t>Cuando dice por los laterales del hueco se refiere a las jambas, si la carpintería se ha colocado a haces interiores o intermedios. No haría falta si la carpintería está colocada a haces exteriores. El objetivo de  esta condición es proteger los paramentos del salpiqueo del agua de las</w:t>
      </w:r>
      <w:r>
        <w:rPr>
          <w:spacing w:val="-4"/>
          <w:sz w:val="16"/>
        </w:rPr>
        <w:t> </w:t>
      </w:r>
      <w:r>
        <w:rPr>
          <w:sz w:val="16"/>
        </w:rPr>
        <w:t>precipitaciones.</w:t>
      </w:r>
    </w:p>
    <w:p>
      <w:pPr>
        <w:pStyle w:val="BodyText"/>
      </w:pPr>
    </w:p>
    <w:p>
      <w:pPr>
        <w:pStyle w:val="BodyText"/>
        <w:spacing w:before="8"/>
      </w:pPr>
    </w:p>
    <w:p>
      <w:pPr>
        <w:pStyle w:val="ListParagraph"/>
        <w:numPr>
          <w:ilvl w:val="1"/>
          <w:numId w:val="61"/>
        </w:numPr>
        <w:tabs>
          <w:tab w:pos="1127" w:val="left" w:leader="none"/>
        </w:tabs>
        <w:spacing w:line="240" w:lineRule="auto" w:before="1" w:after="0"/>
        <w:ind w:left="1125" w:right="391" w:hanging="454"/>
        <w:jc w:val="both"/>
        <w:rPr>
          <w:sz w:val="20"/>
        </w:rPr>
      </w:pPr>
      <w:r>
        <w:rPr>
          <w:sz w:val="20"/>
        </w:rPr>
        <w:t>disponiéndol</w:t>
      </w:r>
      <w:r>
        <w:rPr>
          <w:i/>
          <w:sz w:val="20"/>
        </w:rPr>
        <w:t>os retranqueados </w:t>
      </w:r>
      <w:r>
        <w:rPr>
          <w:sz w:val="20"/>
        </w:rPr>
        <w:t>respecto del paramento vertical 1 m como mínimo. El suelo hasta el acceso debe tener una pendiente del 10% hacia fuera y debe ser tratado como la cubierta, excepto para los casos de accesos en balconeras que vierten el agua libremente sin antepechos, donde la pendiente mínima es del</w:t>
      </w:r>
      <w:r>
        <w:rPr>
          <w:spacing w:val="-5"/>
          <w:sz w:val="20"/>
        </w:rPr>
        <w:t> </w:t>
      </w:r>
      <w:r>
        <w:rPr>
          <w:sz w:val="20"/>
        </w:rPr>
        <w:t>1%.</w:t>
      </w:r>
    </w:p>
    <w:p>
      <w:pPr>
        <w:pStyle w:val="BodyText"/>
        <w:rPr>
          <w:sz w:val="22"/>
        </w:rPr>
      </w:pPr>
    </w:p>
    <w:p>
      <w:pPr>
        <w:pStyle w:val="BodyText"/>
        <w:spacing w:before="10"/>
        <w:rPr>
          <w:sz w:val="18"/>
        </w:rPr>
      </w:pPr>
    </w:p>
    <w:p>
      <w:pPr>
        <w:spacing w:before="0"/>
        <w:ind w:left="1958" w:right="418" w:firstLine="0"/>
        <w:jc w:val="left"/>
        <w:rPr>
          <w:sz w:val="16"/>
        </w:rPr>
      </w:pPr>
      <w:r>
        <w:rPr/>
        <w:pict>
          <v:line style="position:absolute;mso-position-horizontal-relative:page;mso-position-vertical-relative:paragraph;z-index:251763712" from="152.520004pt,-2.875695pt" to="152.520004pt,21.544305pt" stroked="true" strokeweight=".48pt" strokecolor="#000000">
            <v:stroke dashstyle="solid"/>
            <w10:wrap type="none"/>
          </v:line>
        </w:pict>
      </w:r>
      <w:r>
        <w:rPr>
          <w:sz w:val="16"/>
        </w:rPr>
        <w:t>Que sea tratado como una cubierta se refiere a, entre otras cosas, que se impermeabilice de forma similar al resto de la cubierta.</w:t>
      </w:r>
    </w:p>
    <w:p>
      <w:pPr>
        <w:spacing w:after="0"/>
        <w:jc w:val="left"/>
        <w:rPr>
          <w:sz w:val="16"/>
        </w:rPr>
        <w:sectPr>
          <w:pgSz w:w="11910" w:h="16840"/>
          <w:pgMar w:header="724" w:footer="636" w:top="1320" w:bottom="840" w:left="1200" w:right="738"/>
        </w:sectPr>
      </w:pPr>
    </w:p>
    <w:p>
      <w:pPr>
        <w:pStyle w:val="ListParagraph"/>
        <w:numPr>
          <w:ilvl w:val="0"/>
          <w:numId w:val="61"/>
        </w:numPr>
        <w:tabs>
          <w:tab w:pos="672" w:val="left" w:leader="none"/>
        </w:tabs>
        <w:spacing w:line="240" w:lineRule="auto" w:before="89" w:after="0"/>
        <w:ind w:left="672" w:right="392" w:hanging="454"/>
        <w:jc w:val="both"/>
        <w:rPr>
          <w:sz w:val="20"/>
        </w:rPr>
      </w:pPr>
      <w:r>
        <w:rPr>
          <w:sz w:val="20"/>
        </w:rPr>
        <w:t>Los accesos y las aberturas situados en el paramento horizontal de la cubierta deben realizarse disponiendo alrededor del hueco un antepecho de una altura por encima de la </w:t>
      </w:r>
      <w:r>
        <w:rPr>
          <w:i/>
          <w:sz w:val="20"/>
        </w:rPr>
        <w:t>protección </w:t>
      </w:r>
      <w:r>
        <w:rPr>
          <w:sz w:val="20"/>
        </w:rPr>
        <w:t>de la cubierta de 20 cm como mínimo e impermeabilizado según lo descrito en el apartado</w:t>
      </w:r>
      <w:r>
        <w:rPr>
          <w:spacing w:val="-39"/>
          <w:sz w:val="20"/>
        </w:rPr>
        <w:t> </w:t>
      </w:r>
      <w:r>
        <w:rPr>
          <w:sz w:val="20"/>
        </w:rPr>
        <w:t>2.4.4.1.2.</w:t>
      </w:r>
    </w:p>
    <w:p>
      <w:pPr>
        <w:pStyle w:val="BodyText"/>
        <w:rPr>
          <w:sz w:val="22"/>
        </w:rPr>
      </w:pPr>
    </w:p>
    <w:p>
      <w:pPr>
        <w:pStyle w:val="BodyText"/>
        <w:spacing w:before="10"/>
        <w:rPr>
          <w:sz w:val="18"/>
        </w:rPr>
      </w:pPr>
    </w:p>
    <w:p>
      <w:pPr>
        <w:spacing w:before="0"/>
        <w:ind w:left="1958" w:right="418" w:firstLine="0"/>
        <w:jc w:val="left"/>
        <w:rPr>
          <w:sz w:val="16"/>
        </w:rPr>
      </w:pPr>
      <w:r>
        <w:rPr/>
        <w:pict>
          <v:line style="position:absolute;mso-position-horizontal-relative:page;mso-position-vertical-relative:paragraph;z-index:251765760" from="152.520004pt,-2.875798pt" to="152.520004pt,21.544202pt" stroked="true" strokeweight=".48pt" strokecolor="#000000">
            <v:stroke dashstyle="solid"/>
            <w10:wrap type="none"/>
          </v:line>
        </w:pict>
      </w:r>
      <w:r>
        <w:rPr>
          <w:sz w:val="16"/>
        </w:rPr>
        <w:t>Se pretende limitar el riesgo de penetración de agua a través de un hueco o acceso por acumulación accidental excesiva de agua en la cubierta.</w:t>
      </w:r>
    </w:p>
    <w:p>
      <w:pPr>
        <w:pStyle w:val="BodyText"/>
      </w:pPr>
    </w:p>
    <w:p>
      <w:pPr>
        <w:pStyle w:val="BodyText"/>
        <w:spacing w:before="11"/>
      </w:pPr>
    </w:p>
    <w:p>
      <w:pPr>
        <w:spacing w:before="0"/>
        <w:ind w:left="1958" w:right="390" w:firstLine="0"/>
        <w:jc w:val="both"/>
        <w:rPr>
          <w:sz w:val="16"/>
        </w:rPr>
      </w:pPr>
      <w:r>
        <w:rPr/>
        <w:pict>
          <v:line style="position:absolute;mso-position-horizontal-relative:page;mso-position-vertical-relative:paragraph;z-index:251766784" from="152.520004pt,-2.875801pt" to="152.520004pt,30.724199pt" stroked="true" strokeweight=".48pt" strokecolor="#000000">
            <v:stroke dashstyle="solid"/>
            <w10:wrap type="none"/>
          </v:line>
        </w:pict>
      </w:r>
      <w:r>
        <w:rPr>
          <w:sz w:val="16"/>
        </w:rPr>
        <w:t>En un patio o una azotea con un peto de fábrica que la delimite en todo su perímetro, en los que sólo exista un sumidero o punto de desagüe, es posible que se produzcan acumulaciones excesivas de agua por obstrucción del desagüe y falta de</w:t>
      </w:r>
      <w:r>
        <w:rPr>
          <w:spacing w:val="-2"/>
          <w:sz w:val="16"/>
        </w:rPr>
        <w:t> </w:t>
      </w:r>
      <w:r>
        <w:rPr>
          <w:sz w:val="16"/>
        </w:rPr>
        <w:t>mantenimiento.</w:t>
      </w:r>
    </w:p>
    <w:p>
      <w:pPr>
        <w:pStyle w:val="BodyText"/>
      </w:pPr>
    </w:p>
    <w:p>
      <w:pPr>
        <w:pStyle w:val="BodyText"/>
        <w:spacing w:before="11"/>
        <w:rPr>
          <w:sz w:val="24"/>
        </w:rPr>
      </w:pPr>
    </w:p>
    <w:p>
      <w:pPr>
        <w:pStyle w:val="Heading5"/>
        <w:numPr>
          <w:ilvl w:val="3"/>
          <w:numId w:val="14"/>
        </w:numPr>
        <w:tabs>
          <w:tab w:pos="928" w:val="left" w:leader="none"/>
        </w:tabs>
        <w:spacing w:line="240" w:lineRule="auto" w:before="94" w:after="0"/>
        <w:ind w:left="927" w:right="0" w:hanging="710"/>
        <w:jc w:val="left"/>
      </w:pPr>
      <w:r>
        <w:rPr/>
        <w:t>Cubiertas</w:t>
      </w:r>
      <w:r>
        <w:rPr>
          <w:spacing w:val="-17"/>
        </w:rPr>
        <w:t> </w:t>
      </w:r>
      <w:r>
        <w:rPr/>
        <w:t>inclinadas</w:t>
      </w:r>
    </w:p>
    <w:p>
      <w:pPr>
        <w:pStyle w:val="BodyText"/>
        <w:spacing w:before="158"/>
        <w:ind w:left="672" w:right="390" w:hanging="454"/>
        <w:jc w:val="both"/>
      </w:pPr>
      <w:r>
        <w:rPr/>
        <w:t>1 Deben respetarse las condiciones de disposición de bandas de refuerzo y de terminación, las de continuidad o discontinuidad, así como cualquier otra que afecte al diseño, relativas al sistema de </w:t>
      </w:r>
      <w:r>
        <w:rPr>
          <w:i/>
        </w:rPr>
        <w:t>impermeabilización </w:t>
      </w:r>
      <w:r>
        <w:rPr/>
        <w:t>que se</w:t>
      </w:r>
      <w:r>
        <w:rPr>
          <w:spacing w:val="-3"/>
        </w:rPr>
        <w:t> </w:t>
      </w:r>
      <w:r>
        <w:rPr/>
        <w:t>emplee.</w:t>
      </w:r>
    </w:p>
    <w:p>
      <w:pPr>
        <w:pStyle w:val="BodyText"/>
        <w:spacing w:before="8"/>
        <w:rPr>
          <w:sz w:val="23"/>
        </w:rPr>
      </w:pPr>
    </w:p>
    <w:p>
      <w:pPr>
        <w:pStyle w:val="Heading5"/>
        <w:numPr>
          <w:ilvl w:val="4"/>
          <w:numId w:val="14"/>
        </w:numPr>
        <w:tabs>
          <w:tab w:pos="1071" w:val="left" w:leader="none"/>
        </w:tabs>
        <w:spacing w:line="240" w:lineRule="auto" w:before="0" w:after="0"/>
        <w:ind w:left="1070" w:right="0" w:hanging="853"/>
        <w:jc w:val="left"/>
      </w:pPr>
      <w:r>
        <w:rPr/>
        <w:t>Encuentro de la cubierta con un paramento</w:t>
      </w:r>
      <w:r>
        <w:rPr>
          <w:spacing w:val="-6"/>
        </w:rPr>
        <w:t> </w:t>
      </w:r>
      <w:r>
        <w:rPr/>
        <w:t>vertical</w:t>
      </w:r>
    </w:p>
    <w:p>
      <w:pPr>
        <w:pStyle w:val="ListParagraph"/>
        <w:numPr>
          <w:ilvl w:val="0"/>
          <w:numId w:val="62"/>
        </w:numPr>
        <w:tabs>
          <w:tab w:pos="672" w:val="left" w:leader="none"/>
        </w:tabs>
        <w:spacing w:line="240" w:lineRule="auto" w:before="158" w:after="0"/>
        <w:ind w:left="672" w:right="391" w:hanging="454"/>
        <w:jc w:val="both"/>
        <w:rPr>
          <w:sz w:val="20"/>
        </w:rPr>
      </w:pPr>
      <w:r>
        <w:rPr>
          <w:sz w:val="20"/>
        </w:rPr>
        <w:t>En el encuentro de la cubierta con un paramento vertical deben disponerse elementos de protección prefabricados o realizados in</w:t>
      </w:r>
      <w:r>
        <w:rPr>
          <w:spacing w:val="-3"/>
          <w:sz w:val="20"/>
        </w:rPr>
        <w:t> </w:t>
      </w:r>
      <w:r>
        <w:rPr>
          <w:sz w:val="20"/>
        </w:rPr>
        <w:t>situ.</w:t>
      </w:r>
    </w:p>
    <w:p>
      <w:pPr>
        <w:pStyle w:val="ListParagraph"/>
        <w:numPr>
          <w:ilvl w:val="0"/>
          <w:numId w:val="62"/>
        </w:numPr>
        <w:tabs>
          <w:tab w:pos="673" w:val="left" w:leader="none"/>
        </w:tabs>
        <w:spacing w:line="240" w:lineRule="auto" w:before="120" w:after="0"/>
        <w:ind w:left="672" w:right="391" w:hanging="454"/>
        <w:jc w:val="both"/>
        <w:rPr>
          <w:sz w:val="20"/>
        </w:rPr>
      </w:pPr>
      <w:r>
        <w:rPr>
          <w:sz w:val="20"/>
        </w:rPr>
        <w:t>Los elementos de protección deben cubrir como mínimo una banda del paramento vertical de 25 cm de altura por encima del tejado y su remate debe realizarse de forma similar a la descrita en las cubiertas</w:t>
      </w:r>
      <w:r>
        <w:rPr>
          <w:spacing w:val="-1"/>
          <w:sz w:val="20"/>
        </w:rPr>
        <w:t> </w:t>
      </w:r>
      <w:r>
        <w:rPr>
          <w:sz w:val="20"/>
        </w:rPr>
        <w:t>planas.</w:t>
      </w:r>
    </w:p>
    <w:p>
      <w:pPr>
        <w:pStyle w:val="ListParagraph"/>
        <w:numPr>
          <w:ilvl w:val="0"/>
          <w:numId w:val="62"/>
        </w:numPr>
        <w:tabs>
          <w:tab w:pos="672" w:val="left" w:leader="none"/>
        </w:tabs>
        <w:spacing w:line="240" w:lineRule="auto" w:before="120" w:after="0"/>
        <w:ind w:left="672" w:right="392" w:hanging="454"/>
        <w:jc w:val="both"/>
        <w:rPr>
          <w:sz w:val="20"/>
        </w:rPr>
      </w:pPr>
      <w:r>
        <w:rPr>
          <w:sz w:val="20"/>
        </w:rPr>
        <w:t>Cuando el encuentro se produzca en la parte inferior del faldón, debe disponerse un canalón y realizarse según lo dispuesto en el apartado</w:t>
      </w:r>
      <w:r>
        <w:rPr>
          <w:spacing w:val="-9"/>
          <w:sz w:val="20"/>
        </w:rPr>
        <w:t> </w:t>
      </w:r>
      <w:r>
        <w:rPr>
          <w:sz w:val="20"/>
        </w:rPr>
        <w:t>2.4.4.2.9.</w:t>
      </w:r>
    </w:p>
    <w:p>
      <w:pPr>
        <w:pStyle w:val="ListParagraph"/>
        <w:numPr>
          <w:ilvl w:val="0"/>
          <w:numId w:val="62"/>
        </w:numPr>
        <w:tabs>
          <w:tab w:pos="672" w:val="left" w:leader="none"/>
        </w:tabs>
        <w:spacing w:line="240" w:lineRule="auto" w:before="119" w:after="0"/>
        <w:ind w:left="672" w:right="393" w:hanging="454"/>
        <w:jc w:val="both"/>
        <w:rPr>
          <w:sz w:val="20"/>
        </w:rPr>
      </w:pPr>
      <w:r>
        <w:rPr>
          <w:sz w:val="20"/>
        </w:rPr>
        <w:t>Cuando el encuentro se produzca en la parte superior o lateral del faldón, los elementos de protección deben colocarse por encima de las piezas del tejado y prolongarse 10 cm como mínimo desde el encuentro (Véase la figura</w:t>
      </w:r>
      <w:r>
        <w:rPr>
          <w:spacing w:val="-4"/>
          <w:sz w:val="20"/>
        </w:rPr>
        <w:t> </w:t>
      </w:r>
      <w:r>
        <w:rPr>
          <w:sz w:val="20"/>
        </w:rPr>
        <w:t>2.16).</w:t>
      </w:r>
    </w:p>
    <w:p>
      <w:pPr>
        <w:pStyle w:val="BodyText"/>
        <w:spacing w:before="8"/>
        <w:rPr>
          <w:sz w:val="9"/>
        </w:rPr>
      </w:pPr>
      <w:r>
        <w:rPr/>
        <w:pict>
          <v:group style="position:absolute;margin-left:190.233002pt;margin-top:7.574724pt;width:229.6pt;height:217.5pt;mso-position-horizontal-relative:page;mso-position-vertical-relative:paragraph;z-index:-251551744;mso-wrap-distance-left:0;mso-wrap-distance-right:0" coordorigin="3805,151" coordsize="4592,4350">
            <v:line style="position:absolute" from="6607,158" to="6607,4498" stroked="true" strokeweight=".649pt" strokecolor="#000000">
              <v:stroke dashstyle="solid"/>
            </v:line>
            <v:line style="position:absolute" from="5438,4498" to="5497,4498" stroked="true" strokeweight=".324pt" strokecolor="#000000">
              <v:stroke dashstyle="solid"/>
            </v:line>
            <v:shape style="position:absolute;left:6759;top:4497;width:59;height:2" coordorigin="6760,4498" coordsize="59,0" path="m6760,4498l6818,4498,6818,4498e" filled="false" stroked="true" strokeweight=".324pt" strokecolor="#000000">
              <v:path arrowok="t"/>
              <v:stroke dashstyle="solid"/>
            </v:shape>
            <v:line style="position:absolute" from="4707,1688" to="4707,1814" stroked="true" strokeweight=".324pt" strokecolor="#000000">
              <v:stroke dashstyle="solid"/>
            </v:line>
            <v:line style="position:absolute" from="4707,4170" to="4707,4170" stroked="true" strokeweight=".324pt" strokecolor="#000000">
              <v:stroke dashstyle="solid"/>
            </v:line>
            <v:shape style="position:absolute;left:4707;top:4225;width:2;height:127" coordorigin="4707,4225" coordsize="0,127" path="m4707,4225l4707,4352,4707,4352e" filled="false" stroked="true" strokeweight=".324pt" strokecolor="#000000">
              <v:path arrowok="t"/>
              <v:stroke dashstyle="solid"/>
            </v:shape>
            <v:shape style="position:absolute;left:3804;top:151;width:4592;height:4350" type="#_x0000_t75" stroked="false">
              <v:imagedata r:id="rId56" o:title=""/>
            </v:shape>
            <w10:wrap type="topAndBottom"/>
          </v:group>
        </w:pict>
      </w:r>
    </w:p>
    <w:p>
      <w:pPr>
        <w:spacing w:before="77"/>
        <w:ind w:left="655" w:right="519" w:firstLine="0"/>
        <w:jc w:val="center"/>
        <w:rPr>
          <w:b/>
          <w:sz w:val="18"/>
        </w:rPr>
      </w:pPr>
      <w:r>
        <w:rPr>
          <w:b/>
          <w:sz w:val="18"/>
        </w:rPr>
        <w:t>Figura 2.16 Encuentro en la parte superior del faldón</w:t>
      </w:r>
    </w:p>
    <w:p>
      <w:pPr>
        <w:pStyle w:val="BodyText"/>
        <w:rPr>
          <w:b/>
        </w:rPr>
      </w:pPr>
    </w:p>
    <w:p>
      <w:pPr>
        <w:pStyle w:val="BodyText"/>
        <w:spacing w:before="4"/>
        <w:rPr>
          <w:b/>
          <w:sz w:val="27"/>
        </w:rPr>
      </w:pPr>
    </w:p>
    <w:p>
      <w:pPr>
        <w:spacing w:before="0"/>
        <w:ind w:left="1958" w:right="380" w:firstLine="0"/>
        <w:jc w:val="left"/>
        <w:rPr>
          <w:sz w:val="16"/>
        </w:rPr>
      </w:pPr>
      <w:r>
        <w:rPr/>
        <w:pict>
          <v:line style="position:absolute;mso-position-horizontal-relative:page;mso-position-vertical-relative:paragraph;z-index:251767808" from="152.520004pt,-2.875987pt" to="152.520004pt,21.544013pt" stroked="true" strokeweight=".48pt" strokecolor="#000000">
            <v:stroke dashstyle="solid"/>
            <w10:wrap type="none"/>
          </v:line>
        </w:pict>
      </w:r>
      <w:r>
        <w:rPr>
          <w:sz w:val="16"/>
        </w:rPr>
        <w:t>Se pretende limitar el riesgo de filtración de agua por salpicaduras y en la discontinuidad entre el encuentro y en el paramento.</w:t>
      </w:r>
    </w:p>
    <w:p>
      <w:pPr>
        <w:spacing w:after="0"/>
        <w:jc w:val="left"/>
        <w:rPr>
          <w:sz w:val="16"/>
        </w:rPr>
        <w:sectPr>
          <w:pgSz w:w="11910" w:h="16840"/>
          <w:pgMar w:header="724" w:footer="636" w:top="1320" w:bottom="840" w:left="1200" w:right="738"/>
        </w:sectPr>
      </w:pPr>
    </w:p>
    <w:p>
      <w:pPr>
        <w:pStyle w:val="Heading5"/>
        <w:numPr>
          <w:ilvl w:val="4"/>
          <w:numId w:val="14"/>
        </w:numPr>
        <w:tabs>
          <w:tab w:pos="1071" w:val="left" w:leader="none"/>
        </w:tabs>
        <w:spacing w:line="240" w:lineRule="auto" w:before="101" w:after="0"/>
        <w:ind w:left="1070" w:right="0" w:hanging="853"/>
        <w:jc w:val="left"/>
      </w:pPr>
      <w:r>
        <w:rPr/>
        <w:t>Alero</w:t>
      </w:r>
    </w:p>
    <w:p>
      <w:pPr>
        <w:pStyle w:val="ListParagraph"/>
        <w:numPr>
          <w:ilvl w:val="0"/>
          <w:numId w:val="63"/>
        </w:numPr>
        <w:tabs>
          <w:tab w:pos="672" w:val="left" w:leader="none"/>
        </w:tabs>
        <w:spacing w:line="240" w:lineRule="auto" w:before="158" w:after="0"/>
        <w:ind w:left="671" w:right="391" w:hanging="454"/>
        <w:jc w:val="both"/>
        <w:rPr>
          <w:sz w:val="20"/>
        </w:rPr>
      </w:pPr>
      <w:r>
        <w:rPr>
          <w:sz w:val="20"/>
        </w:rPr>
        <w:t>Las piezas del tejado deben sobresalir 5 cm como mínimo y media pieza como máximo del soporte que conforma el</w:t>
      </w:r>
      <w:r>
        <w:rPr>
          <w:spacing w:val="-4"/>
          <w:sz w:val="20"/>
        </w:rPr>
        <w:t> </w:t>
      </w:r>
      <w:r>
        <w:rPr>
          <w:sz w:val="20"/>
        </w:rPr>
        <w:t>alero.</w:t>
      </w:r>
    </w:p>
    <w:p>
      <w:pPr>
        <w:pStyle w:val="ListParagraph"/>
        <w:numPr>
          <w:ilvl w:val="0"/>
          <w:numId w:val="63"/>
        </w:numPr>
        <w:tabs>
          <w:tab w:pos="672" w:val="left" w:leader="none"/>
        </w:tabs>
        <w:spacing w:line="240" w:lineRule="auto" w:before="120" w:after="0"/>
        <w:ind w:left="671" w:right="391" w:hanging="454"/>
        <w:jc w:val="both"/>
        <w:rPr>
          <w:sz w:val="20"/>
        </w:rPr>
      </w:pPr>
      <w:r>
        <w:rPr>
          <w:sz w:val="20"/>
        </w:rPr>
        <w:t>Cuando el tejado sea de pizarra o de teja, para evitar la filtración de agua a través de la unión de la primera hilada del tejado y el alero, debe realizarse en el borde un recalce de asiento de las piezas de la primera hilada de tal manera que tengan la misma pendiente que las de las siguientes, o debe adoptarse cualquier otra solución que produzca el mismo</w:t>
      </w:r>
      <w:r>
        <w:rPr>
          <w:spacing w:val="-9"/>
          <w:sz w:val="20"/>
        </w:rPr>
        <w:t> </w:t>
      </w:r>
      <w:r>
        <w:rPr>
          <w:sz w:val="20"/>
        </w:rPr>
        <w:t>efecto.</w:t>
      </w:r>
    </w:p>
    <w:p>
      <w:pPr>
        <w:pStyle w:val="BodyText"/>
        <w:rPr>
          <w:sz w:val="22"/>
        </w:rPr>
      </w:pPr>
    </w:p>
    <w:p>
      <w:pPr>
        <w:pStyle w:val="BodyText"/>
        <w:spacing w:before="6"/>
        <w:rPr>
          <w:sz w:val="30"/>
        </w:rPr>
      </w:pPr>
    </w:p>
    <w:p>
      <w:pPr>
        <w:spacing w:before="0"/>
        <w:ind w:left="1958" w:right="418" w:firstLine="0"/>
        <w:jc w:val="left"/>
        <w:rPr>
          <w:sz w:val="16"/>
        </w:rPr>
      </w:pPr>
      <w:r>
        <w:rPr/>
        <w:pict>
          <v:line style="position:absolute;mso-position-horizontal-relative:page;mso-position-vertical-relative:paragraph;z-index:251768832" from="152.520004pt,-2.875994pt" to="152.520004pt,21.544006pt" stroked="true" strokeweight=".48pt" strokecolor="#000000">
            <v:stroke dashstyle="solid"/>
            <w10:wrap type="none"/>
          </v:line>
        </w:pict>
      </w:r>
      <w:r>
        <w:rPr>
          <w:sz w:val="16"/>
        </w:rPr>
        <w:t>Se pretende limitar el riesgo de filtración de agua a causa de una incorrecta evacuación de agua por pen- diente inadecuada o por escorrentía.</w:t>
      </w:r>
    </w:p>
    <w:p>
      <w:pPr>
        <w:pStyle w:val="BodyText"/>
      </w:pPr>
    </w:p>
    <w:p>
      <w:pPr>
        <w:pStyle w:val="BodyText"/>
      </w:pPr>
    </w:p>
    <w:p>
      <w:pPr>
        <w:pStyle w:val="BodyText"/>
        <w:spacing w:before="7"/>
        <w:rPr>
          <w:sz w:val="17"/>
        </w:rPr>
      </w:pPr>
    </w:p>
    <w:p>
      <w:pPr>
        <w:pStyle w:val="Heading5"/>
        <w:numPr>
          <w:ilvl w:val="4"/>
          <w:numId w:val="14"/>
        </w:numPr>
        <w:tabs>
          <w:tab w:pos="1071" w:val="left" w:leader="none"/>
        </w:tabs>
        <w:spacing w:line="240" w:lineRule="auto" w:before="94" w:after="0"/>
        <w:ind w:left="1070" w:right="0" w:hanging="853"/>
        <w:jc w:val="left"/>
      </w:pPr>
      <w:r>
        <w:rPr/>
        <w:t>Borde</w:t>
      </w:r>
      <w:r>
        <w:rPr>
          <w:spacing w:val="-2"/>
        </w:rPr>
        <w:t> </w:t>
      </w:r>
      <w:r>
        <w:rPr/>
        <w:t>lateral</w:t>
      </w:r>
    </w:p>
    <w:p>
      <w:pPr>
        <w:pStyle w:val="BodyText"/>
        <w:spacing w:before="157"/>
        <w:ind w:left="672" w:right="391" w:hanging="454"/>
        <w:jc w:val="both"/>
      </w:pPr>
      <w:r>
        <w:rPr/>
        <w:t>1 En el borde lateral deben disponerse piezas especiales que vuelen lateralmente más de 5 cm o baberos protectores realizados in situ. En el último caso el borde puede rematarse con piezas especiales o con piezas normales que vuelen 5</w:t>
      </w:r>
      <w:r>
        <w:rPr>
          <w:spacing w:val="-3"/>
        </w:rPr>
        <w:t> </w:t>
      </w:r>
      <w:r>
        <w:rPr/>
        <w:t>cm.</w:t>
      </w:r>
    </w:p>
    <w:p>
      <w:pPr>
        <w:pStyle w:val="BodyText"/>
        <w:rPr>
          <w:sz w:val="22"/>
        </w:rPr>
      </w:pPr>
    </w:p>
    <w:p>
      <w:pPr>
        <w:pStyle w:val="BodyText"/>
        <w:spacing w:before="6"/>
        <w:rPr>
          <w:sz w:val="30"/>
        </w:rPr>
      </w:pPr>
    </w:p>
    <w:p>
      <w:pPr>
        <w:spacing w:before="0"/>
        <w:ind w:left="1958" w:right="0" w:firstLine="0"/>
        <w:jc w:val="left"/>
        <w:rPr>
          <w:sz w:val="16"/>
        </w:rPr>
      </w:pPr>
      <w:r>
        <w:rPr/>
        <w:pict>
          <v:line style="position:absolute;mso-position-horizontal-relative:page;mso-position-vertical-relative:paragraph;z-index:251769856" from="152.520004pt,-2.875993pt" to="152.520004pt,12.364007pt" stroked="true" strokeweight=".48pt" strokecolor="#000000">
            <v:stroke dashstyle="solid"/>
            <w10:wrap type="none"/>
          </v:line>
        </w:pict>
      </w:r>
      <w:r>
        <w:rPr>
          <w:sz w:val="16"/>
        </w:rPr>
        <w:t>Se pretende limitar el riesgo de filtración de agua en el borde lateral.</w:t>
      </w:r>
    </w:p>
    <w:p>
      <w:pPr>
        <w:pStyle w:val="BodyText"/>
      </w:pPr>
    </w:p>
    <w:p>
      <w:pPr>
        <w:pStyle w:val="BodyText"/>
      </w:pPr>
    </w:p>
    <w:p>
      <w:pPr>
        <w:pStyle w:val="BodyText"/>
        <w:spacing w:before="8"/>
        <w:rPr>
          <w:sz w:val="17"/>
        </w:rPr>
      </w:pPr>
    </w:p>
    <w:p>
      <w:pPr>
        <w:pStyle w:val="Heading6"/>
        <w:numPr>
          <w:ilvl w:val="4"/>
          <w:numId w:val="14"/>
        </w:numPr>
        <w:tabs>
          <w:tab w:pos="1071" w:val="left" w:leader="none"/>
        </w:tabs>
        <w:spacing w:line="240" w:lineRule="auto" w:before="94" w:after="0"/>
        <w:ind w:left="1070" w:right="0" w:hanging="853"/>
        <w:jc w:val="left"/>
        <w:rPr>
          <w:i/>
        </w:rPr>
      </w:pPr>
      <w:r>
        <w:rPr>
          <w:i/>
        </w:rPr>
        <w:t>Limahoyas</w:t>
      </w:r>
    </w:p>
    <w:p>
      <w:pPr>
        <w:pStyle w:val="ListParagraph"/>
        <w:numPr>
          <w:ilvl w:val="0"/>
          <w:numId w:val="64"/>
        </w:numPr>
        <w:tabs>
          <w:tab w:pos="671" w:val="left" w:leader="none"/>
          <w:tab w:pos="672" w:val="left" w:leader="none"/>
        </w:tabs>
        <w:spacing w:line="240" w:lineRule="auto" w:before="157" w:after="0"/>
        <w:ind w:left="671" w:right="0" w:hanging="454"/>
        <w:jc w:val="left"/>
        <w:rPr>
          <w:sz w:val="20"/>
        </w:rPr>
      </w:pPr>
      <w:r>
        <w:rPr>
          <w:sz w:val="20"/>
        </w:rPr>
        <w:t>En las </w:t>
      </w:r>
      <w:r>
        <w:rPr>
          <w:i/>
          <w:sz w:val="20"/>
        </w:rPr>
        <w:t>limahoyas </w:t>
      </w:r>
      <w:r>
        <w:rPr>
          <w:sz w:val="20"/>
        </w:rPr>
        <w:t>deben disponerse elementos de protección prefabricados o realizados in</w:t>
      </w:r>
      <w:r>
        <w:rPr>
          <w:spacing w:val="-28"/>
          <w:sz w:val="20"/>
        </w:rPr>
        <w:t> </w:t>
      </w:r>
      <w:r>
        <w:rPr>
          <w:sz w:val="20"/>
        </w:rPr>
        <w:t>situ.</w:t>
      </w:r>
    </w:p>
    <w:p>
      <w:pPr>
        <w:pStyle w:val="ListParagraph"/>
        <w:numPr>
          <w:ilvl w:val="0"/>
          <w:numId w:val="64"/>
        </w:numPr>
        <w:tabs>
          <w:tab w:pos="671" w:val="left" w:leader="none"/>
          <w:tab w:pos="672" w:val="left" w:leader="none"/>
        </w:tabs>
        <w:spacing w:line="240" w:lineRule="auto" w:before="121" w:after="0"/>
        <w:ind w:left="671" w:right="0" w:hanging="454"/>
        <w:jc w:val="left"/>
        <w:rPr>
          <w:sz w:val="20"/>
        </w:rPr>
      </w:pPr>
      <w:r>
        <w:rPr>
          <w:sz w:val="20"/>
        </w:rPr>
        <w:t>Las piezas del tejado deben sobresalir 5 cm como mínimo sobre la</w:t>
      </w:r>
      <w:r>
        <w:rPr>
          <w:spacing w:val="-11"/>
          <w:sz w:val="20"/>
        </w:rPr>
        <w:t> </w:t>
      </w:r>
      <w:r>
        <w:rPr>
          <w:i/>
          <w:sz w:val="20"/>
        </w:rPr>
        <w:t>limahoya</w:t>
      </w:r>
      <w:r>
        <w:rPr>
          <w:sz w:val="20"/>
        </w:rPr>
        <w:t>.</w:t>
      </w:r>
    </w:p>
    <w:p>
      <w:pPr>
        <w:pStyle w:val="ListParagraph"/>
        <w:numPr>
          <w:ilvl w:val="0"/>
          <w:numId w:val="64"/>
        </w:numPr>
        <w:tabs>
          <w:tab w:pos="671" w:val="left" w:leader="none"/>
          <w:tab w:pos="672" w:val="left" w:leader="none"/>
        </w:tabs>
        <w:spacing w:line="240" w:lineRule="auto" w:before="119" w:after="0"/>
        <w:ind w:left="671" w:right="0" w:hanging="454"/>
        <w:jc w:val="left"/>
        <w:rPr>
          <w:sz w:val="20"/>
        </w:rPr>
      </w:pPr>
      <w:r>
        <w:rPr>
          <w:sz w:val="20"/>
        </w:rPr>
        <w:t>La separación entre las piezas del tejado de los dos faldones debe ser 20 cm como</w:t>
      </w:r>
      <w:r>
        <w:rPr>
          <w:spacing w:val="-24"/>
          <w:sz w:val="20"/>
        </w:rPr>
        <w:t> </w:t>
      </w:r>
      <w:r>
        <w:rPr>
          <w:sz w:val="20"/>
        </w:rPr>
        <w:t>mínimo.</w:t>
      </w:r>
    </w:p>
    <w:p>
      <w:pPr>
        <w:pStyle w:val="BodyText"/>
        <w:rPr>
          <w:sz w:val="22"/>
        </w:rPr>
      </w:pPr>
    </w:p>
    <w:p>
      <w:pPr>
        <w:pStyle w:val="BodyText"/>
        <w:spacing w:before="6"/>
        <w:rPr>
          <w:sz w:val="30"/>
        </w:rPr>
      </w:pPr>
    </w:p>
    <w:p>
      <w:pPr>
        <w:spacing w:before="0"/>
        <w:ind w:left="1958" w:right="418" w:firstLine="0"/>
        <w:jc w:val="left"/>
        <w:rPr>
          <w:sz w:val="16"/>
        </w:rPr>
      </w:pPr>
      <w:r>
        <w:rPr/>
        <w:pict>
          <v:line style="position:absolute;mso-position-horizontal-relative:page;mso-position-vertical-relative:paragraph;z-index:251770880" from="152.520004pt,-2.875998pt" to="152.520004pt,21.544002pt" stroked="true" strokeweight=".48pt" strokecolor="#000000">
            <v:stroke dashstyle="solid"/>
            <w10:wrap type="none"/>
          </v:line>
        </w:pict>
      </w:r>
      <w:r>
        <w:rPr>
          <w:sz w:val="16"/>
        </w:rPr>
        <w:t>Se pretende limitar el riesgo de filtración de agua por una discontinuidad o por una incorrecta evacuación de agua.</w:t>
      </w:r>
    </w:p>
    <w:p>
      <w:pPr>
        <w:pStyle w:val="BodyText"/>
      </w:pPr>
    </w:p>
    <w:p>
      <w:pPr>
        <w:pStyle w:val="BodyText"/>
      </w:pPr>
    </w:p>
    <w:p>
      <w:pPr>
        <w:pStyle w:val="BodyText"/>
        <w:spacing w:before="7"/>
        <w:rPr>
          <w:sz w:val="17"/>
        </w:rPr>
      </w:pPr>
    </w:p>
    <w:p>
      <w:pPr>
        <w:pStyle w:val="ListParagraph"/>
        <w:numPr>
          <w:ilvl w:val="4"/>
          <w:numId w:val="14"/>
        </w:numPr>
        <w:tabs>
          <w:tab w:pos="1072" w:val="left" w:leader="none"/>
        </w:tabs>
        <w:spacing w:line="240" w:lineRule="auto" w:before="94" w:after="0"/>
        <w:ind w:left="1071" w:right="0" w:hanging="854"/>
        <w:jc w:val="left"/>
        <w:rPr>
          <w:b/>
          <w:i/>
          <w:sz w:val="20"/>
        </w:rPr>
      </w:pPr>
      <w:r>
        <w:rPr>
          <w:b/>
          <w:sz w:val="20"/>
        </w:rPr>
        <w:t>Cumbreras y</w:t>
      </w:r>
      <w:r>
        <w:rPr>
          <w:b/>
          <w:spacing w:val="-3"/>
          <w:sz w:val="20"/>
        </w:rPr>
        <w:t> </w:t>
      </w:r>
      <w:r>
        <w:rPr>
          <w:b/>
          <w:i/>
          <w:sz w:val="20"/>
        </w:rPr>
        <w:t>limatesas</w:t>
      </w:r>
    </w:p>
    <w:p>
      <w:pPr>
        <w:pStyle w:val="ListParagraph"/>
        <w:numPr>
          <w:ilvl w:val="0"/>
          <w:numId w:val="65"/>
        </w:numPr>
        <w:tabs>
          <w:tab w:pos="672" w:val="left" w:leader="none"/>
        </w:tabs>
        <w:spacing w:line="240" w:lineRule="auto" w:before="157" w:after="0"/>
        <w:ind w:left="672" w:right="392" w:hanging="454"/>
        <w:jc w:val="both"/>
        <w:rPr>
          <w:sz w:val="20"/>
        </w:rPr>
      </w:pPr>
      <w:r>
        <w:rPr>
          <w:sz w:val="20"/>
        </w:rPr>
        <w:t>En las cumbreras y </w:t>
      </w:r>
      <w:r>
        <w:rPr>
          <w:i/>
          <w:sz w:val="20"/>
        </w:rPr>
        <w:t>limatesas </w:t>
      </w:r>
      <w:r>
        <w:rPr>
          <w:sz w:val="20"/>
        </w:rPr>
        <w:t>deben disponerse piezas especiales, que deben solapar 5 cm como mínimo sobre las piezas del tejado de ambos</w:t>
      </w:r>
      <w:r>
        <w:rPr>
          <w:spacing w:val="-3"/>
          <w:sz w:val="20"/>
        </w:rPr>
        <w:t> </w:t>
      </w:r>
      <w:r>
        <w:rPr>
          <w:sz w:val="20"/>
        </w:rPr>
        <w:t>faldones.</w:t>
      </w:r>
    </w:p>
    <w:p>
      <w:pPr>
        <w:pStyle w:val="ListParagraph"/>
        <w:numPr>
          <w:ilvl w:val="0"/>
          <w:numId w:val="65"/>
        </w:numPr>
        <w:tabs>
          <w:tab w:pos="672" w:val="left" w:leader="none"/>
        </w:tabs>
        <w:spacing w:line="240" w:lineRule="auto" w:before="121" w:after="0"/>
        <w:ind w:left="671" w:right="391" w:hanging="454"/>
        <w:jc w:val="both"/>
        <w:rPr>
          <w:sz w:val="20"/>
        </w:rPr>
      </w:pPr>
      <w:r>
        <w:rPr>
          <w:sz w:val="20"/>
        </w:rPr>
        <w:t>Las piezas del tejado de la última hilada horizontal superior y las de la cumbrera y la limatesa deben fijarse.</w:t>
      </w:r>
    </w:p>
    <w:p>
      <w:pPr>
        <w:pStyle w:val="ListParagraph"/>
        <w:numPr>
          <w:ilvl w:val="0"/>
          <w:numId w:val="65"/>
        </w:numPr>
        <w:tabs>
          <w:tab w:pos="672" w:val="left" w:leader="none"/>
        </w:tabs>
        <w:spacing w:line="240" w:lineRule="auto" w:before="120" w:after="0"/>
        <w:ind w:left="671" w:right="392" w:hanging="454"/>
        <w:jc w:val="both"/>
        <w:rPr>
          <w:sz w:val="20"/>
        </w:rPr>
      </w:pPr>
      <w:r>
        <w:rPr>
          <w:sz w:val="20"/>
        </w:rPr>
        <w:t>Cuando no sea posible el solape entre las piezas de una cumbrera en un cambio de dirección o en un encuentro de cumbreras este encuentro debe impermeabilizarse con piezas especiales o baberos protectores.</w:t>
      </w:r>
    </w:p>
    <w:p>
      <w:pPr>
        <w:pStyle w:val="BodyText"/>
        <w:rPr>
          <w:sz w:val="22"/>
        </w:rPr>
      </w:pPr>
    </w:p>
    <w:p>
      <w:pPr>
        <w:pStyle w:val="BodyText"/>
        <w:spacing w:before="6"/>
        <w:rPr>
          <w:sz w:val="30"/>
        </w:rPr>
      </w:pPr>
    </w:p>
    <w:p>
      <w:pPr>
        <w:spacing w:before="0"/>
        <w:ind w:left="1958" w:right="0" w:firstLine="0"/>
        <w:jc w:val="left"/>
        <w:rPr>
          <w:sz w:val="16"/>
        </w:rPr>
      </w:pPr>
      <w:r>
        <w:rPr/>
        <w:pict>
          <v:line style="position:absolute;mso-position-horizontal-relative:page;mso-position-vertical-relative:paragraph;z-index:251771904" from="152.520004pt,-2.875986pt" to="152.520004pt,12.364014pt" stroked="true" strokeweight=".48pt" strokecolor="#000000">
            <v:stroke dashstyle="solid"/>
            <w10:wrap type="none"/>
          </v:line>
        </w:pict>
      </w:r>
      <w:r>
        <w:rPr>
          <w:sz w:val="16"/>
        </w:rPr>
        <w:t>Se pretende limitar el riesgo de filtración de agua por una discontinuidad.</w:t>
      </w:r>
    </w:p>
    <w:p>
      <w:pPr>
        <w:pStyle w:val="BodyText"/>
      </w:pPr>
    </w:p>
    <w:p>
      <w:pPr>
        <w:pStyle w:val="BodyText"/>
      </w:pPr>
    </w:p>
    <w:p>
      <w:pPr>
        <w:pStyle w:val="BodyText"/>
        <w:spacing w:before="7"/>
        <w:rPr>
          <w:sz w:val="17"/>
        </w:rPr>
      </w:pPr>
    </w:p>
    <w:p>
      <w:pPr>
        <w:pStyle w:val="ListParagraph"/>
        <w:numPr>
          <w:ilvl w:val="4"/>
          <w:numId w:val="14"/>
        </w:numPr>
        <w:tabs>
          <w:tab w:pos="1071" w:val="left" w:leader="none"/>
        </w:tabs>
        <w:spacing w:line="240" w:lineRule="auto" w:before="94" w:after="0"/>
        <w:ind w:left="1070" w:right="0" w:hanging="853"/>
        <w:jc w:val="left"/>
        <w:rPr>
          <w:b/>
          <w:i/>
          <w:sz w:val="20"/>
        </w:rPr>
      </w:pPr>
      <w:r>
        <w:rPr>
          <w:b/>
          <w:sz w:val="20"/>
        </w:rPr>
        <w:t>Encuentro de la cubierta con </w:t>
      </w:r>
      <w:r>
        <w:rPr>
          <w:b/>
          <w:i/>
          <w:sz w:val="20"/>
        </w:rPr>
        <w:t>elementos</w:t>
      </w:r>
      <w:r>
        <w:rPr>
          <w:b/>
          <w:i/>
          <w:spacing w:val="-20"/>
          <w:sz w:val="20"/>
        </w:rPr>
        <w:t> </w:t>
      </w:r>
      <w:r>
        <w:rPr>
          <w:b/>
          <w:i/>
          <w:sz w:val="20"/>
        </w:rPr>
        <w:t>pasantes</w:t>
      </w:r>
    </w:p>
    <w:p>
      <w:pPr>
        <w:pStyle w:val="ListParagraph"/>
        <w:numPr>
          <w:ilvl w:val="0"/>
          <w:numId w:val="66"/>
        </w:numPr>
        <w:tabs>
          <w:tab w:pos="671" w:val="left" w:leader="none"/>
          <w:tab w:pos="673" w:val="left" w:leader="none"/>
        </w:tabs>
        <w:spacing w:line="240" w:lineRule="auto" w:before="158" w:after="0"/>
        <w:ind w:left="672" w:right="0" w:hanging="455"/>
        <w:jc w:val="left"/>
        <w:rPr>
          <w:sz w:val="20"/>
        </w:rPr>
      </w:pPr>
      <w:r>
        <w:rPr>
          <w:sz w:val="20"/>
        </w:rPr>
        <w:t>Los </w:t>
      </w:r>
      <w:r>
        <w:rPr>
          <w:i/>
          <w:sz w:val="20"/>
        </w:rPr>
        <w:t>elementos pasantes </w:t>
      </w:r>
      <w:r>
        <w:rPr>
          <w:sz w:val="20"/>
        </w:rPr>
        <w:t>no debe disponerse en las</w:t>
      </w:r>
      <w:r>
        <w:rPr>
          <w:spacing w:val="-24"/>
          <w:sz w:val="20"/>
        </w:rPr>
        <w:t> </w:t>
      </w:r>
      <w:r>
        <w:rPr>
          <w:i/>
          <w:sz w:val="20"/>
        </w:rPr>
        <w:t>limahoya</w:t>
      </w:r>
      <w:r>
        <w:rPr>
          <w:sz w:val="20"/>
        </w:rPr>
        <w:t>.</w:t>
      </w:r>
    </w:p>
    <w:p>
      <w:pPr>
        <w:spacing w:after="0" w:line="240" w:lineRule="auto"/>
        <w:jc w:val="left"/>
        <w:rPr>
          <w:sz w:val="20"/>
        </w:rPr>
        <w:sectPr>
          <w:pgSz w:w="11910" w:h="16840"/>
          <w:pgMar w:header="724" w:footer="636" w:top="1320" w:bottom="840" w:left="1200" w:right="738"/>
        </w:sectPr>
      </w:pPr>
    </w:p>
    <w:p>
      <w:pPr>
        <w:pStyle w:val="ListParagraph"/>
        <w:numPr>
          <w:ilvl w:val="0"/>
          <w:numId w:val="66"/>
        </w:numPr>
        <w:tabs>
          <w:tab w:pos="672" w:val="left" w:leader="none"/>
        </w:tabs>
        <w:spacing w:line="240" w:lineRule="auto" w:before="89" w:after="0"/>
        <w:ind w:left="672" w:right="393" w:hanging="454"/>
        <w:jc w:val="both"/>
        <w:rPr>
          <w:sz w:val="20"/>
        </w:rPr>
      </w:pPr>
      <w:r>
        <w:rPr>
          <w:sz w:val="20"/>
        </w:rPr>
        <w:t>La parte superior del encuentro del faldón con el </w:t>
      </w:r>
      <w:r>
        <w:rPr>
          <w:i/>
          <w:sz w:val="20"/>
        </w:rPr>
        <w:t>elemento pasante </w:t>
      </w:r>
      <w:r>
        <w:rPr>
          <w:sz w:val="20"/>
        </w:rPr>
        <w:t>debe resolverse de tal manera que se desvíe el agua hacia los lados del</w:t>
      </w:r>
      <w:r>
        <w:rPr>
          <w:spacing w:val="-12"/>
          <w:sz w:val="20"/>
        </w:rPr>
        <w:t> </w:t>
      </w:r>
      <w:r>
        <w:rPr>
          <w:sz w:val="20"/>
        </w:rPr>
        <w:t>mismo.</w:t>
      </w:r>
    </w:p>
    <w:p>
      <w:pPr>
        <w:pStyle w:val="ListParagraph"/>
        <w:numPr>
          <w:ilvl w:val="0"/>
          <w:numId w:val="66"/>
        </w:numPr>
        <w:tabs>
          <w:tab w:pos="672" w:val="left" w:leader="none"/>
        </w:tabs>
        <w:spacing w:line="240" w:lineRule="auto" w:before="120" w:after="0"/>
        <w:ind w:left="672" w:right="391" w:hanging="454"/>
        <w:jc w:val="both"/>
        <w:rPr>
          <w:sz w:val="20"/>
        </w:rPr>
      </w:pPr>
      <w:r>
        <w:rPr>
          <w:sz w:val="20"/>
        </w:rPr>
        <w:t>En el perímetro del encuentro deben disponerse elementos de protección prefabricados o realizados in situ, que deben cubrir una banda del </w:t>
      </w:r>
      <w:r>
        <w:rPr>
          <w:i/>
          <w:sz w:val="20"/>
        </w:rPr>
        <w:t>elemento pasante </w:t>
      </w:r>
      <w:r>
        <w:rPr>
          <w:sz w:val="20"/>
        </w:rPr>
        <w:t>por encima del tejado de 20 cm de altura como</w:t>
      </w:r>
      <w:r>
        <w:rPr>
          <w:spacing w:val="-6"/>
          <w:sz w:val="20"/>
        </w:rPr>
        <w:t> </w:t>
      </w:r>
      <w:r>
        <w:rPr>
          <w:sz w:val="20"/>
        </w:rPr>
        <w:t>mínimo.</w:t>
      </w:r>
    </w:p>
    <w:p>
      <w:pPr>
        <w:pStyle w:val="BodyText"/>
        <w:rPr>
          <w:sz w:val="22"/>
        </w:rPr>
      </w:pPr>
    </w:p>
    <w:p>
      <w:pPr>
        <w:pStyle w:val="BodyText"/>
        <w:spacing w:before="6"/>
        <w:rPr>
          <w:sz w:val="30"/>
        </w:rPr>
      </w:pPr>
    </w:p>
    <w:p>
      <w:pPr>
        <w:spacing w:before="0"/>
        <w:ind w:left="1958" w:right="418" w:firstLine="0"/>
        <w:jc w:val="left"/>
        <w:rPr>
          <w:sz w:val="16"/>
        </w:rPr>
      </w:pPr>
      <w:r>
        <w:rPr/>
        <w:pict>
          <v:line style="position:absolute;mso-position-horizontal-relative:page;mso-position-vertical-relative:paragraph;z-index:251772928" from="152.520004pt,-2.875994pt" to="152.520004pt,21.544006pt" stroked="true" strokeweight=".48pt" strokecolor="#000000">
            <v:stroke dashstyle="solid"/>
            <w10:wrap type="none"/>
          </v:line>
        </w:pict>
      </w:r>
      <w:r>
        <w:rPr>
          <w:sz w:val="16"/>
        </w:rPr>
        <w:t>Se pretende limitar el riesgo de filtración de agua por una discontinuidad en el encuentro del elemento pasante y la cubierta.</w:t>
      </w:r>
    </w:p>
    <w:p>
      <w:pPr>
        <w:pStyle w:val="BodyText"/>
      </w:pPr>
    </w:p>
    <w:p>
      <w:pPr>
        <w:pStyle w:val="BodyText"/>
      </w:pPr>
    </w:p>
    <w:p>
      <w:pPr>
        <w:pStyle w:val="BodyText"/>
        <w:spacing w:before="7"/>
        <w:rPr>
          <w:sz w:val="17"/>
        </w:rPr>
      </w:pPr>
    </w:p>
    <w:p>
      <w:pPr>
        <w:pStyle w:val="Heading5"/>
        <w:numPr>
          <w:ilvl w:val="4"/>
          <w:numId w:val="14"/>
        </w:numPr>
        <w:tabs>
          <w:tab w:pos="1071" w:val="left" w:leader="none"/>
        </w:tabs>
        <w:spacing w:line="240" w:lineRule="auto" w:before="94" w:after="0"/>
        <w:ind w:left="1070" w:right="0" w:hanging="853"/>
        <w:jc w:val="left"/>
      </w:pPr>
      <w:r>
        <w:rPr/>
        <w:t>Lucernarios</w:t>
      </w:r>
    </w:p>
    <w:p>
      <w:pPr>
        <w:pStyle w:val="ListParagraph"/>
        <w:numPr>
          <w:ilvl w:val="0"/>
          <w:numId w:val="67"/>
        </w:numPr>
        <w:tabs>
          <w:tab w:pos="672" w:val="left" w:leader="none"/>
        </w:tabs>
        <w:spacing w:line="240" w:lineRule="auto" w:before="157" w:after="0"/>
        <w:ind w:left="672" w:right="390" w:hanging="454"/>
        <w:jc w:val="both"/>
        <w:rPr>
          <w:sz w:val="20"/>
        </w:rPr>
      </w:pPr>
      <w:r>
        <w:rPr>
          <w:sz w:val="20"/>
        </w:rPr>
        <w:t>Deben impermeabilizarse las zonas del faldón que estén en contacto con el precerco o el cerco del lucernario mediante elementos de protección prefabricados o realizados in</w:t>
      </w:r>
      <w:r>
        <w:rPr>
          <w:spacing w:val="-10"/>
          <w:sz w:val="20"/>
        </w:rPr>
        <w:t> </w:t>
      </w:r>
      <w:r>
        <w:rPr>
          <w:sz w:val="20"/>
        </w:rPr>
        <w:t>situ.</w:t>
      </w:r>
    </w:p>
    <w:p>
      <w:pPr>
        <w:pStyle w:val="ListParagraph"/>
        <w:numPr>
          <w:ilvl w:val="0"/>
          <w:numId w:val="67"/>
        </w:numPr>
        <w:tabs>
          <w:tab w:pos="672" w:val="left" w:leader="none"/>
        </w:tabs>
        <w:spacing w:line="240" w:lineRule="auto" w:before="120" w:after="0"/>
        <w:ind w:left="672" w:right="393" w:hanging="454"/>
        <w:jc w:val="both"/>
        <w:rPr>
          <w:sz w:val="20"/>
        </w:rPr>
      </w:pPr>
      <w:r>
        <w:rPr>
          <w:sz w:val="20"/>
        </w:rPr>
        <w:t>En la parte inferior del lucernario, los elementos de protección deben colocarse por encima de las piezas del tejado y prolongarse 10 cm como mínimo desde el encuentro y en la superior por debajo y prolongarse 10 cm como</w:t>
      </w:r>
      <w:r>
        <w:rPr>
          <w:spacing w:val="-5"/>
          <w:sz w:val="20"/>
        </w:rPr>
        <w:t> </w:t>
      </w:r>
      <w:r>
        <w:rPr>
          <w:sz w:val="20"/>
        </w:rPr>
        <w:t>mínimo.</w:t>
      </w:r>
    </w:p>
    <w:p>
      <w:pPr>
        <w:pStyle w:val="BodyText"/>
        <w:rPr>
          <w:sz w:val="22"/>
        </w:rPr>
      </w:pPr>
    </w:p>
    <w:p>
      <w:pPr>
        <w:pStyle w:val="BodyText"/>
        <w:spacing w:before="7"/>
        <w:rPr>
          <w:sz w:val="30"/>
        </w:rPr>
      </w:pPr>
    </w:p>
    <w:p>
      <w:pPr>
        <w:spacing w:before="0"/>
        <w:ind w:left="655" w:right="384" w:firstLine="0"/>
        <w:jc w:val="center"/>
        <w:rPr>
          <w:sz w:val="16"/>
        </w:rPr>
      </w:pPr>
      <w:r>
        <w:rPr/>
        <w:pict>
          <v:line style="position:absolute;mso-position-horizontal-relative:page;mso-position-vertical-relative:paragraph;z-index:251773952" from="152.520004pt,-2.875848pt" to="152.520004pt,12.304152pt" stroked="true" strokeweight=".48pt" strokecolor="#000000">
            <v:stroke dashstyle="solid"/>
            <w10:wrap type="none"/>
          </v:line>
        </w:pict>
      </w:r>
      <w:r>
        <w:rPr>
          <w:sz w:val="16"/>
        </w:rPr>
        <w:t>Se pretende limitar el riesgo de filtración de agua por una discontinuidad en el encuentro.</w:t>
      </w:r>
    </w:p>
    <w:p>
      <w:pPr>
        <w:pStyle w:val="BodyText"/>
      </w:pPr>
    </w:p>
    <w:p>
      <w:pPr>
        <w:pStyle w:val="BodyText"/>
      </w:pPr>
    </w:p>
    <w:p>
      <w:pPr>
        <w:pStyle w:val="BodyText"/>
        <w:spacing w:before="6"/>
        <w:rPr>
          <w:sz w:val="17"/>
        </w:rPr>
      </w:pPr>
    </w:p>
    <w:p>
      <w:pPr>
        <w:pStyle w:val="Heading5"/>
        <w:numPr>
          <w:ilvl w:val="4"/>
          <w:numId w:val="14"/>
        </w:numPr>
        <w:tabs>
          <w:tab w:pos="1071" w:val="left" w:leader="none"/>
        </w:tabs>
        <w:spacing w:line="240" w:lineRule="auto" w:before="94" w:after="0"/>
        <w:ind w:left="1070" w:right="0" w:hanging="853"/>
        <w:jc w:val="left"/>
      </w:pPr>
      <w:r>
        <w:rPr/>
        <w:t>Anclaje de</w:t>
      </w:r>
      <w:r>
        <w:rPr>
          <w:spacing w:val="-2"/>
        </w:rPr>
        <w:t> </w:t>
      </w:r>
      <w:r>
        <w:rPr/>
        <w:t>elementos</w:t>
      </w:r>
    </w:p>
    <w:p>
      <w:pPr>
        <w:pStyle w:val="ListParagraph"/>
        <w:numPr>
          <w:ilvl w:val="0"/>
          <w:numId w:val="68"/>
        </w:numPr>
        <w:tabs>
          <w:tab w:pos="671" w:val="left" w:leader="none"/>
          <w:tab w:pos="672" w:val="left" w:leader="none"/>
        </w:tabs>
        <w:spacing w:line="240" w:lineRule="auto" w:before="158" w:after="0"/>
        <w:ind w:left="671" w:right="0" w:hanging="454"/>
        <w:jc w:val="left"/>
        <w:rPr>
          <w:sz w:val="20"/>
        </w:rPr>
      </w:pPr>
      <w:r>
        <w:rPr>
          <w:sz w:val="20"/>
        </w:rPr>
        <w:t>Los anclajes no deben disponerse en las</w:t>
      </w:r>
      <w:r>
        <w:rPr>
          <w:spacing w:val="-2"/>
          <w:sz w:val="20"/>
        </w:rPr>
        <w:t> </w:t>
      </w:r>
      <w:r>
        <w:rPr>
          <w:i/>
          <w:sz w:val="20"/>
        </w:rPr>
        <w:t>limahoyas</w:t>
      </w:r>
      <w:r>
        <w:rPr>
          <w:sz w:val="20"/>
        </w:rPr>
        <w:t>.</w:t>
      </w:r>
    </w:p>
    <w:p>
      <w:pPr>
        <w:pStyle w:val="ListParagraph"/>
        <w:numPr>
          <w:ilvl w:val="0"/>
          <w:numId w:val="68"/>
        </w:numPr>
        <w:tabs>
          <w:tab w:pos="671" w:val="left" w:leader="none"/>
          <w:tab w:pos="672" w:val="left" w:leader="none"/>
        </w:tabs>
        <w:spacing w:line="240" w:lineRule="auto" w:before="120" w:after="0"/>
        <w:ind w:left="671" w:right="391" w:hanging="454"/>
        <w:jc w:val="left"/>
        <w:rPr>
          <w:sz w:val="20"/>
        </w:rPr>
      </w:pPr>
      <w:r>
        <w:rPr>
          <w:sz w:val="20"/>
        </w:rPr>
        <w:t>Deben disponerse elementos de protección prefabricados o realizados in situ, que deben cubrir una banda del elemento anclado de una altura de 20 cm como mínimo por encima del</w:t>
      </w:r>
      <w:r>
        <w:rPr>
          <w:spacing w:val="-22"/>
          <w:sz w:val="20"/>
        </w:rPr>
        <w:t> </w:t>
      </w:r>
      <w:r>
        <w:rPr>
          <w:sz w:val="20"/>
        </w:rPr>
        <w:t>tejado.</w:t>
      </w:r>
    </w:p>
    <w:p>
      <w:pPr>
        <w:pStyle w:val="BodyText"/>
        <w:rPr>
          <w:sz w:val="22"/>
        </w:rPr>
      </w:pPr>
    </w:p>
    <w:p>
      <w:pPr>
        <w:pStyle w:val="BodyText"/>
        <w:spacing w:before="7"/>
        <w:rPr>
          <w:sz w:val="30"/>
        </w:rPr>
      </w:pPr>
    </w:p>
    <w:p>
      <w:pPr>
        <w:spacing w:before="0"/>
        <w:ind w:left="1958" w:right="0" w:firstLine="0"/>
        <w:jc w:val="left"/>
        <w:rPr>
          <w:sz w:val="16"/>
        </w:rPr>
      </w:pPr>
      <w:r>
        <w:rPr/>
        <w:pict>
          <v:line style="position:absolute;mso-position-horizontal-relative:page;mso-position-vertical-relative:paragraph;z-index:251774976" from="152.520004pt,-2.875824pt" to="152.520004pt,12.304176pt" stroked="true" strokeweight=".48pt" strokecolor="#000000">
            <v:stroke dashstyle="solid"/>
            <w10:wrap type="none"/>
          </v:line>
        </w:pict>
      </w:r>
      <w:r>
        <w:rPr>
          <w:sz w:val="16"/>
        </w:rPr>
        <w:t>Se pretende limitar el riesgo de filtración de agua en el encuentro del anclaje con la cubierta.</w:t>
      </w:r>
    </w:p>
    <w:p>
      <w:pPr>
        <w:pStyle w:val="BodyText"/>
      </w:pPr>
    </w:p>
    <w:p>
      <w:pPr>
        <w:pStyle w:val="BodyText"/>
      </w:pPr>
    </w:p>
    <w:p>
      <w:pPr>
        <w:pStyle w:val="BodyText"/>
        <w:spacing w:before="6"/>
        <w:rPr>
          <w:sz w:val="17"/>
        </w:rPr>
      </w:pPr>
    </w:p>
    <w:p>
      <w:pPr>
        <w:pStyle w:val="Heading5"/>
        <w:numPr>
          <w:ilvl w:val="4"/>
          <w:numId w:val="14"/>
        </w:numPr>
        <w:tabs>
          <w:tab w:pos="1071" w:val="left" w:leader="none"/>
        </w:tabs>
        <w:spacing w:line="240" w:lineRule="auto" w:before="94" w:after="0"/>
        <w:ind w:left="1070" w:right="0" w:hanging="853"/>
        <w:jc w:val="left"/>
      </w:pPr>
      <w:r>
        <w:rPr/>
        <w:t>Canalones</w:t>
      </w:r>
    </w:p>
    <w:p>
      <w:pPr>
        <w:pStyle w:val="ListParagraph"/>
        <w:numPr>
          <w:ilvl w:val="0"/>
          <w:numId w:val="69"/>
        </w:numPr>
        <w:tabs>
          <w:tab w:pos="671" w:val="left" w:leader="none"/>
          <w:tab w:pos="672" w:val="left" w:leader="none"/>
        </w:tabs>
        <w:spacing w:line="240" w:lineRule="auto" w:before="157" w:after="0"/>
        <w:ind w:left="672" w:right="392" w:hanging="454"/>
        <w:jc w:val="left"/>
        <w:rPr>
          <w:sz w:val="20"/>
        </w:rPr>
      </w:pPr>
      <w:r>
        <w:rPr>
          <w:sz w:val="20"/>
        </w:rPr>
        <w:t>Para la formación del canalón deben disponerse elementos de protección prefabricados o realizados in</w:t>
      </w:r>
      <w:r>
        <w:rPr>
          <w:spacing w:val="-3"/>
          <w:sz w:val="20"/>
        </w:rPr>
        <w:t> </w:t>
      </w:r>
      <w:r>
        <w:rPr>
          <w:sz w:val="20"/>
        </w:rPr>
        <w:t>situ.</w:t>
      </w:r>
    </w:p>
    <w:p>
      <w:pPr>
        <w:pStyle w:val="ListParagraph"/>
        <w:numPr>
          <w:ilvl w:val="0"/>
          <w:numId w:val="69"/>
        </w:numPr>
        <w:tabs>
          <w:tab w:pos="671" w:val="left" w:leader="none"/>
          <w:tab w:pos="672" w:val="left" w:leader="none"/>
        </w:tabs>
        <w:spacing w:line="240" w:lineRule="auto" w:before="121" w:after="0"/>
        <w:ind w:left="671" w:right="0" w:hanging="454"/>
        <w:jc w:val="left"/>
        <w:rPr>
          <w:sz w:val="20"/>
        </w:rPr>
      </w:pPr>
      <w:r>
        <w:rPr>
          <w:sz w:val="20"/>
        </w:rPr>
        <w:t>Los canalones deben disponerse con una pendiente hacia el desagüe del 1% como</w:t>
      </w:r>
      <w:r>
        <w:rPr>
          <w:spacing w:val="-24"/>
          <w:sz w:val="20"/>
        </w:rPr>
        <w:t> </w:t>
      </w:r>
      <w:r>
        <w:rPr>
          <w:sz w:val="20"/>
        </w:rPr>
        <w:t>mínimo.</w:t>
      </w:r>
    </w:p>
    <w:p>
      <w:pPr>
        <w:pStyle w:val="ListParagraph"/>
        <w:numPr>
          <w:ilvl w:val="0"/>
          <w:numId w:val="69"/>
        </w:numPr>
        <w:tabs>
          <w:tab w:pos="671" w:val="left" w:leader="none"/>
          <w:tab w:pos="672" w:val="left" w:leader="none"/>
        </w:tabs>
        <w:spacing w:line="240" w:lineRule="auto" w:before="120" w:after="0"/>
        <w:ind w:left="672" w:right="390" w:hanging="454"/>
        <w:jc w:val="left"/>
        <w:rPr>
          <w:sz w:val="20"/>
        </w:rPr>
      </w:pPr>
      <w:r>
        <w:rPr>
          <w:sz w:val="20"/>
        </w:rPr>
        <w:t>Las piezas del tejado que vierten sobre el canalón deben sobresalir 5 cm como mínimo sobre el mismo.</w:t>
      </w:r>
    </w:p>
    <w:p>
      <w:pPr>
        <w:pStyle w:val="ListParagraph"/>
        <w:numPr>
          <w:ilvl w:val="0"/>
          <w:numId w:val="69"/>
        </w:numPr>
        <w:tabs>
          <w:tab w:pos="671" w:val="left" w:leader="none"/>
          <w:tab w:pos="672" w:val="left" w:leader="none"/>
        </w:tabs>
        <w:spacing w:line="240" w:lineRule="auto" w:before="120" w:after="0"/>
        <w:ind w:left="672" w:right="392" w:hanging="454"/>
        <w:jc w:val="left"/>
        <w:rPr>
          <w:sz w:val="20"/>
        </w:rPr>
      </w:pPr>
      <w:r>
        <w:rPr>
          <w:sz w:val="20"/>
        </w:rPr>
        <w:t>Cuando el canalón sea visto, debe disponerse el borde más cercano a la fachada de tal forma que quede por encima del borde exterior del</w:t>
      </w:r>
      <w:r>
        <w:rPr>
          <w:spacing w:val="-9"/>
          <w:sz w:val="20"/>
        </w:rPr>
        <w:t> </w:t>
      </w:r>
      <w:r>
        <w:rPr>
          <w:sz w:val="20"/>
        </w:rPr>
        <w:t>mismo.</w:t>
      </w:r>
    </w:p>
    <w:p>
      <w:pPr>
        <w:pStyle w:val="ListParagraph"/>
        <w:numPr>
          <w:ilvl w:val="0"/>
          <w:numId w:val="69"/>
        </w:numPr>
        <w:tabs>
          <w:tab w:pos="671" w:val="left" w:leader="none"/>
          <w:tab w:pos="672" w:val="left" w:leader="none"/>
        </w:tabs>
        <w:spacing w:line="240" w:lineRule="auto" w:before="120" w:after="0"/>
        <w:ind w:left="671" w:right="0" w:hanging="454"/>
        <w:jc w:val="left"/>
        <w:rPr>
          <w:sz w:val="20"/>
        </w:rPr>
      </w:pPr>
      <w:r>
        <w:rPr>
          <w:sz w:val="20"/>
        </w:rPr>
        <w:t>Cuando el canalón esté situado junto a un paramento vertical deben</w:t>
      </w:r>
      <w:r>
        <w:rPr>
          <w:spacing w:val="-16"/>
          <w:sz w:val="20"/>
        </w:rPr>
        <w:t> </w:t>
      </w:r>
      <w:r>
        <w:rPr>
          <w:sz w:val="20"/>
        </w:rPr>
        <w:t>disponerse:</w:t>
      </w:r>
    </w:p>
    <w:p>
      <w:pPr>
        <w:pStyle w:val="ListParagraph"/>
        <w:numPr>
          <w:ilvl w:val="1"/>
          <w:numId w:val="69"/>
        </w:numPr>
        <w:tabs>
          <w:tab w:pos="1127" w:val="left" w:leader="none"/>
        </w:tabs>
        <w:spacing w:line="240" w:lineRule="auto" w:before="120" w:after="0"/>
        <w:ind w:left="1125" w:right="391" w:hanging="454"/>
        <w:jc w:val="both"/>
        <w:rPr>
          <w:sz w:val="20"/>
        </w:rPr>
      </w:pPr>
      <w:r>
        <w:rPr>
          <w:sz w:val="20"/>
        </w:rPr>
        <w:t>cuando el encuentro sea en la parte inferior del faldón, los elementos de protección por debajo de las piezas del tejado de tal forma que cubran una banda a partir del encuentro de 10 cm de anchura como mínimo (Véase la figura</w:t>
      </w:r>
      <w:r>
        <w:rPr>
          <w:spacing w:val="-4"/>
          <w:sz w:val="20"/>
        </w:rPr>
        <w:t> </w:t>
      </w:r>
      <w:r>
        <w:rPr>
          <w:sz w:val="20"/>
        </w:rPr>
        <w:t>2.17);</w:t>
      </w:r>
    </w:p>
    <w:p>
      <w:pPr>
        <w:pStyle w:val="ListParagraph"/>
        <w:numPr>
          <w:ilvl w:val="1"/>
          <w:numId w:val="69"/>
        </w:numPr>
        <w:tabs>
          <w:tab w:pos="1127" w:val="left" w:leader="none"/>
        </w:tabs>
        <w:spacing w:line="240" w:lineRule="auto" w:before="119" w:after="0"/>
        <w:ind w:left="1125" w:right="392" w:hanging="454"/>
        <w:jc w:val="both"/>
        <w:rPr>
          <w:sz w:val="20"/>
        </w:rPr>
      </w:pPr>
      <w:r>
        <w:rPr>
          <w:sz w:val="20"/>
        </w:rPr>
        <w:t>cuando el encuentro sea en la parte superior del faldón, los elementos de protección por encima de las piezas del tejado de tal forma que cubran una banda a partir del encuentro de 10 cm de anchura como mínimo (Véase la figura</w:t>
      </w:r>
      <w:r>
        <w:rPr>
          <w:spacing w:val="-9"/>
          <w:sz w:val="20"/>
        </w:rPr>
        <w:t> </w:t>
      </w:r>
      <w:r>
        <w:rPr>
          <w:sz w:val="20"/>
        </w:rPr>
        <w:t>2.17);</w:t>
      </w:r>
    </w:p>
    <w:p>
      <w:pPr>
        <w:spacing w:after="0" w:line="240" w:lineRule="auto"/>
        <w:jc w:val="both"/>
        <w:rPr>
          <w:sz w:val="20"/>
        </w:rPr>
        <w:sectPr>
          <w:pgSz w:w="11910" w:h="16840"/>
          <w:pgMar w:header="724" w:footer="636" w:top="1320" w:bottom="840" w:left="1200" w:right="738"/>
        </w:sectPr>
      </w:pPr>
    </w:p>
    <w:p>
      <w:pPr>
        <w:pStyle w:val="ListParagraph"/>
        <w:numPr>
          <w:ilvl w:val="1"/>
          <w:numId w:val="69"/>
        </w:numPr>
        <w:tabs>
          <w:tab w:pos="1126" w:val="left" w:leader="none"/>
        </w:tabs>
        <w:spacing w:line="240" w:lineRule="auto" w:before="89" w:after="0"/>
        <w:ind w:left="1125" w:right="390" w:hanging="454"/>
        <w:jc w:val="both"/>
        <w:rPr>
          <w:sz w:val="20"/>
        </w:rPr>
      </w:pPr>
      <w:r>
        <w:rPr>
          <w:sz w:val="20"/>
        </w:rPr>
        <w:t>elementos de protección prefabricados o realizados in situ de tal forma que cubran una banda del paramento vertical por encima del tejado de 25 cm como mínimo y su remate se realice de forma similar a la descrita para cubiertas planas (Véase la figura</w:t>
      </w:r>
      <w:r>
        <w:rPr>
          <w:spacing w:val="-12"/>
          <w:sz w:val="20"/>
        </w:rPr>
        <w:t> </w:t>
      </w:r>
      <w:r>
        <w:rPr>
          <w:sz w:val="20"/>
        </w:rPr>
        <w:t>2.17).</w:t>
      </w:r>
    </w:p>
    <w:p>
      <w:pPr>
        <w:pStyle w:val="BodyText"/>
        <w:spacing w:before="4"/>
        <w:rPr>
          <w:sz w:val="10"/>
        </w:rPr>
      </w:pPr>
      <w:r>
        <w:rPr/>
        <w:pict>
          <v:group style="position:absolute;margin-left:138.567001pt;margin-top:7.920491pt;width:355pt;height:190.8pt;mso-position-horizontal-relative:page;mso-position-vertical-relative:paragraph;z-index:-251540480;mso-wrap-distance-left:0;mso-wrap-distance-right:0" coordorigin="2771,158" coordsize="7100,3816">
            <v:line style="position:absolute" from="7277,923" to="7277,3971" stroked="true" strokeweight=".570pt" strokecolor="#000000">
              <v:stroke dashstyle="solid"/>
            </v:line>
            <v:line style="position:absolute" from="8305,3971" to="8254,3971" stroked="true" strokeweight=".285pt" strokecolor="#000000">
              <v:stroke dashstyle="solid"/>
            </v:line>
            <v:line style="position:absolute" from="7191,3971" to="7191,3971" stroked="true" strokeweight=".285pt" strokecolor="#000000">
              <v:stroke dashstyle="solid"/>
            </v:line>
            <v:shape style="position:absolute;left:7091;top:3971;width:49;height:2" coordorigin="7091,3971" coordsize="49,0" path="m7140,3971l7091,3971,7091,3971e" filled="false" stroked="true" strokeweight=".285pt" strokecolor="#000000">
              <v:path arrowok="t"/>
              <v:stroke dashstyle="solid"/>
            </v:shape>
            <v:line style="position:absolute" from="9865,1634" to="9865,1688" stroked="true" strokeweight=".285pt" strokecolor="#000000">
              <v:stroke dashstyle="solid"/>
            </v:line>
            <v:line style="position:absolute" from="9865,3752" to="9865,3752" stroked="true" strokeweight=".285pt" strokecolor="#000000">
              <v:stroke dashstyle="solid"/>
            </v:line>
            <v:line style="position:absolute" from="9862,3827" to="9868,3827" stroked="true" strokeweight="2.701pt" strokecolor="#000000">
              <v:stroke dashstyle="solid"/>
            </v:line>
            <v:shape style="position:absolute;left:7242;top:917;width:2629;height:3057" type="#_x0000_t75" stroked="false">
              <v:imagedata r:id="rId57" o:title=""/>
            </v:shape>
            <v:shape style="position:absolute;left:3936;top:2742;width:1160;height:839" coordorigin="3937,2743" coordsize="1160,839" path="m5097,2743l3937,3161,5097,3582,5097,2743xe" filled="true" fillcolor="#808080" stroked="false">
              <v:path arrowok="t"/>
              <v:fill type="solid"/>
            </v:shape>
            <v:shape style="position:absolute;left:3936;top:2742;width:1160;height:839" coordorigin="3937,2743" coordsize="1160,839" path="m3937,3161l5097,3582,5097,2743,3937,3161xe" filled="false" stroked="true" strokeweight=".285pt" strokecolor="#808080">
              <v:path arrowok="t"/>
              <v:stroke dashstyle="solid"/>
            </v:shape>
            <v:shape style="position:absolute;left:2777;top:2742;width:2320;height:418" coordorigin="2777,2743" coordsize="2320,418" path="m5097,2743l2777,2743,3937,3161,5097,2743xe" filled="true" fillcolor="#808080" stroked="false">
              <v:path arrowok="t"/>
              <v:fill type="solid"/>
            </v:shape>
            <v:shape style="position:absolute;left:2777;top:2742;width:2320;height:418" coordorigin="2777,2743" coordsize="2320,418" path="m3937,3161l5097,2743,2777,2743,3937,3161xe" filled="false" stroked="true" strokeweight=".285pt" strokecolor="#808080">
              <v:path arrowok="t"/>
              <v:stroke dashstyle="solid"/>
            </v:shape>
            <v:shape style="position:absolute;left:2777;top:2742;width:1160;height:839" coordorigin="2777,2743" coordsize="1160,839" path="m2777,2743l2777,3582,3937,3161,2777,2743xe" filled="true" fillcolor="#808080" stroked="false">
              <v:path arrowok="t"/>
              <v:fill type="solid"/>
            </v:shape>
            <v:shape style="position:absolute;left:2777;top:2742;width:1160;height:839" coordorigin="2777,2743" coordsize="1160,839" path="m3937,3161l2777,2743,2777,3582,3937,3161xe" filled="false" stroked="true" strokeweight=".285pt" strokecolor="#808080">
              <v:path arrowok="t"/>
              <v:stroke dashstyle="solid"/>
            </v:shape>
            <v:shape style="position:absolute;left:2777;top:3160;width:2320;height:421" coordorigin="2777,3161" coordsize="2320,421" path="m3937,3161l2777,3582,5097,3582,3937,3161xe" filled="true" fillcolor="#808080" stroked="false">
              <v:path arrowok="t"/>
              <v:fill type="solid"/>
            </v:shape>
            <v:shape style="position:absolute;left:2777;top:3160;width:2320;height:421" coordorigin="2777,3161" coordsize="2320,421" path="m3937,3161l2777,3582,5097,3582,3937,3161xe" filled="false" stroked="true" strokeweight=".285pt" strokecolor="#808080">
              <v:path arrowok="t"/>
              <v:stroke dashstyle="solid"/>
            </v:shape>
            <v:line style="position:absolute" from="5500,164" to="5500,3971" stroked="true" strokeweight=".570pt" strokecolor="#000000">
              <v:stroke dashstyle="solid"/>
            </v:line>
            <v:line style="position:absolute" from="4471,3971" to="4523,3971" stroked="true" strokeweight=".285pt" strokecolor="#000000">
              <v:stroke dashstyle="solid"/>
            </v:line>
            <v:shape style="position:absolute;left:5636;top:3971;width:49;height:2" coordorigin="5637,3971" coordsize="49,0" path="m5637,3971l5685,3971,5685,3971e" filled="false" stroked="true" strokeweight=".285pt" strokecolor="#000000">
              <v:path arrowok="t"/>
              <v:stroke dashstyle="solid"/>
            </v:shape>
            <v:line style="position:absolute" from="2777,3712" to="2777,3712" stroked="true" strokeweight=".285pt" strokecolor="#000000">
              <v:stroke dashstyle="solid"/>
            </v:line>
            <v:line style="position:absolute" from="2774,3803" to="2780,3803" stroked="true" strokeweight="3.98pt" strokecolor="#000000">
              <v:stroke dashstyle="solid"/>
            </v:line>
            <v:shape style="position:absolute;left:2771;top:158;width:4930;height:3816" type="#_x0000_t75" stroked="false">
              <v:imagedata r:id="rId58" o:title=""/>
            </v:shape>
            <v:line style="position:absolute" from="8822,2743" to="8740,2660" stroked="true" strokeweight=".570pt" strokecolor="#808080">
              <v:stroke dashstyle="solid"/>
            </v:line>
            <v:line style="position:absolute" from="9182,2743" to="8871,2433" stroked="true" strokeweight=".570pt" strokecolor="#808080">
              <v:stroke dashstyle="solid"/>
            </v:line>
            <v:line style="position:absolute" from="9539,2743" to="9108,2314" stroked="true" strokeweight=".570pt" strokecolor="#808080">
              <v:stroke dashstyle="solid"/>
            </v:line>
            <v:line style="position:absolute" from="9865,2712" to="9511,2359" stroked="true" strokeweight=".570pt" strokecolor="#808080">
              <v:stroke dashstyle="solid"/>
            </v:line>
            <v:line style="position:absolute" from="9420,2265" to="9397,2242" stroked="true" strokeweight=".570pt" strokecolor="#808080">
              <v:stroke dashstyle="solid"/>
            </v:line>
            <v:line style="position:absolute" from="9865,2353" to="9682,2171" stroked="true" strokeweight=".570pt" strokecolor="#808080">
              <v:stroke dashstyle="solid"/>
            </v:line>
            <v:line style="position:absolute" from="8882,2743" to="8762,2621" stroked="true" strokeweight=".570pt" strokecolor="#808080">
              <v:stroke dashstyle="solid"/>
            </v:line>
            <v:line style="position:absolute" from="9239,2743" to="8894,2396" stroked="true" strokeweight=".570pt" strokecolor="#808080">
              <v:stroke dashstyle="solid"/>
            </v:line>
            <v:line style="position:absolute" from="9599,2743" to="9157,2302" stroked="true" strokeweight=".570pt" strokecolor="#808080">
              <v:stroke dashstyle="solid"/>
            </v:line>
            <v:line style="position:absolute" from="9865,2652" to="9559,2348" stroked="true" strokeweight=".570pt" strokecolor="#808080">
              <v:stroke dashstyle="solid"/>
            </v:line>
            <v:line style="position:absolute" from="9465,2254" to="9442,2231" stroked="true" strokeweight=".570pt" strokecolor="#808080">
              <v:stroke dashstyle="solid"/>
            </v:line>
            <v:line style="position:absolute" from="9865,2294" to="9731,2160" stroked="true" strokeweight=".570pt" strokecolor="#808080">
              <v:stroke dashstyle="solid"/>
            </v:line>
            <v:line style="position:absolute" from="8942,2743" to="8785,2584" stroked="true" strokeweight=".570pt" strokecolor="#808080">
              <v:stroke dashstyle="solid"/>
            </v:line>
            <v:line style="position:absolute" from="9299,2743" to="8917,2359" stroked="true" strokeweight=".570pt" strokecolor="#808080">
              <v:stroke dashstyle="solid"/>
            </v:line>
            <v:line style="position:absolute" from="9659,2743" to="9319,2404" stroked="true" strokeweight=".570pt" strokecolor="#808080">
              <v:stroke dashstyle="solid"/>
            </v:line>
            <v:line style="position:absolute" from="9274,2359" to="9202,2288" stroked="true" strokeweight=".570pt" strokecolor="#808080">
              <v:stroke dashstyle="solid"/>
            </v:line>
            <v:line style="position:absolute" from="9865,2592" to="9608,2333" stroked="true" strokeweight=".570pt" strokecolor="#808080">
              <v:stroke dashstyle="solid"/>
            </v:line>
            <v:line style="position:absolute" from="9514,2242" to="9491,2220" stroked="true" strokeweight=".570pt" strokecolor="#808080">
              <v:stroke dashstyle="solid"/>
            </v:line>
            <v:line style="position:absolute" from="9865,2237" to="9779,2149" stroked="true" strokeweight=".570pt" strokecolor="#808080">
              <v:stroke dashstyle="solid"/>
            </v:line>
            <v:line style="position:absolute" from="9002,2743" to="8805,2547" stroked="true" strokeweight=".570pt" strokecolor="#808080">
              <v:stroke dashstyle="solid"/>
            </v:line>
            <v:line style="position:absolute" from="9360,2743" to="8965,2348" stroked="true" strokeweight=".570pt" strokecolor="#808080">
              <v:stroke dashstyle="solid"/>
            </v:line>
            <v:line style="position:absolute" from="9717,2743" to="9368,2393" stroked="true" strokeweight=".570pt" strokecolor="#808080">
              <v:stroke dashstyle="solid"/>
            </v:line>
            <v:line style="position:absolute" from="9274,2299" to="9251,2277" stroked="true" strokeweight=".570pt" strokecolor="#808080">
              <v:stroke dashstyle="solid"/>
            </v:line>
            <v:line style="position:absolute" from="9865,2532" to="9642,2311" stroked="true" strokeweight=".570pt" strokecolor="#808080">
              <v:stroke dashstyle="solid"/>
            </v:line>
            <v:line style="position:absolute" from="9562,2231" to="9540,2208" stroked="true" strokeweight=".570pt" strokecolor="#808080">
              <v:stroke dashstyle="solid"/>
            </v:line>
            <v:line style="position:absolute" from="9865,2177" to="9828,2137" stroked="true" strokeweight=".570pt" strokecolor="#808080">
              <v:stroke dashstyle="solid"/>
            </v:line>
            <w10:wrap type="topAndBottom"/>
          </v:group>
        </w:pict>
      </w:r>
    </w:p>
    <w:p>
      <w:pPr>
        <w:spacing w:before="60"/>
        <w:ind w:left="4095" w:right="0" w:firstLine="0"/>
        <w:jc w:val="left"/>
        <w:rPr>
          <w:b/>
          <w:sz w:val="18"/>
        </w:rPr>
      </w:pPr>
      <w:r>
        <w:rPr>
          <w:b/>
          <w:sz w:val="18"/>
        </w:rPr>
        <w:t>Figura 2.17 Canalones</w:t>
      </w:r>
    </w:p>
    <w:p>
      <w:pPr>
        <w:pStyle w:val="ListParagraph"/>
        <w:numPr>
          <w:ilvl w:val="0"/>
          <w:numId w:val="69"/>
        </w:numPr>
        <w:tabs>
          <w:tab w:pos="671" w:val="left" w:leader="none"/>
          <w:tab w:pos="672" w:val="left" w:leader="none"/>
        </w:tabs>
        <w:spacing w:line="240" w:lineRule="auto" w:before="61" w:after="0"/>
        <w:ind w:left="672" w:right="390" w:hanging="454"/>
        <w:jc w:val="left"/>
        <w:rPr>
          <w:sz w:val="20"/>
        </w:rPr>
      </w:pPr>
      <w:r>
        <w:rPr>
          <w:sz w:val="20"/>
        </w:rPr>
        <w:t>Cuando el canalón esté situado en una zona intermedia del faldón debe disponerse de tal forma  que</w:t>
      </w:r>
    </w:p>
    <w:p>
      <w:pPr>
        <w:pStyle w:val="ListParagraph"/>
        <w:numPr>
          <w:ilvl w:val="1"/>
          <w:numId w:val="69"/>
        </w:numPr>
        <w:tabs>
          <w:tab w:pos="1125" w:val="left" w:leader="none"/>
          <w:tab w:pos="1126" w:val="left" w:leader="none"/>
        </w:tabs>
        <w:spacing w:line="240" w:lineRule="auto" w:before="119" w:after="0"/>
        <w:ind w:left="1125" w:right="0" w:hanging="454"/>
        <w:jc w:val="left"/>
        <w:rPr>
          <w:sz w:val="20"/>
        </w:rPr>
      </w:pPr>
      <w:r>
        <w:rPr>
          <w:sz w:val="20"/>
        </w:rPr>
        <w:t>el ala del canalón se extienda por debajo de las piezas del tejado 10 cm como</w:t>
      </w:r>
      <w:r>
        <w:rPr>
          <w:spacing w:val="-30"/>
          <w:sz w:val="20"/>
        </w:rPr>
        <w:t> </w:t>
      </w:r>
      <w:r>
        <w:rPr>
          <w:sz w:val="20"/>
        </w:rPr>
        <w:t>mínimo;</w:t>
      </w:r>
    </w:p>
    <w:p>
      <w:pPr>
        <w:pStyle w:val="BodyText"/>
        <w:rPr>
          <w:sz w:val="22"/>
        </w:rPr>
      </w:pPr>
    </w:p>
    <w:p>
      <w:pPr>
        <w:pStyle w:val="BodyText"/>
        <w:spacing w:before="10"/>
        <w:rPr>
          <w:sz w:val="18"/>
        </w:rPr>
      </w:pPr>
    </w:p>
    <w:p>
      <w:pPr>
        <w:spacing w:before="0"/>
        <w:ind w:left="1958" w:right="0" w:firstLine="0"/>
        <w:jc w:val="left"/>
        <w:rPr>
          <w:sz w:val="16"/>
        </w:rPr>
      </w:pPr>
      <w:r>
        <w:rPr/>
        <w:pict>
          <v:line style="position:absolute;mso-position-horizontal-relative:page;mso-position-vertical-relative:paragraph;z-index:251777024" from="152.520004pt,-2.875802pt" to="152.520004pt,12.364198pt" stroked="true" strokeweight=".48pt" strokecolor="#000000">
            <v:stroke dashstyle="solid"/>
            <w10:wrap type="none"/>
          </v:line>
        </w:pict>
      </w:r>
      <w:r>
        <w:rPr>
          <w:sz w:val="16"/>
        </w:rPr>
        <w:t>Se refiere al ala superior.</w:t>
      </w:r>
    </w:p>
    <w:p>
      <w:pPr>
        <w:pStyle w:val="BodyText"/>
      </w:pPr>
    </w:p>
    <w:p>
      <w:pPr>
        <w:pStyle w:val="BodyText"/>
        <w:spacing w:before="10"/>
      </w:pPr>
    </w:p>
    <w:p>
      <w:pPr>
        <w:pStyle w:val="ListParagraph"/>
        <w:numPr>
          <w:ilvl w:val="1"/>
          <w:numId w:val="69"/>
        </w:numPr>
        <w:tabs>
          <w:tab w:pos="1126" w:val="left" w:leader="none"/>
          <w:tab w:pos="1127" w:val="left" w:leader="none"/>
        </w:tabs>
        <w:spacing w:line="240" w:lineRule="auto" w:before="0" w:after="0"/>
        <w:ind w:left="1125" w:right="392" w:hanging="454"/>
        <w:jc w:val="left"/>
        <w:rPr>
          <w:sz w:val="20"/>
        </w:rPr>
      </w:pPr>
      <w:r>
        <w:rPr>
          <w:sz w:val="20"/>
        </w:rPr>
        <w:t>la separación entre las piezas del tejado a ambos lados del canalón sea de 20 cm como mínimo;</w:t>
      </w:r>
    </w:p>
    <w:p>
      <w:pPr>
        <w:pStyle w:val="ListParagraph"/>
        <w:numPr>
          <w:ilvl w:val="1"/>
          <w:numId w:val="69"/>
        </w:numPr>
        <w:tabs>
          <w:tab w:pos="1125" w:val="left" w:leader="none"/>
          <w:tab w:pos="1126" w:val="left" w:leader="none"/>
        </w:tabs>
        <w:spacing w:line="240" w:lineRule="auto" w:before="121" w:after="0"/>
        <w:ind w:left="1125" w:right="0" w:hanging="455"/>
        <w:jc w:val="left"/>
        <w:rPr>
          <w:sz w:val="20"/>
        </w:rPr>
      </w:pPr>
      <w:r>
        <w:rPr>
          <w:sz w:val="20"/>
        </w:rPr>
        <w:t>el ala inferior del canalón debe ir por encima de las piezas del</w:t>
      </w:r>
      <w:r>
        <w:rPr>
          <w:spacing w:val="-12"/>
          <w:sz w:val="20"/>
        </w:rPr>
        <w:t> </w:t>
      </w:r>
      <w:r>
        <w:rPr>
          <w:sz w:val="20"/>
        </w:rPr>
        <w:t>tejado.</w:t>
      </w:r>
    </w:p>
    <w:p>
      <w:pPr>
        <w:pStyle w:val="BodyText"/>
        <w:rPr>
          <w:sz w:val="22"/>
        </w:rPr>
      </w:pPr>
    </w:p>
    <w:p>
      <w:pPr>
        <w:pStyle w:val="BodyText"/>
        <w:spacing w:before="6"/>
        <w:rPr>
          <w:sz w:val="30"/>
        </w:rPr>
      </w:pPr>
    </w:p>
    <w:p>
      <w:pPr>
        <w:spacing w:before="0"/>
        <w:ind w:left="1958" w:right="418" w:firstLine="0"/>
        <w:jc w:val="left"/>
        <w:rPr>
          <w:sz w:val="16"/>
        </w:rPr>
      </w:pPr>
      <w:r>
        <w:rPr/>
        <w:pict>
          <v:line style="position:absolute;mso-position-horizontal-relative:page;mso-position-vertical-relative:paragraph;z-index:251778048" from="152.520004pt,-2.875835pt" to="152.520004pt,21.484165pt" stroked="true" strokeweight=".48pt" strokecolor="#000000">
            <v:stroke dashstyle="solid"/>
            <w10:wrap type="none"/>
          </v:line>
        </w:pict>
      </w:r>
      <w:r>
        <w:rPr>
          <w:sz w:val="16"/>
        </w:rPr>
        <w:t>Se pretende limitar el riesgo de filtración de agua por salpiqueo en el paramento o por una incorrecta evacuación o una discontinuidad.</w:t>
      </w:r>
    </w:p>
    <w:p>
      <w:pPr>
        <w:pStyle w:val="BodyText"/>
      </w:pPr>
    </w:p>
    <w:p>
      <w:pPr>
        <w:pStyle w:val="BodyText"/>
        <w:spacing w:before="2"/>
        <w:rPr>
          <w:sz w:val="19"/>
        </w:rPr>
      </w:pPr>
    </w:p>
    <w:p>
      <w:pPr>
        <w:pStyle w:val="Heading2"/>
        <w:numPr>
          <w:ilvl w:val="0"/>
          <w:numId w:val="70"/>
        </w:numPr>
        <w:tabs>
          <w:tab w:pos="503" w:val="left" w:leader="none"/>
        </w:tabs>
        <w:spacing w:line="240" w:lineRule="auto" w:before="90" w:after="0"/>
        <w:ind w:left="502" w:right="0" w:hanging="285"/>
        <w:jc w:val="left"/>
      </w:pPr>
      <w:r>
        <w:rPr/>
        <w:t>Dimensionado</w:t>
      </w:r>
    </w:p>
    <w:p>
      <w:pPr>
        <w:pStyle w:val="BodyText"/>
        <w:spacing w:before="4"/>
        <w:rPr>
          <w:b/>
          <w:sz w:val="38"/>
        </w:rPr>
      </w:pPr>
    </w:p>
    <w:p>
      <w:pPr>
        <w:pStyle w:val="ListParagraph"/>
        <w:numPr>
          <w:ilvl w:val="1"/>
          <w:numId w:val="70"/>
        </w:numPr>
        <w:tabs>
          <w:tab w:pos="785" w:val="left" w:leader="none"/>
          <w:tab w:pos="786" w:val="left" w:leader="none"/>
        </w:tabs>
        <w:spacing w:line="240" w:lineRule="auto" w:before="0" w:after="0"/>
        <w:ind w:left="785" w:right="0" w:hanging="568"/>
        <w:jc w:val="left"/>
        <w:rPr>
          <w:b/>
          <w:i/>
          <w:sz w:val="24"/>
        </w:rPr>
      </w:pPr>
      <w:r>
        <w:rPr>
          <w:b/>
          <w:sz w:val="24"/>
        </w:rPr>
        <w:t>Tubos de</w:t>
      </w:r>
      <w:r>
        <w:rPr>
          <w:b/>
          <w:spacing w:val="-2"/>
          <w:sz w:val="24"/>
        </w:rPr>
        <w:t> </w:t>
      </w:r>
      <w:r>
        <w:rPr>
          <w:b/>
          <w:i/>
          <w:sz w:val="24"/>
        </w:rPr>
        <w:t>drenaje</w:t>
      </w:r>
    </w:p>
    <w:p>
      <w:pPr>
        <w:pStyle w:val="ListParagraph"/>
        <w:numPr>
          <w:ilvl w:val="0"/>
          <w:numId w:val="71"/>
        </w:numPr>
        <w:tabs>
          <w:tab w:pos="671" w:val="left" w:leader="none"/>
          <w:tab w:pos="672" w:val="left" w:leader="none"/>
        </w:tabs>
        <w:spacing w:line="240" w:lineRule="auto" w:before="159" w:after="0"/>
        <w:ind w:left="672" w:right="392" w:hanging="454"/>
        <w:jc w:val="left"/>
        <w:rPr>
          <w:sz w:val="20"/>
        </w:rPr>
      </w:pPr>
      <w:r>
        <w:rPr>
          <w:sz w:val="20"/>
        </w:rPr>
        <w:t>Las pendientes mínima y máxima y el diámetro nominal mínimo de los tubos de </w:t>
      </w:r>
      <w:r>
        <w:rPr>
          <w:i/>
          <w:sz w:val="20"/>
        </w:rPr>
        <w:t>drenaje </w:t>
      </w:r>
      <w:r>
        <w:rPr>
          <w:sz w:val="20"/>
        </w:rPr>
        <w:t>deben ser los que se indican en la tabla</w:t>
      </w:r>
      <w:r>
        <w:rPr>
          <w:spacing w:val="-8"/>
          <w:sz w:val="20"/>
        </w:rPr>
        <w:t> </w:t>
      </w:r>
      <w:r>
        <w:rPr>
          <w:sz w:val="20"/>
        </w:rPr>
        <w:t>3.1.</w:t>
      </w:r>
    </w:p>
    <w:p>
      <w:pPr>
        <w:spacing w:before="59" w:after="3"/>
        <w:ind w:left="655" w:right="828" w:firstLine="0"/>
        <w:jc w:val="center"/>
        <w:rPr>
          <w:b/>
          <w:i/>
          <w:sz w:val="18"/>
        </w:rPr>
      </w:pPr>
      <w:r>
        <w:rPr>
          <w:b/>
          <w:sz w:val="18"/>
        </w:rPr>
        <w:t>Tabla 3.1 Tubos de </w:t>
      </w:r>
      <w:r>
        <w:rPr>
          <w:b/>
          <w:i/>
          <w:sz w:val="18"/>
        </w:rPr>
        <w:t>drenaje</w:t>
      </w:r>
    </w:p>
    <w:tbl>
      <w:tblPr>
        <w:tblW w:w="0" w:type="auto"/>
        <w:jc w:val="left"/>
        <w:tblInd w:w="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2"/>
        <w:gridCol w:w="1383"/>
        <w:gridCol w:w="1695"/>
        <w:gridCol w:w="2101"/>
        <w:gridCol w:w="2182"/>
      </w:tblGrid>
      <w:tr>
        <w:trPr>
          <w:trHeight w:val="838" w:hRule="atLeast"/>
        </w:trPr>
        <w:tc>
          <w:tcPr>
            <w:tcW w:w="1662" w:type="dxa"/>
            <w:tcBorders>
              <w:top w:val="single" w:sz="4" w:space="0" w:color="000000"/>
              <w:bottom w:val="single" w:sz="4" w:space="0" w:color="000000"/>
              <w:right w:val="single" w:sz="4" w:space="0" w:color="000000"/>
            </w:tcBorders>
          </w:tcPr>
          <w:p>
            <w:pPr>
              <w:pStyle w:val="TableParagraph"/>
              <w:spacing w:before="6"/>
              <w:jc w:val="left"/>
              <w:rPr>
                <w:b/>
                <w:i/>
                <w:sz w:val="18"/>
              </w:rPr>
            </w:pPr>
          </w:p>
          <w:p>
            <w:pPr>
              <w:pStyle w:val="TableParagraph"/>
              <w:spacing w:line="235" w:lineRule="auto"/>
              <w:ind w:left="134" w:right="85" w:firstLine="153"/>
              <w:jc w:val="left"/>
              <w:rPr>
                <w:b/>
                <w:sz w:val="12"/>
              </w:rPr>
            </w:pPr>
            <w:r>
              <w:rPr>
                <w:b/>
                <w:i/>
                <w:sz w:val="18"/>
              </w:rPr>
              <w:t>Grado de im- </w:t>
            </w:r>
            <w:r>
              <w:rPr>
                <w:b/>
                <w:i/>
                <w:sz w:val="18"/>
              </w:rPr>
              <w:t>permeabilidad </w:t>
            </w:r>
            <w:r>
              <w:rPr>
                <w:b/>
                <w:position w:val="6"/>
                <w:sz w:val="12"/>
              </w:rPr>
              <w:t>(1)</w:t>
            </w:r>
          </w:p>
        </w:tc>
        <w:tc>
          <w:tcPr>
            <w:tcW w:w="1383" w:type="dxa"/>
            <w:tcBorders>
              <w:top w:val="single" w:sz="4" w:space="0" w:color="000000"/>
              <w:left w:val="single" w:sz="4" w:space="0" w:color="000000"/>
              <w:bottom w:val="single" w:sz="4" w:space="0" w:color="000000"/>
            </w:tcBorders>
          </w:tcPr>
          <w:p>
            <w:pPr>
              <w:pStyle w:val="TableParagraph"/>
              <w:spacing w:before="105"/>
              <w:ind w:left="298" w:right="228"/>
              <w:rPr>
                <w:b/>
                <w:sz w:val="18"/>
              </w:rPr>
            </w:pPr>
            <w:r>
              <w:rPr>
                <w:b/>
                <w:spacing w:val="-1"/>
                <w:sz w:val="18"/>
              </w:rPr>
              <w:t>Pendiente </w:t>
            </w:r>
            <w:r>
              <w:rPr>
                <w:b/>
                <w:sz w:val="18"/>
              </w:rPr>
              <w:t>mínima en</w:t>
            </w:r>
            <w:r>
              <w:rPr>
                <w:b/>
                <w:spacing w:val="-1"/>
                <w:sz w:val="18"/>
              </w:rPr>
              <w:t> </w:t>
            </w:r>
            <w:r>
              <w:rPr>
                <w:b/>
                <w:sz w:val="18"/>
              </w:rPr>
              <w:t>‰</w:t>
            </w:r>
          </w:p>
        </w:tc>
        <w:tc>
          <w:tcPr>
            <w:tcW w:w="1695" w:type="dxa"/>
            <w:tcBorders>
              <w:top w:val="single" w:sz="4" w:space="0" w:color="000000"/>
              <w:bottom w:val="single" w:sz="4" w:space="0" w:color="000000"/>
            </w:tcBorders>
          </w:tcPr>
          <w:p>
            <w:pPr>
              <w:pStyle w:val="TableParagraph"/>
              <w:spacing w:before="105"/>
              <w:ind w:left="233" w:right="230"/>
              <w:rPr>
                <w:b/>
                <w:sz w:val="18"/>
              </w:rPr>
            </w:pPr>
            <w:r>
              <w:rPr>
                <w:b/>
                <w:sz w:val="18"/>
              </w:rPr>
              <w:t>Pendiente </w:t>
            </w:r>
            <w:r>
              <w:rPr>
                <w:b/>
                <w:spacing w:val="-5"/>
                <w:sz w:val="18"/>
              </w:rPr>
              <w:t>má- </w:t>
            </w:r>
            <w:r>
              <w:rPr>
                <w:b/>
                <w:sz w:val="18"/>
              </w:rPr>
              <w:t>xima</w:t>
            </w:r>
          </w:p>
          <w:p>
            <w:pPr>
              <w:pStyle w:val="TableParagraph"/>
              <w:ind w:left="231" w:right="230"/>
              <w:rPr>
                <w:b/>
                <w:sz w:val="18"/>
              </w:rPr>
            </w:pPr>
            <w:r>
              <w:rPr>
                <w:b/>
                <w:sz w:val="18"/>
              </w:rPr>
              <w:t>en</w:t>
            </w:r>
            <w:r>
              <w:rPr>
                <w:b/>
                <w:spacing w:val="-1"/>
                <w:sz w:val="18"/>
              </w:rPr>
              <w:t> </w:t>
            </w:r>
            <w:r>
              <w:rPr>
                <w:b/>
                <w:sz w:val="18"/>
              </w:rPr>
              <w:t>‰</w:t>
            </w:r>
          </w:p>
        </w:tc>
        <w:tc>
          <w:tcPr>
            <w:tcW w:w="4283" w:type="dxa"/>
            <w:gridSpan w:val="2"/>
            <w:tcBorders>
              <w:top w:val="single" w:sz="4" w:space="0" w:color="000000"/>
              <w:bottom w:val="single" w:sz="4" w:space="0" w:color="000000"/>
            </w:tcBorders>
          </w:tcPr>
          <w:p>
            <w:pPr>
              <w:pStyle w:val="TableParagraph"/>
              <w:ind w:left="1818" w:right="1049" w:hanging="815"/>
              <w:jc w:val="left"/>
              <w:rPr>
                <w:b/>
                <w:sz w:val="18"/>
              </w:rPr>
            </w:pPr>
            <w:r>
              <w:rPr>
                <w:b/>
                <w:sz w:val="18"/>
              </w:rPr>
              <w:t>Diámetro nominal mínimo en mm</w:t>
            </w:r>
          </w:p>
          <w:p>
            <w:pPr>
              <w:pStyle w:val="TableParagraph"/>
              <w:tabs>
                <w:tab w:pos="2217" w:val="left" w:leader="none"/>
              </w:tabs>
              <w:spacing w:before="7"/>
              <w:ind w:left="240"/>
              <w:jc w:val="left"/>
              <w:rPr>
                <w:b/>
                <w:sz w:val="18"/>
              </w:rPr>
            </w:pPr>
            <w:r>
              <w:rPr>
                <w:b/>
                <w:sz w:val="18"/>
              </w:rPr>
              <w:t>Drenes</w:t>
            </w:r>
            <w:r>
              <w:rPr>
                <w:b/>
                <w:spacing w:val="-3"/>
                <w:sz w:val="18"/>
              </w:rPr>
              <w:t> </w:t>
            </w:r>
            <w:r>
              <w:rPr>
                <w:b/>
                <w:sz w:val="18"/>
              </w:rPr>
              <w:t>bajo</w:t>
            </w:r>
            <w:r>
              <w:rPr>
                <w:b/>
                <w:spacing w:val="-2"/>
                <w:sz w:val="18"/>
              </w:rPr>
              <w:t> </w:t>
            </w:r>
            <w:r>
              <w:rPr>
                <w:b/>
                <w:sz w:val="18"/>
              </w:rPr>
              <w:t>suelo</w:t>
              <w:tab/>
              <w:t>Drenes en el</w:t>
            </w:r>
            <w:r>
              <w:rPr>
                <w:b/>
                <w:spacing w:val="-9"/>
                <w:sz w:val="18"/>
              </w:rPr>
              <w:t> </w:t>
            </w:r>
            <w:r>
              <w:rPr>
                <w:b/>
                <w:sz w:val="18"/>
              </w:rPr>
              <w:t>perímetro</w:t>
            </w:r>
          </w:p>
          <w:p>
            <w:pPr>
              <w:pStyle w:val="TableParagraph"/>
              <w:spacing w:line="189" w:lineRule="exact" w:before="1"/>
              <w:ind w:left="2812"/>
              <w:jc w:val="left"/>
              <w:rPr>
                <w:b/>
                <w:sz w:val="18"/>
              </w:rPr>
            </w:pPr>
            <w:r>
              <w:rPr>
                <w:b/>
                <w:sz w:val="18"/>
              </w:rPr>
              <w:t>del muro</w:t>
            </w:r>
          </w:p>
        </w:tc>
      </w:tr>
      <w:tr>
        <w:trPr>
          <w:trHeight w:val="207" w:hRule="atLeast"/>
        </w:trPr>
        <w:tc>
          <w:tcPr>
            <w:tcW w:w="1662" w:type="dxa"/>
            <w:tcBorders>
              <w:top w:val="single" w:sz="4" w:space="0" w:color="000000"/>
              <w:right w:val="single" w:sz="4" w:space="0" w:color="000000"/>
            </w:tcBorders>
          </w:tcPr>
          <w:p>
            <w:pPr>
              <w:pStyle w:val="TableParagraph"/>
              <w:spacing w:line="187" w:lineRule="exact"/>
              <w:ind w:left="29"/>
              <w:rPr>
                <w:b/>
                <w:sz w:val="18"/>
              </w:rPr>
            </w:pPr>
            <w:r>
              <w:rPr>
                <w:b/>
                <w:sz w:val="18"/>
              </w:rPr>
              <w:t>1</w:t>
            </w:r>
          </w:p>
        </w:tc>
        <w:tc>
          <w:tcPr>
            <w:tcW w:w="1383" w:type="dxa"/>
            <w:tcBorders>
              <w:top w:val="single" w:sz="4" w:space="0" w:color="000000"/>
              <w:left w:val="single" w:sz="4" w:space="0" w:color="000000"/>
            </w:tcBorders>
          </w:tcPr>
          <w:p>
            <w:pPr>
              <w:pStyle w:val="TableParagraph"/>
              <w:spacing w:line="187" w:lineRule="exact"/>
              <w:ind w:right="602"/>
              <w:jc w:val="right"/>
              <w:rPr>
                <w:sz w:val="18"/>
              </w:rPr>
            </w:pPr>
            <w:r>
              <w:rPr>
                <w:sz w:val="18"/>
              </w:rPr>
              <w:t>3</w:t>
            </w:r>
          </w:p>
        </w:tc>
        <w:tc>
          <w:tcPr>
            <w:tcW w:w="1695" w:type="dxa"/>
            <w:tcBorders>
              <w:top w:val="single" w:sz="4" w:space="0" w:color="000000"/>
            </w:tcBorders>
          </w:tcPr>
          <w:p>
            <w:pPr>
              <w:pStyle w:val="TableParagraph"/>
              <w:spacing w:line="187" w:lineRule="exact"/>
              <w:ind w:right="745"/>
              <w:jc w:val="right"/>
              <w:rPr>
                <w:sz w:val="18"/>
              </w:rPr>
            </w:pPr>
            <w:r>
              <w:rPr>
                <w:sz w:val="18"/>
              </w:rPr>
              <w:t>14</w:t>
            </w:r>
          </w:p>
        </w:tc>
        <w:tc>
          <w:tcPr>
            <w:tcW w:w="2101" w:type="dxa"/>
            <w:tcBorders>
              <w:top w:val="single" w:sz="4" w:space="0" w:color="000000"/>
            </w:tcBorders>
          </w:tcPr>
          <w:p>
            <w:pPr>
              <w:pStyle w:val="TableParagraph"/>
              <w:spacing w:line="187" w:lineRule="exact"/>
              <w:ind w:left="866"/>
              <w:jc w:val="left"/>
              <w:rPr>
                <w:sz w:val="18"/>
              </w:rPr>
            </w:pPr>
            <w:r>
              <w:rPr>
                <w:sz w:val="18"/>
              </w:rPr>
              <w:t>125</w:t>
            </w:r>
          </w:p>
        </w:tc>
        <w:tc>
          <w:tcPr>
            <w:tcW w:w="2182" w:type="dxa"/>
            <w:tcBorders>
              <w:top w:val="single" w:sz="4" w:space="0" w:color="000000"/>
            </w:tcBorders>
          </w:tcPr>
          <w:p>
            <w:pPr>
              <w:pStyle w:val="TableParagraph"/>
              <w:spacing w:line="187" w:lineRule="exact"/>
              <w:ind w:left="942"/>
              <w:jc w:val="left"/>
              <w:rPr>
                <w:sz w:val="18"/>
              </w:rPr>
            </w:pPr>
            <w:r>
              <w:rPr>
                <w:sz w:val="18"/>
              </w:rPr>
              <w:t>150</w:t>
            </w:r>
          </w:p>
        </w:tc>
      </w:tr>
      <w:tr>
        <w:trPr>
          <w:trHeight w:val="206" w:hRule="atLeast"/>
        </w:trPr>
        <w:tc>
          <w:tcPr>
            <w:tcW w:w="1662" w:type="dxa"/>
            <w:tcBorders>
              <w:right w:val="single" w:sz="4" w:space="0" w:color="000000"/>
            </w:tcBorders>
          </w:tcPr>
          <w:p>
            <w:pPr>
              <w:pStyle w:val="TableParagraph"/>
              <w:spacing w:line="187" w:lineRule="exact"/>
              <w:ind w:left="29"/>
              <w:rPr>
                <w:b/>
                <w:sz w:val="18"/>
              </w:rPr>
            </w:pPr>
            <w:r>
              <w:rPr>
                <w:b/>
                <w:sz w:val="18"/>
              </w:rPr>
              <w:t>2</w:t>
            </w:r>
          </w:p>
        </w:tc>
        <w:tc>
          <w:tcPr>
            <w:tcW w:w="1383" w:type="dxa"/>
            <w:tcBorders>
              <w:left w:val="single" w:sz="4" w:space="0" w:color="000000"/>
            </w:tcBorders>
          </w:tcPr>
          <w:p>
            <w:pPr>
              <w:pStyle w:val="TableParagraph"/>
              <w:spacing w:line="187" w:lineRule="exact"/>
              <w:ind w:right="602"/>
              <w:jc w:val="right"/>
              <w:rPr>
                <w:sz w:val="18"/>
              </w:rPr>
            </w:pPr>
            <w:r>
              <w:rPr>
                <w:sz w:val="18"/>
              </w:rPr>
              <w:t>3</w:t>
            </w:r>
          </w:p>
        </w:tc>
        <w:tc>
          <w:tcPr>
            <w:tcW w:w="1695" w:type="dxa"/>
          </w:tcPr>
          <w:p>
            <w:pPr>
              <w:pStyle w:val="TableParagraph"/>
              <w:spacing w:line="187" w:lineRule="exact"/>
              <w:ind w:right="745"/>
              <w:jc w:val="right"/>
              <w:rPr>
                <w:sz w:val="18"/>
              </w:rPr>
            </w:pPr>
            <w:r>
              <w:rPr>
                <w:sz w:val="18"/>
              </w:rPr>
              <w:t>14</w:t>
            </w:r>
          </w:p>
        </w:tc>
        <w:tc>
          <w:tcPr>
            <w:tcW w:w="2101" w:type="dxa"/>
          </w:tcPr>
          <w:p>
            <w:pPr>
              <w:pStyle w:val="TableParagraph"/>
              <w:spacing w:line="187" w:lineRule="exact"/>
              <w:ind w:left="866"/>
              <w:jc w:val="left"/>
              <w:rPr>
                <w:sz w:val="18"/>
              </w:rPr>
            </w:pPr>
            <w:r>
              <w:rPr>
                <w:sz w:val="18"/>
              </w:rPr>
              <w:t>125</w:t>
            </w:r>
          </w:p>
        </w:tc>
        <w:tc>
          <w:tcPr>
            <w:tcW w:w="2182" w:type="dxa"/>
          </w:tcPr>
          <w:p>
            <w:pPr>
              <w:pStyle w:val="TableParagraph"/>
              <w:spacing w:line="187" w:lineRule="exact"/>
              <w:ind w:left="942"/>
              <w:jc w:val="left"/>
              <w:rPr>
                <w:sz w:val="18"/>
              </w:rPr>
            </w:pPr>
            <w:r>
              <w:rPr>
                <w:sz w:val="18"/>
              </w:rPr>
              <w:t>150</w:t>
            </w:r>
          </w:p>
        </w:tc>
      </w:tr>
      <w:tr>
        <w:trPr>
          <w:trHeight w:val="207" w:hRule="atLeast"/>
        </w:trPr>
        <w:tc>
          <w:tcPr>
            <w:tcW w:w="1662" w:type="dxa"/>
            <w:tcBorders>
              <w:right w:val="single" w:sz="4" w:space="0" w:color="000000"/>
            </w:tcBorders>
          </w:tcPr>
          <w:p>
            <w:pPr>
              <w:pStyle w:val="TableParagraph"/>
              <w:spacing w:line="187" w:lineRule="exact"/>
              <w:ind w:left="29"/>
              <w:rPr>
                <w:b/>
                <w:sz w:val="18"/>
              </w:rPr>
            </w:pPr>
            <w:r>
              <w:rPr>
                <w:b/>
                <w:sz w:val="18"/>
              </w:rPr>
              <w:t>3</w:t>
            </w:r>
          </w:p>
        </w:tc>
        <w:tc>
          <w:tcPr>
            <w:tcW w:w="1383" w:type="dxa"/>
            <w:tcBorders>
              <w:left w:val="single" w:sz="4" w:space="0" w:color="000000"/>
            </w:tcBorders>
          </w:tcPr>
          <w:p>
            <w:pPr>
              <w:pStyle w:val="TableParagraph"/>
              <w:spacing w:line="187" w:lineRule="exact"/>
              <w:ind w:right="602"/>
              <w:jc w:val="right"/>
              <w:rPr>
                <w:sz w:val="18"/>
              </w:rPr>
            </w:pPr>
            <w:r>
              <w:rPr>
                <w:sz w:val="18"/>
              </w:rPr>
              <w:t>5</w:t>
            </w:r>
          </w:p>
        </w:tc>
        <w:tc>
          <w:tcPr>
            <w:tcW w:w="1695" w:type="dxa"/>
          </w:tcPr>
          <w:p>
            <w:pPr>
              <w:pStyle w:val="TableParagraph"/>
              <w:spacing w:line="187" w:lineRule="exact"/>
              <w:ind w:right="745"/>
              <w:jc w:val="right"/>
              <w:rPr>
                <w:sz w:val="18"/>
              </w:rPr>
            </w:pPr>
            <w:r>
              <w:rPr>
                <w:sz w:val="18"/>
              </w:rPr>
              <w:t>14</w:t>
            </w:r>
          </w:p>
        </w:tc>
        <w:tc>
          <w:tcPr>
            <w:tcW w:w="2101" w:type="dxa"/>
          </w:tcPr>
          <w:p>
            <w:pPr>
              <w:pStyle w:val="TableParagraph"/>
              <w:spacing w:line="187" w:lineRule="exact"/>
              <w:ind w:left="866"/>
              <w:jc w:val="left"/>
              <w:rPr>
                <w:sz w:val="18"/>
              </w:rPr>
            </w:pPr>
            <w:r>
              <w:rPr>
                <w:sz w:val="18"/>
              </w:rPr>
              <w:t>150</w:t>
            </w:r>
          </w:p>
        </w:tc>
        <w:tc>
          <w:tcPr>
            <w:tcW w:w="2182" w:type="dxa"/>
          </w:tcPr>
          <w:p>
            <w:pPr>
              <w:pStyle w:val="TableParagraph"/>
              <w:spacing w:line="187" w:lineRule="exact"/>
              <w:ind w:left="942"/>
              <w:jc w:val="left"/>
              <w:rPr>
                <w:sz w:val="18"/>
              </w:rPr>
            </w:pPr>
            <w:r>
              <w:rPr>
                <w:sz w:val="18"/>
              </w:rPr>
              <w:t>200</w:t>
            </w:r>
          </w:p>
        </w:tc>
      </w:tr>
      <w:tr>
        <w:trPr>
          <w:trHeight w:val="207" w:hRule="atLeast"/>
        </w:trPr>
        <w:tc>
          <w:tcPr>
            <w:tcW w:w="1662" w:type="dxa"/>
            <w:tcBorders>
              <w:right w:val="single" w:sz="4" w:space="0" w:color="000000"/>
            </w:tcBorders>
          </w:tcPr>
          <w:p>
            <w:pPr>
              <w:pStyle w:val="TableParagraph"/>
              <w:spacing w:line="187" w:lineRule="exact"/>
              <w:ind w:left="29"/>
              <w:rPr>
                <w:b/>
                <w:sz w:val="18"/>
              </w:rPr>
            </w:pPr>
            <w:r>
              <w:rPr>
                <w:b/>
                <w:sz w:val="18"/>
              </w:rPr>
              <w:t>4</w:t>
            </w:r>
          </w:p>
        </w:tc>
        <w:tc>
          <w:tcPr>
            <w:tcW w:w="1383" w:type="dxa"/>
            <w:tcBorders>
              <w:left w:val="single" w:sz="4" w:space="0" w:color="000000"/>
            </w:tcBorders>
          </w:tcPr>
          <w:p>
            <w:pPr>
              <w:pStyle w:val="TableParagraph"/>
              <w:spacing w:line="187" w:lineRule="exact"/>
              <w:ind w:right="602"/>
              <w:jc w:val="right"/>
              <w:rPr>
                <w:sz w:val="18"/>
              </w:rPr>
            </w:pPr>
            <w:r>
              <w:rPr>
                <w:sz w:val="18"/>
              </w:rPr>
              <w:t>5</w:t>
            </w:r>
          </w:p>
        </w:tc>
        <w:tc>
          <w:tcPr>
            <w:tcW w:w="1695" w:type="dxa"/>
          </w:tcPr>
          <w:p>
            <w:pPr>
              <w:pStyle w:val="TableParagraph"/>
              <w:spacing w:line="187" w:lineRule="exact"/>
              <w:ind w:right="745"/>
              <w:jc w:val="right"/>
              <w:rPr>
                <w:sz w:val="18"/>
              </w:rPr>
            </w:pPr>
            <w:r>
              <w:rPr>
                <w:sz w:val="18"/>
              </w:rPr>
              <w:t>14</w:t>
            </w:r>
          </w:p>
        </w:tc>
        <w:tc>
          <w:tcPr>
            <w:tcW w:w="2101" w:type="dxa"/>
          </w:tcPr>
          <w:p>
            <w:pPr>
              <w:pStyle w:val="TableParagraph"/>
              <w:spacing w:line="187" w:lineRule="exact"/>
              <w:ind w:left="866"/>
              <w:jc w:val="left"/>
              <w:rPr>
                <w:sz w:val="18"/>
              </w:rPr>
            </w:pPr>
            <w:r>
              <w:rPr>
                <w:sz w:val="18"/>
              </w:rPr>
              <w:t>150</w:t>
            </w:r>
          </w:p>
        </w:tc>
        <w:tc>
          <w:tcPr>
            <w:tcW w:w="2182" w:type="dxa"/>
          </w:tcPr>
          <w:p>
            <w:pPr>
              <w:pStyle w:val="TableParagraph"/>
              <w:spacing w:line="187" w:lineRule="exact"/>
              <w:ind w:left="942"/>
              <w:jc w:val="left"/>
              <w:rPr>
                <w:sz w:val="18"/>
              </w:rPr>
            </w:pPr>
            <w:r>
              <w:rPr>
                <w:sz w:val="18"/>
              </w:rPr>
              <w:t>200</w:t>
            </w:r>
          </w:p>
        </w:tc>
      </w:tr>
      <w:tr>
        <w:trPr>
          <w:trHeight w:val="206" w:hRule="atLeast"/>
        </w:trPr>
        <w:tc>
          <w:tcPr>
            <w:tcW w:w="1662" w:type="dxa"/>
            <w:tcBorders>
              <w:bottom w:val="single" w:sz="4" w:space="0" w:color="000000"/>
              <w:right w:val="single" w:sz="4" w:space="0" w:color="000000"/>
            </w:tcBorders>
          </w:tcPr>
          <w:p>
            <w:pPr>
              <w:pStyle w:val="TableParagraph"/>
              <w:spacing w:line="187" w:lineRule="exact"/>
              <w:ind w:left="29"/>
              <w:rPr>
                <w:b/>
                <w:sz w:val="18"/>
              </w:rPr>
            </w:pPr>
            <w:r>
              <w:rPr>
                <w:b/>
                <w:sz w:val="18"/>
              </w:rPr>
              <w:t>5</w:t>
            </w:r>
          </w:p>
        </w:tc>
        <w:tc>
          <w:tcPr>
            <w:tcW w:w="1383" w:type="dxa"/>
            <w:tcBorders>
              <w:left w:val="single" w:sz="4" w:space="0" w:color="000000"/>
              <w:bottom w:val="single" w:sz="4" w:space="0" w:color="000000"/>
            </w:tcBorders>
          </w:tcPr>
          <w:p>
            <w:pPr>
              <w:pStyle w:val="TableParagraph"/>
              <w:spacing w:line="187" w:lineRule="exact"/>
              <w:ind w:right="602"/>
              <w:jc w:val="right"/>
              <w:rPr>
                <w:sz w:val="18"/>
              </w:rPr>
            </w:pPr>
            <w:r>
              <w:rPr>
                <w:sz w:val="18"/>
              </w:rPr>
              <w:t>8</w:t>
            </w:r>
          </w:p>
        </w:tc>
        <w:tc>
          <w:tcPr>
            <w:tcW w:w="1695" w:type="dxa"/>
            <w:tcBorders>
              <w:bottom w:val="single" w:sz="4" w:space="0" w:color="000000"/>
            </w:tcBorders>
          </w:tcPr>
          <w:p>
            <w:pPr>
              <w:pStyle w:val="TableParagraph"/>
              <w:spacing w:line="187" w:lineRule="exact"/>
              <w:ind w:right="745"/>
              <w:jc w:val="right"/>
              <w:rPr>
                <w:sz w:val="18"/>
              </w:rPr>
            </w:pPr>
            <w:r>
              <w:rPr>
                <w:sz w:val="18"/>
              </w:rPr>
              <w:t>14</w:t>
            </w:r>
          </w:p>
        </w:tc>
        <w:tc>
          <w:tcPr>
            <w:tcW w:w="2101" w:type="dxa"/>
            <w:tcBorders>
              <w:bottom w:val="single" w:sz="4" w:space="0" w:color="000000"/>
            </w:tcBorders>
          </w:tcPr>
          <w:p>
            <w:pPr>
              <w:pStyle w:val="TableParagraph"/>
              <w:spacing w:line="187" w:lineRule="exact"/>
              <w:ind w:left="866"/>
              <w:jc w:val="left"/>
              <w:rPr>
                <w:sz w:val="18"/>
              </w:rPr>
            </w:pPr>
            <w:r>
              <w:rPr>
                <w:sz w:val="18"/>
              </w:rPr>
              <w:t>200</w:t>
            </w:r>
          </w:p>
        </w:tc>
        <w:tc>
          <w:tcPr>
            <w:tcW w:w="2182" w:type="dxa"/>
            <w:tcBorders>
              <w:bottom w:val="single" w:sz="4" w:space="0" w:color="000000"/>
            </w:tcBorders>
          </w:tcPr>
          <w:p>
            <w:pPr>
              <w:pStyle w:val="TableParagraph"/>
              <w:spacing w:line="187" w:lineRule="exact"/>
              <w:ind w:left="942"/>
              <w:jc w:val="left"/>
              <w:rPr>
                <w:sz w:val="18"/>
              </w:rPr>
            </w:pPr>
            <w:r>
              <w:rPr>
                <w:sz w:val="18"/>
              </w:rPr>
              <w:t>250</w:t>
            </w:r>
          </w:p>
        </w:tc>
      </w:tr>
    </w:tbl>
    <w:p>
      <w:pPr>
        <w:tabs>
          <w:tab w:pos="1073" w:val="left" w:leader="none"/>
        </w:tabs>
        <w:spacing w:before="0"/>
        <w:ind w:left="674" w:right="0" w:firstLine="0"/>
        <w:jc w:val="left"/>
        <w:rPr>
          <w:sz w:val="16"/>
        </w:rPr>
      </w:pPr>
      <w:r>
        <w:rPr>
          <w:position w:val="6"/>
          <w:sz w:val="10"/>
        </w:rPr>
        <w:t>(1)</w:t>
        <w:tab/>
      </w:r>
      <w:r>
        <w:rPr>
          <w:sz w:val="16"/>
        </w:rPr>
        <w:t>Este </w:t>
      </w:r>
      <w:r>
        <w:rPr>
          <w:i/>
          <w:sz w:val="16"/>
        </w:rPr>
        <w:t>grado de impermeabilidad </w:t>
      </w:r>
      <w:r>
        <w:rPr>
          <w:sz w:val="16"/>
        </w:rPr>
        <w:t>es el establecido en el apartado 2.1.1 para muros y en el apartado 2.2.1 para</w:t>
      </w:r>
      <w:r>
        <w:rPr>
          <w:spacing w:val="-9"/>
          <w:sz w:val="16"/>
        </w:rPr>
        <w:t> </w:t>
      </w:r>
      <w:r>
        <w:rPr>
          <w:sz w:val="16"/>
        </w:rPr>
        <w:t>suelos.</w:t>
      </w:r>
    </w:p>
    <w:p>
      <w:pPr>
        <w:pStyle w:val="ListParagraph"/>
        <w:numPr>
          <w:ilvl w:val="0"/>
          <w:numId w:val="71"/>
        </w:numPr>
        <w:tabs>
          <w:tab w:pos="671" w:val="left" w:leader="none"/>
          <w:tab w:pos="672" w:val="left" w:leader="none"/>
        </w:tabs>
        <w:spacing w:line="240" w:lineRule="auto" w:before="59" w:after="0"/>
        <w:ind w:left="671" w:right="392" w:hanging="454"/>
        <w:jc w:val="left"/>
        <w:rPr>
          <w:sz w:val="20"/>
        </w:rPr>
      </w:pPr>
      <w:r>
        <w:rPr>
          <w:sz w:val="20"/>
        </w:rPr>
        <w:t>La superficie de orificios del </w:t>
      </w:r>
      <w:r>
        <w:rPr>
          <w:i/>
          <w:sz w:val="20"/>
        </w:rPr>
        <w:t>tubo drenante </w:t>
      </w:r>
      <w:r>
        <w:rPr>
          <w:sz w:val="20"/>
        </w:rPr>
        <w:t>por metro lineal debe ser como mínimo la obtenida de la tabla</w:t>
      </w:r>
      <w:r>
        <w:rPr>
          <w:spacing w:val="-2"/>
          <w:sz w:val="20"/>
        </w:rPr>
        <w:t> </w:t>
      </w:r>
      <w:r>
        <w:rPr>
          <w:sz w:val="20"/>
        </w:rPr>
        <w:t>3.2.</w:t>
      </w:r>
    </w:p>
    <w:p>
      <w:pPr>
        <w:spacing w:after="0" w:line="240" w:lineRule="auto"/>
        <w:jc w:val="left"/>
        <w:rPr>
          <w:sz w:val="20"/>
        </w:rPr>
        <w:sectPr>
          <w:pgSz w:w="11910" w:h="16840"/>
          <w:pgMar w:header="724" w:footer="636" w:top="1320" w:bottom="840" w:left="1200" w:right="738"/>
        </w:sectPr>
      </w:pPr>
    </w:p>
    <w:p>
      <w:pPr>
        <w:spacing w:before="89" w:after="3"/>
        <w:ind w:left="655" w:right="829" w:firstLine="0"/>
        <w:jc w:val="center"/>
        <w:rPr>
          <w:b/>
          <w:i/>
          <w:sz w:val="18"/>
        </w:rPr>
      </w:pPr>
      <w:r>
        <w:rPr>
          <w:b/>
          <w:sz w:val="18"/>
        </w:rPr>
        <w:t>Tabla 3.2 Superficie mínima de orificios de los tubos de </w:t>
      </w:r>
      <w:r>
        <w:rPr>
          <w:b/>
          <w:i/>
          <w:sz w:val="18"/>
        </w:rPr>
        <w:t>drenaje</w:t>
      </w:r>
    </w:p>
    <w:tbl>
      <w:tblPr>
        <w:tblW w:w="0" w:type="auto"/>
        <w:jc w:val="left"/>
        <w:tblInd w:w="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4"/>
        <w:gridCol w:w="4578"/>
      </w:tblGrid>
      <w:tr>
        <w:trPr>
          <w:trHeight w:val="413" w:hRule="atLeast"/>
        </w:trPr>
        <w:tc>
          <w:tcPr>
            <w:tcW w:w="4404" w:type="dxa"/>
            <w:tcBorders>
              <w:top w:val="single" w:sz="4" w:space="0" w:color="000000"/>
              <w:bottom w:val="single" w:sz="4" w:space="0" w:color="000000"/>
              <w:right w:val="single" w:sz="4" w:space="0" w:color="000000"/>
            </w:tcBorders>
          </w:tcPr>
          <w:p>
            <w:pPr>
              <w:pStyle w:val="TableParagraph"/>
              <w:spacing w:before="101"/>
              <w:ind w:left="1432" w:right="1406"/>
              <w:rPr>
                <w:b/>
                <w:sz w:val="18"/>
              </w:rPr>
            </w:pPr>
            <w:r>
              <w:rPr>
                <w:b/>
                <w:sz w:val="18"/>
              </w:rPr>
              <w:t>Diámetro nominal</w:t>
            </w:r>
          </w:p>
        </w:tc>
        <w:tc>
          <w:tcPr>
            <w:tcW w:w="4578" w:type="dxa"/>
            <w:tcBorders>
              <w:top w:val="single" w:sz="4" w:space="0" w:color="000000"/>
              <w:left w:val="single" w:sz="4" w:space="0" w:color="000000"/>
              <w:bottom w:val="single" w:sz="4" w:space="0" w:color="000000"/>
            </w:tcBorders>
          </w:tcPr>
          <w:p>
            <w:pPr>
              <w:pStyle w:val="TableParagraph"/>
              <w:spacing w:line="202" w:lineRule="exact"/>
              <w:ind w:left="773" w:right="769"/>
              <w:rPr>
                <w:b/>
                <w:sz w:val="18"/>
              </w:rPr>
            </w:pPr>
            <w:r>
              <w:rPr>
                <w:b/>
                <w:sz w:val="18"/>
              </w:rPr>
              <w:t>Superficie total mínima de orificios</w:t>
            </w:r>
          </w:p>
          <w:p>
            <w:pPr>
              <w:pStyle w:val="TableParagraph"/>
              <w:spacing w:line="192" w:lineRule="exact"/>
              <w:ind w:left="770" w:right="769"/>
              <w:rPr>
                <w:b/>
                <w:sz w:val="18"/>
              </w:rPr>
            </w:pPr>
            <w:r>
              <w:rPr>
                <w:b/>
                <w:sz w:val="18"/>
              </w:rPr>
              <w:t>en cm</w:t>
            </w:r>
            <w:r>
              <w:rPr>
                <w:b/>
                <w:position w:val="6"/>
                <w:sz w:val="12"/>
              </w:rPr>
              <w:t>2</w:t>
            </w:r>
            <w:r>
              <w:rPr>
                <w:b/>
                <w:sz w:val="18"/>
              </w:rPr>
              <w:t>/m</w:t>
            </w:r>
          </w:p>
        </w:tc>
      </w:tr>
      <w:tr>
        <w:trPr>
          <w:trHeight w:val="208" w:hRule="atLeast"/>
        </w:trPr>
        <w:tc>
          <w:tcPr>
            <w:tcW w:w="4404" w:type="dxa"/>
            <w:tcBorders>
              <w:top w:val="single" w:sz="4" w:space="0" w:color="000000"/>
              <w:right w:val="single" w:sz="4" w:space="0" w:color="000000"/>
            </w:tcBorders>
          </w:tcPr>
          <w:p>
            <w:pPr>
              <w:pStyle w:val="TableParagraph"/>
              <w:spacing w:line="189" w:lineRule="exact"/>
              <w:ind w:left="1431" w:right="1406"/>
              <w:rPr>
                <w:sz w:val="18"/>
              </w:rPr>
            </w:pPr>
            <w:r>
              <w:rPr>
                <w:sz w:val="18"/>
              </w:rPr>
              <w:t>125</w:t>
            </w:r>
          </w:p>
        </w:tc>
        <w:tc>
          <w:tcPr>
            <w:tcW w:w="4578" w:type="dxa"/>
            <w:tcBorders>
              <w:top w:val="single" w:sz="4" w:space="0" w:color="000000"/>
              <w:left w:val="single" w:sz="4" w:space="0" w:color="000000"/>
            </w:tcBorders>
          </w:tcPr>
          <w:p>
            <w:pPr>
              <w:pStyle w:val="TableParagraph"/>
              <w:spacing w:line="189" w:lineRule="exact"/>
              <w:ind w:left="770" w:right="769"/>
              <w:rPr>
                <w:sz w:val="18"/>
              </w:rPr>
            </w:pPr>
            <w:r>
              <w:rPr>
                <w:sz w:val="18"/>
              </w:rPr>
              <w:t>10</w:t>
            </w:r>
          </w:p>
        </w:tc>
      </w:tr>
      <w:tr>
        <w:trPr>
          <w:trHeight w:val="207" w:hRule="atLeast"/>
        </w:trPr>
        <w:tc>
          <w:tcPr>
            <w:tcW w:w="4404" w:type="dxa"/>
            <w:tcBorders>
              <w:right w:val="single" w:sz="4" w:space="0" w:color="000000"/>
            </w:tcBorders>
          </w:tcPr>
          <w:p>
            <w:pPr>
              <w:pStyle w:val="TableParagraph"/>
              <w:spacing w:line="187" w:lineRule="exact"/>
              <w:ind w:left="1431" w:right="1406"/>
              <w:rPr>
                <w:sz w:val="18"/>
              </w:rPr>
            </w:pPr>
            <w:r>
              <w:rPr>
                <w:sz w:val="18"/>
              </w:rPr>
              <w:t>150</w:t>
            </w:r>
          </w:p>
        </w:tc>
        <w:tc>
          <w:tcPr>
            <w:tcW w:w="4578" w:type="dxa"/>
            <w:tcBorders>
              <w:left w:val="single" w:sz="4" w:space="0" w:color="000000"/>
            </w:tcBorders>
          </w:tcPr>
          <w:p>
            <w:pPr>
              <w:pStyle w:val="TableParagraph"/>
              <w:spacing w:line="187" w:lineRule="exact"/>
              <w:ind w:left="770" w:right="769"/>
              <w:rPr>
                <w:sz w:val="18"/>
              </w:rPr>
            </w:pPr>
            <w:r>
              <w:rPr>
                <w:sz w:val="18"/>
              </w:rPr>
              <w:t>10</w:t>
            </w:r>
          </w:p>
        </w:tc>
      </w:tr>
      <w:tr>
        <w:trPr>
          <w:trHeight w:val="206" w:hRule="atLeast"/>
        </w:trPr>
        <w:tc>
          <w:tcPr>
            <w:tcW w:w="4404" w:type="dxa"/>
            <w:tcBorders>
              <w:right w:val="single" w:sz="4" w:space="0" w:color="000000"/>
            </w:tcBorders>
          </w:tcPr>
          <w:p>
            <w:pPr>
              <w:pStyle w:val="TableParagraph"/>
              <w:spacing w:line="187" w:lineRule="exact"/>
              <w:ind w:left="1431" w:right="1406"/>
              <w:rPr>
                <w:sz w:val="18"/>
              </w:rPr>
            </w:pPr>
            <w:r>
              <w:rPr>
                <w:sz w:val="18"/>
              </w:rPr>
              <w:t>200</w:t>
            </w:r>
          </w:p>
        </w:tc>
        <w:tc>
          <w:tcPr>
            <w:tcW w:w="4578" w:type="dxa"/>
            <w:tcBorders>
              <w:left w:val="single" w:sz="4" w:space="0" w:color="000000"/>
            </w:tcBorders>
          </w:tcPr>
          <w:p>
            <w:pPr>
              <w:pStyle w:val="TableParagraph"/>
              <w:spacing w:line="187" w:lineRule="exact"/>
              <w:ind w:left="770" w:right="769"/>
              <w:rPr>
                <w:sz w:val="18"/>
              </w:rPr>
            </w:pPr>
            <w:r>
              <w:rPr>
                <w:sz w:val="18"/>
              </w:rPr>
              <w:t>12</w:t>
            </w:r>
          </w:p>
        </w:tc>
      </w:tr>
      <w:tr>
        <w:trPr>
          <w:trHeight w:val="206" w:hRule="atLeast"/>
        </w:trPr>
        <w:tc>
          <w:tcPr>
            <w:tcW w:w="4404" w:type="dxa"/>
            <w:tcBorders>
              <w:bottom w:val="single" w:sz="4" w:space="0" w:color="000000"/>
              <w:right w:val="single" w:sz="4" w:space="0" w:color="000000"/>
            </w:tcBorders>
          </w:tcPr>
          <w:p>
            <w:pPr>
              <w:pStyle w:val="TableParagraph"/>
              <w:spacing w:line="186" w:lineRule="exact"/>
              <w:ind w:left="1431" w:right="1406"/>
              <w:rPr>
                <w:sz w:val="18"/>
              </w:rPr>
            </w:pPr>
            <w:r>
              <w:rPr>
                <w:sz w:val="18"/>
              </w:rPr>
              <w:t>250</w:t>
            </w:r>
          </w:p>
        </w:tc>
        <w:tc>
          <w:tcPr>
            <w:tcW w:w="4578" w:type="dxa"/>
            <w:tcBorders>
              <w:left w:val="single" w:sz="4" w:space="0" w:color="000000"/>
              <w:bottom w:val="single" w:sz="4" w:space="0" w:color="000000"/>
            </w:tcBorders>
          </w:tcPr>
          <w:p>
            <w:pPr>
              <w:pStyle w:val="TableParagraph"/>
              <w:spacing w:line="186" w:lineRule="exact"/>
              <w:ind w:left="770" w:right="769"/>
              <w:rPr>
                <w:sz w:val="18"/>
              </w:rPr>
            </w:pPr>
            <w:r>
              <w:rPr>
                <w:sz w:val="18"/>
              </w:rPr>
              <w:t>17</w:t>
            </w:r>
          </w:p>
        </w:tc>
      </w:tr>
    </w:tbl>
    <w:p>
      <w:pPr>
        <w:pStyle w:val="BodyText"/>
        <w:spacing w:before="2"/>
        <w:rPr>
          <w:b/>
          <w:i/>
          <w:sz w:val="24"/>
        </w:rPr>
      </w:pPr>
    </w:p>
    <w:p>
      <w:pPr>
        <w:pStyle w:val="Heading3"/>
        <w:numPr>
          <w:ilvl w:val="1"/>
          <w:numId w:val="70"/>
        </w:numPr>
        <w:tabs>
          <w:tab w:pos="785" w:val="left" w:leader="none"/>
          <w:tab w:pos="786" w:val="left" w:leader="none"/>
        </w:tabs>
        <w:spacing w:line="240" w:lineRule="auto" w:before="1" w:after="0"/>
        <w:ind w:left="785" w:right="0" w:hanging="568"/>
        <w:jc w:val="left"/>
      </w:pPr>
      <w:r>
        <w:rPr/>
        <w:t>Canaletas de</w:t>
      </w:r>
      <w:r>
        <w:rPr>
          <w:spacing w:val="-3"/>
        </w:rPr>
        <w:t> </w:t>
      </w:r>
      <w:r>
        <w:rPr/>
        <w:t>recogida</w:t>
      </w:r>
    </w:p>
    <w:p>
      <w:pPr>
        <w:pStyle w:val="ListParagraph"/>
        <w:numPr>
          <w:ilvl w:val="0"/>
          <w:numId w:val="72"/>
        </w:numPr>
        <w:tabs>
          <w:tab w:pos="672" w:val="left" w:leader="none"/>
        </w:tabs>
        <w:spacing w:line="240" w:lineRule="auto" w:before="158" w:after="0"/>
        <w:ind w:left="672" w:right="391" w:hanging="454"/>
        <w:jc w:val="both"/>
        <w:rPr>
          <w:sz w:val="20"/>
        </w:rPr>
      </w:pPr>
      <w:r>
        <w:rPr>
          <w:sz w:val="20"/>
        </w:rPr>
        <w:t>El diámetro de los sumideros de las canaletas de recogida del agua en los </w:t>
      </w:r>
      <w:r>
        <w:rPr>
          <w:i/>
          <w:sz w:val="20"/>
        </w:rPr>
        <w:t>muros parcialmente </w:t>
      </w:r>
      <w:r>
        <w:rPr>
          <w:i/>
          <w:sz w:val="20"/>
        </w:rPr>
        <w:t>estancos </w:t>
      </w:r>
      <w:r>
        <w:rPr>
          <w:sz w:val="20"/>
        </w:rPr>
        <w:t>debe ser 110 mm como</w:t>
      </w:r>
      <w:r>
        <w:rPr>
          <w:spacing w:val="-6"/>
          <w:sz w:val="20"/>
        </w:rPr>
        <w:t> </w:t>
      </w:r>
      <w:r>
        <w:rPr>
          <w:sz w:val="20"/>
        </w:rPr>
        <w:t>mínimo.</w:t>
      </w:r>
    </w:p>
    <w:p>
      <w:pPr>
        <w:pStyle w:val="ListParagraph"/>
        <w:numPr>
          <w:ilvl w:val="0"/>
          <w:numId w:val="72"/>
        </w:numPr>
        <w:tabs>
          <w:tab w:pos="453" w:val="left" w:leader="none"/>
          <w:tab w:pos="672" w:val="left" w:leader="none"/>
        </w:tabs>
        <w:spacing w:line="240" w:lineRule="auto" w:before="120" w:after="0"/>
        <w:ind w:left="671" w:right="173" w:hanging="672"/>
        <w:jc w:val="left"/>
        <w:rPr>
          <w:sz w:val="20"/>
        </w:rPr>
      </w:pPr>
      <w:r>
        <w:rPr>
          <w:sz w:val="20"/>
        </w:rPr>
        <w:t>Las</w:t>
      </w:r>
      <w:r>
        <w:rPr>
          <w:spacing w:val="13"/>
          <w:sz w:val="20"/>
        </w:rPr>
        <w:t> </w:t>
      </w:r>
      <w:r>
        <w:rPr>
          <w:sz w:val="20"/>
        </w:rPr>
        <w:t>pendientes</w:t>
      </w:r>
      <w:r>
        <w:rPr>
          <w:spacing w:val="14"/>
          <w:sz w:val="20"/>
        </w:rPr>
        <w:t> </w:t>
      </w:r>
      <w:r>
        <w:rPr>
          <w:sz w:val="20"/>
        </w:rPr>
        <w:t>mínima</w:t>
      </w:r>
      <w:r>
        <w:rPr>
          <w:spacing w:val="14"/>
          <w:sz w:val="20"/>
        </w:rPr>
        <w:t> </w:t>
      </w:r>
      <w:r>
        <w:rPr>
          <w:sz w:val="20"/>
        </w:rPr>
        <w:t>y</w:t>
      </w:r>
      <w:r>
        <w:rPr>
          <w:spacing w:val="13"/>
          <w:sz w:val="20"/>
        </w:rPr>
        <w:t> </w:t>
      </w:r>
      <w:r>
        <w:rPr>
          <w:sz w:val="20"/>
        </w:rPr>
        <w:t>máxima</w:t>
      </w:r>
      <w:r>
        <w:rPr>
          <w:spacing w:val="13"/>
          <w:sz w:val="20"/>
        </w:rPr>
        <w:t> </w:t>
      </w:r>
      <w:r>
        <w:rPr>
          <w:sz w:val="20"/>
        </w:rPr>
        <w:t>de</w:t>
      </w:r>
      <w:r>
        <w:rPr>
          <w:spacing w:val="14"/>
          <w:sz w:val="20"/>
        </w:rPr>
        <w:t> </w:t>
      </w:r>
      <w:r>
        <w:rPr>
          <w:sz w:val="20"/>
        </w:rPr>
        <w:t>la</w:t>
      </w:r>
      <w:r>
        <w:rPr>
          <w:spacing w:val="13"/>
          <w:sz w:val="20"/>
        </w:rPr>
        <w:t> </w:t>
      </w:r>
      <w:r>
        <w:rPr>
          <w:sz w:val="20"/>
        </w:rPr>
        <w:t>canaleta</w:t>
      </w:r>
      <w:r>
        <w:rPr>
          <w:spacing w:val="14"/>
          <w:sz w:val="20"/>
        </w:rPr>
        <w:t> </w:t>
      </w:r>
      <w:r>
        <w:rPr>
          <w:sz w:val="20"/>
        </w:rPr>
        <w:t>y</w:t>
      </w:r>
      <w:r>
        <w:rPr>
          <w:spacing w:val="13"/>
          <w:sz w:val="20"/>
        </w:rPr>
        <w:t> </w:t>
      </w:r>
      <w:r>
        <w:rPr>
          <w:sz w:val="20"/>
        </w:rPr>
        <w:t>el</w:t>
      </w:r>
      <w:r>
        <w:rPr>
          <w:spacing w:val="14"/>
          <w:sz w:val="20"/>
        </w:rPr>
        <w:t> </w:t>
      </w:r>
      <w:r>
        <w:rPr>
          <w:sz w:val="20"/>
        </w:rPr>
        <w:t>número</w:t>
      </w:r>
      <w:r>
        <w:rPr>
          <w:spacing w:val="14"/>
          <w:sz w:val="20"/>
        </w:rPr>
        <w:t> </w:t>
      </w:r>
      <w:r>
        <w:rPr>
          <w:sz w:val="20"/>
        </w:rPr>
        <w:t>mínimo</w:t>
      </w:r>
      <w:r>
        <w:rPr>
          <w:spacing w:val="14"/>
          <w:sz w:val="20"/>
        </w:rPr>
        <w:t> </w:t>
      </w:r>
      <w:r>
        <w:rPr>
          <w:sz w:val="20"/>
        </w:rPr>
        <w:t>de</w:t>
      </w:r>
      <w:r>
        <w:rPr>
          <w:spacing w:val="13"/>
          <w:sz w:val="20"/>
        </w:rPr>
        <w:t> </w:t>
      </w:r>
      <w:r>
        <w:rPr>
          <w:sz w:val="20"/>
        </w:rPr>
        <w:t>sumideros</w:t>
      </w:r>
      <w:r>
        <w:rPr>
          <w:spacing w:val="14"/>
          <w:sz w:val="20"/>
        </w:rPr>
        <w:t> </w:t>
      </w:r>
      <w:r>
        <w:rPr>
          <w:sz w:val="20"/>
        </w:rPr>
        <w:t>en</w:t>
      </w:r>
      <w:r>
        <w:rPr>
          <w:spacing w:val="14"/>
          <w:sz w:val="20"/>
        </w:rPr>
        <w:t> </w:t>
      </w:r>
      <w:r>
        <w:rPr>
          <w:sz w:val="20"/>
        </w:rPr>
        <w:t>función</w:t>
      </w:r>
      <w:r>
        <w:rPr>
          <w:spacing w:val="14"/>
          <w:sz w:val="20"/>
        </w:rPr>
        <w:t> </w:t>
      </w:r>
      <w:r>
        <w:rPr>
          <w:sz w:val="20"/>
        </w:rPr>
        <w:t>del</w:t>
      </w:r>
    </w:p>
    <w:p>
      <w:pPr>
        <w:spacing w:before="0"/>
        <w:ind w:left="216" w:right="1143" w:firstLine="0"/>
        <w:jc w:val="center"/>
        <w:rPr>
          <w:sz w:val="20"/>
        </w:rPr>
      </w:pPr>
      <w:r>
        <w:rPr>
          <w:i/>
          <w:sz w:val="20"/>
        </w:rPr>
        <w:t>grado de impermeabilidad </w:t>
      </w:r>
      <w:r>
        <w:rPr>
          <w:sz w:val="20"/>
        </w:rPr>
        <w:t>exigido al muro deben ser los que se indican en la tabla 3.3.</w:t>
      </w:r>
    </w:p>
    <w:p>
      <w:pPr>
        <w:spacing w:before="59" w:after="4"/>
        <w:ind w:left="655" w:right="829" w:firstLine="0"/>
        <w:jc w:val="center"/>
        <w:rPr>
          <w:b/>
          <w:sz w:val="18"/>
        </w:rPr>
      </w:pPr>
      <w:r>
        <w:rPr>
          <w:b/>
          <w:sz w:val="18"/>
        </w:rPr>
        <w:t>Tabla 3.3 Canaletas de recogida de agua filtrada</w:t>
      </w:r>
    </w:p>
    <w:tbl>
      <w:tblPr>
        <w:tblW w:w="0" w:type="auto"/>
        <w:jc w:val="left"/>
        <w:tblInd w:w="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9"/>
        <w:gridCol w:w="2309"/>
        <w:gridCol w:w="2279"/>
        <w:gridCol w:w="2342"/>
      </w:tblGrid>
      <w:tr>
        <w:trPr>
          <w:trHeight w:val="413" w:hRule="atLeast"/>
        </w:trPr>
        <w:tc>
          <w:tcPr>
            <w:tcW w:w="2089" w:type="dxa"/>
            <w:tcBorders>
              <w:top w:val="single" w:sz="4" w:space="0" w:color="000000"/>
              <w:bottom w:val="single" w:sz="4" w:space="0" w:color="000000"/>
              <w:right w:val="single" w:sz="4" w:space="0" w:color="000000"/>
            </w:tcBorders>
          </w:tcPr>
          <w:p>
            <w:pPr>
              <w:pStyle w:val="TableParagraph"/>
              <w:spacing w:line="206" w:lineRule="exact" w:before="1"/>
              <w:ind w:left="361" w:right="132" w:hanging="180"/>
              <w:jc w:val="left"/>
              <w:rPr>
                <w:b/>
                <w:sz w:val="18"/>
              </w:rPr>
            </w:pPr>
            <w:r>
              <w:rPr>
                <w:b/>
                <w:i/>
                <w:sz w:val="18"/>
              </w:rPr>
              <w:t>Grado de impermea- </w:t>
            </w:r>
            <w:r>
              <w:rPr>
                <w:b/>
                <w:i/>
                <w:sz w:val="18"/>
              </w:rPr>
              <w:t>bilidad </w:t>
            </w:r>
            <w:r>
              <w:rPr>
                <w:b/>
                <w:sz w:val="18"/>
              </w:rPr>
              <w:t>del muro</w:t>
            </w:r>
          </w:p>
        </w:tc>
        <w:tc>
          <w:tcPr>
            <w:tcW w:w="2309" w:type="dxa"/>
            <w:tcBorders>
              <w:top w:val="single" w:sz="4" w:space="0" w:color="000000"/>
              <w:left w:val="single" w:sz="4" w:space="0" w:color="000000"/>
              <w:bottom w:val="single" w:sz="4" w:space="0" w:color="000000"/>
            </w:tcBorders>
          </w:tcPr>
          <w:p>
            <w:pPr>
              <w:pStyle w:val="TableParagraph"/>
              <w:spacing w:line="204" w:lineRule="exact"/>
              <w:ind w:left="366" w:right="356"/>
              <w:rPr>
                <w:b/>
                <w:sz w:val="18"/>
              </w:rPr>
            </w:pPr>
            <w:r>
              <w:rPr>
                <w:b/>
                <w:sz w:val="18"/>
              </w:rPr>
              <w:t>Pendiente mínima</w:t>
            </w:r>
          </w:p>
          <w:p>
            <w:pPr>
              <w:pStyle w:val="TableParagraph"/>
              <w:spacing w:line="189" w:lineRule="exact"/>
              <w:ind w:left="365" w:right="356"/>
              <w:rPr>
                <w:b/>
                <w:sz w:val="18"/>
              </w:rPr>
            </w:pPr>
            <w:r>
              <w:rPr>
                <w:b/>
                <w:sz w:val="18"/>
              </w:rPr>
              <w:t>en %</w:t>
            </w:r>
          </w:p>
        </w:tc>
        <w:tc>
          <w:tcPr>
            <w:tcW w:w="2279" w:type="dxa"/>
            <w:tcBorders>
              <w:top w:val="single" w:sz="4" w:space="0" w:color="000000"/>
              <w:bottom w:val="single" w:sz="4" w:space="0" w:color="000000"/>
            </w:tcBorders>
          </w:tcPr>
          <w:p>
            <w:pPr>
              <w:pStyle w:val="TableParagraph"/>
              <w:spacing w:line="204" w:lineRule="exact"/>
              <w:ind w:left="366" w:right="291"/>
              <w:rPr>
                <w:b/>
                <w:sz w:val="18"/>
              </w:rPr>
            </w:pPr>
            <w:r>
              <w:rPr>
                <w:b/>
                <w:sz w:val="18"/>
              </w:rPr>
              <w:t>Pendiente máxima</w:t>
            </w:r>
          </w:p>
          <w:p>
            <w:pPr>
              <w:pStyle w:val="TableParagraph"/>
              <w:spacing w:line="189" w:lineRule="exact"/>
              <w:ind w:left="366" w:right="289"/>
              <w:rPr>
                <w:b/>
                <w:sz w:val="18"/>
              </w:rPr>
            </w:pPr>
            <w:r>
              <w:rPr>
                <w:b/>
                <w:sz w:val="18"/>
              </w:rPr>
              <w:t>en %</w:t>
            </w:r>
          </w:p>
        </w:tc>
        <w:tc>
          <w:tcPr>
            <w:tcW w:w="2342" w:type="dxa"/>
            <w:tcBorders>
              <w:top w:val="single" w:sz="4" w:space="0" w:color="000000"/>
              <w:bottom w:val="single" w:sz="4" w:space="0" w:color="000000"/>
            </w:tcBorders>
          </w:tcPr>
          <w:p>
            <w:pPr>
              <w:pStyle w:val="TableParagraph"/>
              <w:spacing w:before="99"/>
              <w:ind w:left="311" w:right="239"/>
              <w:rPr>
                <w:b/>
                <w:sz w:val="18"/>
              </w:rPr>
            </w:pPr>
            <w:r>
              <w:rPr>
                <w:b/>
                <w:sz w:val="18"/>
              </w:rPr>
              <w:t>Sumideros</w:t>
            </w:r>
          </w:p>
        </w:tc>
      </w:tr>
      <w:tr>
        <w:trPr>
          <w:trHeight w:val="205" w:hRule="atLeast"/>
        </w:trPr>
        <w:tc>
          <w:tcPr>
            <w:tcW w:w="2089" w:type="dxa"/>
            <w:tcBorders>
              <w:top w:val="single" w:sz="4" w:space="0" w:color="000000"/>
              <w:right w:val="single" w:sz="4" w:space="0" w:color="000000"/>
            </w:tcBorders>
          </w:tcPr>
          <w:p>
            <w:pPr>
              <w:pStyle w:val="TableParagraph"/>
              <w:spacing w:line="185" w:lineRule="exact"/>
              <w:ind w:right="975"/>
              <w:jc w:val="right"/>
              <w:rPr>
                <w:b/>
                <w:sz w:val="18"/>
              </w:rPr>
            </w:pPr>
            <w:r>
              <w:rPr>
                <w:b/>
                <w:sz w:val="18"/>
              </w:rPr>
              <w:t>1</w:t>
            </w:r>
          </w:p>
        </w:tc>
        <w:tc>
          <w:tcPr>
            <w:tcW w:w="2309" w:type="dxa"/>
            <w:tcBorders>
              <w:top w:val="single" w:sz="4" w:space="0" w:color="000000"/>
              <w:left w:val="single" w:sz="4" w:space="0" w:color="000000"/>
            </w:tcBorders>
          </w:tcPr>
          <w:p>
            <w:pPr>
              <w:pStyle w:val="TableParagraph"/>
              <w:spacing w:line="185" w:lineRule="exact"/>
              <w:ind w:left="1106"/>
              <w:jc w:val="left"/>
              <w:rPr>
                <w:sz w:val="18"/>
              </w:rPr>
            </w:pPr>
            <w:r>
              <w:rPr>
                <w:sz w:val="18"/>
              </w:rPr>
              <w:t>5</w:t>
            </w:r>
          </w:p>
        </w:tc>
        <w:tc>
          <w:tcPr>
            <w:tcW w:w="2279" w:type="dxa"/>
            <w:tcBorders>
              <w:top w:val="single" w:sz="4" w:space="0" w:color="000000"/>
            </w:tcBorders>
          </w:tcPr>
          <w:p>
            <w:pPr>
              <w:pStyle w:val="TableParagraph"/>
              <w:spacing w:line="185" w:lineRule="exact"/>
              <w:ind w:right="999"/>
              <w:jc w:val="right"/>
              <w:rPr>
                <w:sz w:val="18"/>
              </w:rPr>
            </w:pPr>
            <w:r>
              <w:rPr>
                <w:sz w:val="18"/>
              </w:rPr>
              <w:t>14</w:t>
            </w:r>
          </w:p>
        </w:tc>
        <w:tc>
          <w:tcPr>
            <w:tcW w:w="2342" w:type="dxa"/>
            <w:tcBorders>
              <w:top w:val="single" w:sz="4" w:space="0" w:color="000000"/>
            </w:tcBorders>
          </w:tcPr>
          <w:p>
            <w:pPr>
              <w:pStyle w:val="TableParagraph"/>
              <w:spacing w:line="185" w:lineRule="exact"/>
              <w:ind w:left="312" w:right="239"/>
              <w:rPr>
                <w:sz w:val="18"/>
              </w:rPr>
            </w:pPr>
            <w:r>
              <w:rPr>
                <w:sz w:val="18"/>
              </w:rPr>
              <w:t>1 cada 25 m</w:t>
            </w:r>
            <w:r>
              <w:rPr>
                <w:position w:val="6"/>
                <w:sz w:val="12"/>
              </w:rPr>
              <w:t>2 </w:t>
            </w:r>
            <w:r>
              <w:rPr>
                <w:sz w:val="18"/>
              </w:rPr>
              <w:t>de muro</w:t>
            </w:r>
          </w:p>
        </w:tc>
      </w:tr>
      <w:tr>
        <w:trPr>
          <w:trHeight w:val="207" w:hRule="atLeast"/>
        </w:trPr>
        <w:tc>
          <w:tcPr>
            <w:tcW w:w="2089" w:type="dxa"/>
            <w:tcBorders>
              <w:right w:val="single" w:sz="4" w:space="0" w:color="000000"/>
            </w:tcBorders>
          </w:tcPr>
          <w:p>
            <w:pPr>
              <w:pStyle w:val="TableParagraph"/>
              <w:spacing w:line="187" w:lineRule="exact"/>
              <w:ind w:right="975"/>
              <w:jc w:val="right"/>
              <w:rPr>
                <w:b/>
                <w:sz w:val="18"/>
              </w:rPr>
            </w:pPr>
            <w:r>
              <w:rPr>
                <w:b/>
                <w:sz w:val="18"/>
              </w:rPr>
              <w:t>2</w:t>
            </w:r>
          </w:p>
        </w:tc>
        <w:tc>
          <w:tcPr>
            <w:tcW w:w="2309" w:type="dxa"/>
            <w:tcBorders>
              <w:left w:val="single" w:sz="4" w:space="0" w:color="000000"/>
            </w:tcBorders>
          </w:tcPr>
          <w:p>
            <w:pPr>
              <w:pStyle w:val="TableParagraph"/>
              <w:spacing w:line="187" w:lineRule="exact"/>
              <w:ind w:left="1106"/>
              <w:jc w:val="left"/>
              <w:rPr>
                <w:sz w:val="18"/>
              </w:rPr>
            </w:pPr>
            <w:r>
              <w:rPr>
                <w:sz w:val="18"/>
              </w:rPr>
              <w:t>5</w:t>
            </w:r>
          </w:p>
        </w:tc>
        <w:tc>
          <w:tcPr>
            <w:tcW w:w="2279" w:type="dxa"/>
          </w:tcPr>
          <w:p>
            <w:pPr>
              <w:pStyle w:val="TableParagraph"/>
              <w:spacing w:line="187" w:lineRule="exact"/>
              <w:ind w:right="999"/>
              <w:jc w:val="right"/>
              <w:rPr>
                <w:sz w:val="18"/>
              </w:rPr>
            </w:pPr>
            <w:r>
              <w:rPr>
                <w:sz w:val="18"/>
              </w:rPr>
              <w:t>14</w:t>
            </w:r>
          </w:p>
        </w:tc>
        <w:tc>
          <w:tcPr>
            <w:tcW w:w="2342" w:type="dxa"/>
          </w:tcPr>
          <w:p>
            <w:pPr>
              <w:pStyle w:val="TableParagraph"/>
              <w:spacing w:line="187" w:lineRule="exact"/>
              <w:ind w:left="312" w:right="239"/>
              <w:rPr>
                <w:sz w:val="18"/>
              </w:rPr>
            </w:pPr>
            <w:r>
              <w:rPr>
                <w:sz w:val="18"/>
              </w:rPr>
              <w:t>1 cada 25 m</w:t>
            </w:r>
            <w:r>
              <w:rPr>
                <w:position w:val="6"/>
                <w:sz w:val="12"/>
              </w:rPr>
              <w:t>2 </w:t>
            </w:r>
            <w:r>
              <w:rPr>
                <w:sz w:val="18"/>
              </w:rPr>
              <w:t>de muro</w:t>
            </w:r>
          </w:p>
        </w:tc>
      </w:tr>
      <w:tr>
        <w:trPr>
          <w:trHeight w:val="206" w:hRule="atLeast"/>
        </w:trPr>
        <w:tc>
          <w:tcPr>
            <w:tcW w:w="2089" w:type="dxa"/>
            <w:tcBorders>
              <w:right w:val="single" w:sz="4" w:space="0" w:color="000000"/>
            </w:tcBorders>
          </w:tcPr>
          <w:p>
            <w:pPr>
              <w:pStyle w:val="TableParagraph"/>
              <w:spacing w:line="187" w:lineRule="exact"/>
              <w:ind w:right="975"/>
              <w:jc w:val="right"/>
              <w:rPr>
                <w:b/>
                <w:sz w:val="18"/>
              </w:rPr>
            </w:pPr>
            <w:r>
              <w:rPr>
                <w:b/>
                <w:sz w:val="18"/>
              </w:rPr>
              <w:t>3</w:t>
            </w:r>
          </w:p>
        </w:tc>
        <w:tc>
          <w:tcPr>
            <w:tcW w:w="2309" w:type="dxa"/>
            <w:tcBorders>
              <w:left w:val="single" w:sz="4" w:space="0" w:color="000000"/>
            </w:tcBorders>
          </w:tcPr>
          <w:p>
            <w:pPr>
              <w:pStyle w:val="TableParagraph"/>
              <w:spacing w:line="187" w:lineRule="exact"/>
              <w:ind w:left="1106"/>
              <w:jc w:val="left"/>
              <w:rPr>
                <w:sz w:val="18"/>
              </w:rPr>
            </w:pPr>
            <w:r>
              <w:rPr>
                <w:sz w:val="18"/>
              </w:rPr>
              <w:t>8</w:t>
            </w:r>
          </w:p>
        </w:tc>
        <w:tc>
          <w:tcPr>
            <w:tcW w:w="2279" w:type="dxa"/>
          </w:tcPr>
          <w:p>
            <w:pPr>
              <w:pStyle w:val="TableParagraph"/>
              <w:spacing w:line="187" w:lineRule="exact"/>
              <w:ind w:right="999"/>
              <w:jc w:val="right"/>
              <w:rPr>
                <w:sz w:val="18"/>
              </w:rPr>
            </w:pPr>
            <w:r>
              <w:rPr>
                <w:sz w:val="18"/>
              </w:rPr>
              <w:t>14</w:t>
            </w:r>
          </w:p>
        </w:tc>
        <w:tc>
          <w:tcPr>
            <w:tcW w:w="2342" w:type="dxa"/>
          </w:tcPr>
          <w:p>
            <w:pPr>
              <w:pStyle w:val="TableParagraph"/>
              <w:spacing w:line="187" w:lineRule="exact"/>
              <w:ind w:left="312" w:right="239"/>
              <w:rPr>
                <w:sz w:val="18"/>
              </w:rPr>
            </w:pPr>
            <w:r>
              <w:rPr>
                <w:sz w:val="18"/>
              </w:rPr>
              <w:t>1 cada 20 m</w:t>
            </w:r>
            <w:r>
              <w:rPr>
                <w:position w:val="6"/>
                <w:sz w:val="12"/>
              </w:rPr>
              <w:t>2 </w:t>
            </w:r>
            <w:r>
              <w:rPr>
                <w:sz w:val="18"/>
              </w:rPr>
              <w:t>de muro</w:t>
            </w:r>
          </w:p>
        </w:tc>
      </w:tr>
      <w:tr>
        <w:trPr>
          <w:trHeight w:val="207" w:hRule="atLeast"/>
        </w:trPr>
        <w:tc>
          <w:tcPr>
            <w:tcW w:w="2089" w:type="dxa"/>
            <w:tcBorders>
              <w:right w:val="single" w:sz="4" w:space="0" w:color="000000"/>
            </w:tcBorders>
          </w:tcPr>
          <w:p>
            <w:pPr>
              <w:pStyle w:val="TableParagraph"/>
              <w:spacing w:line="187" w:lineRule="exact"/>
              <w:ind w:right="975"/>
              <w:jc w:val="right"/>
              <w:rPr>
                <w:b/>
                <w:sz w:val="18"/>
              </w:rPr>
            </w:pPr>
            <w:r>
              <w:rPr>
                <w:b/>
                <w:sz w:val="18"/>
              </w:rPr>
              <w:t>4</w:t>
            </w:r>
          </w:p>
        </w:tc>
        <w:tc>
          <w:tcPr>
            <w:tcW w:w="2309" w:type="dxa"/>
            <w:tcBorders>
              <w:left w:val="single" w:sz="4" w:space="0" w:color="000000"/>
            </w:tcBorders>
          </w:tcPr>
          <w:p>
            <w:pPr>
              <w:pStyle w:val="TableParagraph"/>
              <w:spacing w:line="187" w:lineRule="exact"/>
              <w:ind w:left="1106"/>
              <w:jc w:val="left"/>
              <w:rPr>
                <w:sz w:val="18"/>
              </w:rPr>
            </w:pPr>
            <w:r>
              <w:rPr>
                <w:sz w:val="18"/>
              </w:rPr>
              <w:t>8</w:t>
            </w:r>
          </w:p>
        </w:tc>
        <w:tc>
          <w:tcPr>
            <w:tcW w:w="2279" w:type="dxa"/>
          </w:tcPr>
          <w:p>
            <w:pPr>
              <w:pStyle w:val="TableParagraph"/>
              <w:spacing w:line="187" w:lineRule="exact"/>
              <w:ind w:right="999"/>
              <w:jc w:val="right"/>
              <w:rPr>
                <w:sz w:val="18"/>
              </w:rPr>
            </w:pPr>
            <w:r>
              <w:rPr>
                <w:sz w:val="18"/>
              </w:rPr>
              <w:t>14</w:t>
            </w:r>
          </w:p>
        </w:tc>
        <w:tc>
          <w:tcPr>
            <w:tcW w:w="2342" w:type="dxa"/>
          </w:tcPr>
          <w:p>
            <w:pPr>
              <w:pStyle w:val="TableParagraph"/>
              <w:spacing w:line="187" w:lineRule="exact"/>
              <w:ind w:left="312" w:right="239"/>
              <w:rPr>
                <w:sz w:val="18"/>
              </w:rPr>
            </w:pPr>
            <w:r>
              <w:rPr>
                <w:sz w:val="18"/>
              </w:rPr>
              <w:t>1 cada 20 m</w:t>
            </w:r>
            <w:r>
              <w:rPr>
                <w:position w:val="6"/>
                <w:sz w:val="12"/>
              </w:rPr>
              <w:t>2 </w:t>
            </w:r>
            <w:r>
              <w:rPr>
                <w:sz w:val="18"/>
              </w:rPr>
              <w:t>de muro</w:t>
            </w:r>
          </w:p>
        </w:tc>
      </w:tr>
      <w:tr>
        <w:trPr>
          <w:trHeight w:val="209" w:hRule="atLeast"/>
        </w:trPr>
        <w:tc>
          <w:tcPr>
            <w:tcW w:w="2089" w:type="dxa"/>
            <w:tcBorders>
              <w:bottom w:val="single" w:sz="4" w:space="0" w:color="000000"/>
              <w:right w:val="single" w:sz="4" w:space="0" w:color="000000"/>
            </w:tcBorders>
          </w:tcPr>
          <w:p>
            <w:pPr>
              <w:pStyle w:val="TableParagraph"/>
              <w:spacing w:line="189" w:lineRule="exact"/>
              <w:ind w:right="975"/>
              <w:jc w:val="right"/>
              <w:rPr>
                <w:b/>
                <w:sz w:val="18"/>
              </w:rPr>
            </w:pPr>
            <w:r>
              <w:rPr>
                <w:b/>
                <w:sz w:val="18"/>
              </w:rPr>
              <w:t>5</w:t>
            </w:r>
          </w:p>
        </w:tc>
        <w:tc>
          <w:tcPr>
            <w:tcW w:w="2309" w:type="dxa"/>
            <w:tcBorders>
              <w:left w:val="single" w:sz="4" w:space="0" w:color="000000"/>
              <w:bottom w:val="single" w:sz="4" w:space="0" w:color="000000"/>
            </w:tcBorders>
          </w:tcPr>
          <w:p>
            <w:pPr>
              <w:pStyle w:val="TableParagraph"/>
              <w:spacing w:line="189" w:lineRule="exact"/>
              <w:ind w:left="1056"/>
              <w:jc w:val="left"/>
              <w:rPr>
                <w:sz w:val="18"/>
              </w:rPr>
            </w:pPr>
            <w:r>
              <w:rPr>
                <w:sz w:val="18"/>
              </w:rPr>
              <w:t>12</w:t>
            </w:r>
          </w:p>
        </w:tc>
        <w:tc>
          <w:tcPr>
            <w:tcW w:w="2279" w:type="dxa"/>
            <w:tcBorders>
              <w:bottom w:val="single" w:sz="4" w:space="0" w:color="000000"/>
            </w:tcBorders>
          </w:tcPr>
          <w:p>
            <w:pPr>
              <w:pStyle w:val="TableParagraph"/>
              <w:spacing w:line="189" w:lineRule="exact"/>
              <w:ind w:right="999"/>
              <w:jc w:val="right"/>
              <w:rPr>
                <w:sz w:val="18"/>
              </w:rPr>
            </w:pPr>
            <w:r>
              <w:rPr>
                <w:sz w:val="18"/>
              </w:rPr>
              <w:t>14</w:t>
            </w:r>
          </w:p>
        </w:tc>
        <w:tc>
          <w:tcPr>
            <w:tcW w:w="2342" w:type="dxa"/>
            <w:tcBorders>
              <w:bottom w:val="single" w:sz="4" w:space="0" w:color="000000"/>
            </w:tcBorders>
          </w:tcPr>
          <w:p>
            <w:pPr>
              <w:pStyle w:val="TableParagraph"/>
              <w:spacing w:line="189" w:lineRule="exact"/>
              <w:ind w:left="312" w:right="239"/>
              <w:rPr>
                <w:sz w:val="18"/>
              </w:rPr>
            </w:pPr>
            <w:r>
              <w:rPr>
                <w:sz w:val="18"/>
              </w:rPr>
              <w:t>1 cada 15 m</w:t>
            </w:r>
            <w:r>
              <w:rPr>
                <w:position w:val="6"/>
                <w:sz w:val="12"/>
              </w:rPr>
              <w:t>2 </w:t>
            </w:r>
            <w:r>
              <w:rPr>
                <w:sz w:val="18"/>
              </w:rPr>
              <w:t>de muro</w:t>
            </w:r>
          </w:p>
        </w:tc>
      </w:tr>
    </w:tbl>
    <w:p>
      <w:pPr>
        <w:pStyle w:val="BodyText"/>
        <w:spacing w:before="2"/>
        <w:rPr>
          <w:b/>
          <w:sz w:val="24"/>
        </w:rPr>
      </w:pPr>
    </w:p>
    <w:p>
      <w:pPr>
        <w:pStyle w:val="Heading3"/>
        <w:numPr>
          <w:ilvl w:val="1"/>
          <w:numId w:val="70"/>
        </w:numPr>
        <w:tabs>
          <w:tab w:pos="785" w:val="left" w:leader="none"/>
          <w:tab w:pos="786" w:val="left" w:leader="none"/>
        </w:tabs>
        <w:spacing w:line="240" w:lineRule="auto" w:before="1" w:after="0"/>
        <w:ind w:left="785" w:right="0" w:hanging="568"/>
        <w:jc w:val="left"/>
      </w:pPr>
      <w:r>
        <w:rPr/>
        <w:t>Bombas de</w:t>
      </w:r>
      <w:r>
        <w:rPr>
          <w:spacing w:val="-3"/>
        </w:rPr>
        <w:t> </w:t>
      </w:r>
      <w:r>
        <w:rPr/>
        <w:t>achique</w:t>
      </w:r>
    </w:p>
    <w:p>
      <w:pPr>
        <w:pStyle w:val="ListParagraph"/>
        <w:numPr>
          <w:ilvl w:val="0"/>
          <w:numId w:val="73"/>
        </w:numPr>
        <w:tabs>
          <w:tab w:pos="672" w:val="left" w:leader="none"/>
        </w:tabs>
        <w:spacing w:line="240" w:lineRule="auto" w:before="158" w:after="0"/>
        <w:ind w:left="672" w:right="391" w:hanging="454"/>
        <w:jc w:val="both"/>
        <w:rPr>
          <w:sz w:val="20"/>
        </w:rPr>
      </w:pPr>
      <w:r>
        <w:rPr>
          <w:sz w:val="20"/>
        </w:rPr>
        <w:t>Cada una de las bombas de achique de una misma cámara debe dimensionarse para el caudal total de agua a evacuar que, en el caso de referirse a muros, se puede calcular según el método descrito en el apéndice</w:t>
      </w:r>
      <w:r>
        <w:rPr>
          <w:spacing w:val="-3"/>
          <w:sz w:val="20"/>
        </w:rPr>
        <w:t> </w:t>
      </w:r>
      <w:r>
        <w:rPr>
          <w:sz w:val="20"/>
        </w:rPr>
        <w:t>C.</w:t>
      </w:r>
    </w:p>
    <w:p>
      <w:pPr>
        <w:pStyle w:val="ListParagraph"/>
        <w:numPr>
          <w:ilvl w:val="0"/>
          <w:numId w:val="73"/>
        </w:numPr>
        <w:tabs>
          <w:tab w:pos="672" w:val="left" w:leader="none"/>
        </w:tabs>
        <w:spacing w:line="240" w:lineRule="auto" w:before="120" w:after="0"/>
        <w:ind w:left="672" w:right="392" w:hanging="454"/>
        <w:jc w:val="both"/>
        <w:rPr>
          <w:sz w:val="20"/>
        </w:rPr>
      </w:pPr>
      <w:r>
        <w:rPr>
          <w:sz w:val="20"/>
        </w:rPr>
        <w:t>El volumen de cada </w:t>
      </w:r>
      <w:r>
        <w:rPr>
          <w:i/>
          <w:sz w:val="20"/>
        </w:rPr>
        <w:t>cámara de bombeo </w:t>
      </w:r>
      <w:r>
        <w:rPr>
          <w:sz w:val="20"/>
        </w:rPr>
        <w:t>debe ser como mínimo igual al obtenido de la tabla 3.4. Para caudales mayores debe colocarse una segunda</w:t>
      </w:r>
      <w:r>
        <w:rPr>
          <w:spacing w:val="-7"/>
          <w:sz w:val="20"/>
        </w:rPr>
        <w:t> </w:t>
      </w:r>
      <w:r>
        <w:rPr>
          <w:sz w:val="20"/>
        </w:rPr>
        <w:t>cámara.</w:t>
      </w:r>
    </w:p>
    <w:p>
      <w:pPr>
        <w:spacing w:before="60" w:after="4"/>
        <w:ind w:left="3600" w:right="0" w:firstLine="0"/>
        <w:jc w:val="left"/>
        <w:rPr>
          <w:b/>
          <w:sz w:val="18"/>
        </w:rPr>
      </w:pPr>
      <w:r>
        <w:rPr>
          <w:b/>
          <w:sz w:val="18"/>
        </w:rPr>
        <w:t>Tabla 3.4 Cámaras de bombeo</w:t>
      </w:r>
    </w:p>
    <w:tbl>
      <w:tblPr>
        <w:tblW w:w="0" w:type="auto"/>
        <w:jc w:val="left"/>
        <w:tblInd w:w="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6"/>
        <w:gridCol w:w="4578"/>
      </w:tblGrid>
      <w:tr>
        <w:trPr>
          <w:trHeight w:val="413" w:hRule="atLeast"/>
        </w:trPr>
        <w:tc>
          <w:tcPr>
            <w:tcW w:w="4366" w:type="dxa"/>
            <w:tcBorders>
              <w:top w:val="single" w:sz="4" w:space="0" w:color="000000"/>
              <w:bottom w:val="single" w:sz="4" w:space="0" w:color="000000"/>
              <w:right w:val="single" w:sz="4" w:space="0" w:color="000000"/>
            </w:tcBorders>
          </w:tcPr>
          <w:p>
            <w:pPr>
              <w:pStyle w:val="TableParagraph"/>
              <w:spacing w:line="206" w:lineRule="exact"/>
              <w:ind w:left="1964" w:right="1297" w:hanging="621"/>
              <w:jc w:val="left"/>
              <w:rPr>
                <w:b/>
                <w:sz w:val="18"/>
              </w:rPr>
            </w:pPr>
            <w:r>
              <w:rPr>
                <w:b/>
                <w:sz w:val="18"/>
              </w:rPr>
              <w:t>Caudal de la bomba en l/s</w:t>
            </w:r>
          </w:p>
        </w:tc>
        <w:tc>
          <w:tcPr>
            <w:tcW w:w="4578" w:type="dxa"/>
            <w:tcBorders>
              <w:top w:val="single" w:sz="4" w:space="0" w:color="000000"/>
              <w:left w:val="single" w:sz="4" w:space="0" w:color="000000"/>
              <w:bottom w:val="single" w:sz="4" w:space="0" w:color="000000"/>
            </w:tcBorders>
          </w:tcPr>
          <w:p>
            <w:pPr>
              <w:pStyle w:val="TableParagraph"/>
              <w:spacing w:line="206" w:lineRule="exact"/>
              <w:ind w:left="2026" w:right="1316" w:hanging="690"/>
              <w:jc w:val="left"/>
              <w:rPr>
                <w:b/>
                <w:sz w:val="18"/>
              </w:rPr>
            </w:pPr>
            <w:r>
              <w:rPr>
                <w:b/>
                <w:sz w:val="18"/>
              </w:rPr>
              <w:t>Volumen de la cámara en m3</w:t>
            </w:r>
          </w:p>
        </w:tc>
      </w:tr>
      <w:tr>
        <w:trPr>
          <w:trHeight w:val="226" w:hRule="atLeast"/>
        </w:trPr>
        <w:tc>
          <w:tcPr>
            <w:tcW w:w="4366" w:type="dxa"/>
            <w:tcBorders>
              <w:top w:val="single" w:sz="4" w:space="0" w:color="000000"/>
              <w:right w:val="single" w:sz="4" w:space="0" w:color="000000"/>
            </w:tcBorders>
          </w:tcPr>
          <w:p>
            <w:pPr>
              <w:pStyle w:val="TableParagraph"/>
              <w:spacing w:line="205" w:lineRule="exact"/>
              <w:ind w:left="1882" w:right="1857"/>
              <w:rPr>
                <w:sz w:val="18"/>
              </w:rPr>
            </w:pPr>
            <w:r>
              <w:rPr>
                <w:sz w:val="18"/>
              </w:rPr>
              <w:t>0,15</w:t>
            </w:r>
          </w:p>
        </w:tc>
        <w:tc>
          <w:tcPr>
            <w:tcW w:w="4578" w:type="dxa"/>
            <w:tcBorders>
              <w:top w:val="single" w:sz="4" w:space="0" w:color="000000"/>
              <w:left w:val="single" w:sz="4" w:space="0" w:color="000000"/>
            </w:tcBorders>
          </w:tcPr>
          <w:p>
            <w:pPr>
              <w:pStyle w:val="TableParagraph"/>
              <w:spacing w:line="205" w:lineRule="exact"/>
              <w:ind w:left="769" w:right="769"/>
              <w:rPr>
                <w:sz w:val="18"/>
              </w:rPr>
            </w:pPr>
            <w:r>
              <w:rPr>
                <w:sz w:val="18"/>
              </w:rPr>
              <w:t>2,4</w:t>
            </w:r>
          </w:p>
        </w:tc>
      </w:tr>
      <w:tr>
        <w:trPr>
          <w:trHeight w:val="244" w:hRule="atLeast"/>
        </w:trPr>
        <w:tc>
          <w:tcPr>
            <w:tcW w:w="4366" w:type="dxa"/>
            <w:tcBorders>
              <w:right w:val="single" w:sz="4" w:space="0" w:color="000000"/>
            </w:tcBorders>
          </w:tcPr>
          <w:p>
            <w:pPr>
              <w:pStyle w:val="TableParagraph"/>
              <w:spacing w:before="16"/>
              <w:ind w:left="1882" w:right="1857"/>
              <w:rPr>
                <w:sz w:val="18"/>
              </w:rPr>
            </w:pPr>
            <w:r>
              <w:rPr>
                <w:sz w:val="18"/>
              </w:rPr>
              <w:t>0,31</w:t>
            </w:r>
          </w:p>
        </w:tc>
        <w:tc>
          <w:tcPr>
            <w:tcW w:w="4578" w:type="dxa"/>
            <w:tcBorders>
              <w:left w:val="single" w:sz="4" w:space="0" w:color="000000"/>
            </w:tcBorders>
          </w:tcPr>
          <w:p>
            <w:pPr>
              <w:pStyle w:val="TableParagraph"/>
              <w:spacing w:before="16"/>
              <w:ind w:left="768" w:right="769"/>
              <w:rPr>
                <w:sz w:val="18"/>
              </w:rPr>
            </w:pPr>
            <w:r>
              <w:rPr>
                <w:sz w:val="18"/>
              </w:rPr>
              <w:t>2,85</w:t>
            </w:r>
          </w:p>
        </w:tc>
      </w:tr>
      <w:tr>
        <w:trPr>
          <w:trHeight w:val="244" w:hRule="atLeast"/>
        </w:trPr>
        <w:tc>
          <w:tcPr>
            <w:tcW w:w="4366" w:type="dxa"/>
            <w:tcBorders>
              <w:right w:val="single" w:sz="4" w:space="0" w:color="000000"/>
            </w:tcBorders>
          </w:tcPr>
          <w:p>
            <w:pPr>
              <w:pStyle w:val="TableParagraph"/>
              <w:spacing w:before="15"/>
              <w:ind w:left="1882" w:right="1857"/>
              <w:rPr>
                <w:sz w:val="18"/>
              </w:rPr>
            </w:pPr>
            <w:r>
              <w:rPr>
                <w:sz w:val="18"/>
              </w:rPr>
              <w:t>0,46</w:t>
            </w:r>
          </w:p>
        </w:tc>
        <w:tc>
          <w:tcPr>
            <w:tcW w:w="4578" w:type="dxa"/>
            <w:tcBorders>
              <w:left w:val="single" w:sz="4" w:space="0" w:color="000000"/>
            </w:tcBorders>
          </w:tcPr>
          <w:p>
            <w:pPr>
              <w:pStyle w:val="TableParagraph"/>
              <w:spacing w:before="15"/>
              <w:ind w:left="769" w:right="769"/>
              <w:rPr>
                <w:sz w:val="18"/>
              </w:rPr>
            </w:pPr>
            <w:r>
              <w:rPr>
                <w:sz w:val="18"/>
              </w:rPr>
              <w:t>3,6</w:t>
            </w:r>
          </w:p>
        </w:tc>
      </w:tr>
      <w:tr>
        <w:trPr>
          <w:trHeight w:val="244" w:hRule="atLeast"/>
        </w:trPr>
        <w:tc>
          <w:tcPr>
            <w:tcW w:w="4366" w:type="dxa"/>
            <w:tcBorders>
              <w:right w:val="single" w:sz="4" w:space="0" w:color="000000"/>
            </w:tcBorders>
          </w:tcPr>
          <w:p>
            <w:pPr>
              <w:pStyle w:val="TableParagraph"/>
              <w:spacing w:before="16"/>
              <w:ind w:left="1882" w:right="1857"/>
              <w:rPr>
                <w:sz w:val="18"/>
              </w:rPr>
            </w:pPr>
            <w:r>
              <w:rPr>
                <w:sz w:val="18"/>
              </w:rPr>
              <w:t>0,61</w:t>
            </w:r>
          </w:p>
        </w:tc>
        <w:tc>
          <w:tcPr>
            <w:tcW w:w="4578" w:type="dxa"/>
            <w:tcBorders>
              <w:left w:val="single" w:sz="4" w:space="0" w:color="000000"/>
            </w:tcBorders>
          </w:tcPr>
          <w:p>
            <w:pPr>
              <w:pStyle w:val="TableParagraph"/>
              <w:spacing w:before="16"/>
              <w:ind w:left="769" w:right="769"/>
              <w:rPr>
                <w:sz w:val="18"/>
              </w:rPr>
            </w:pPr>
            <w:r>
              <w:rPr>
                <w:sz w:val="18"/>
              </w:rPr>
              <w:t>3,9</w:t>
            </w:r>
          </w:p>
        </w:tc>
      </w:tr>
      <w:tr>
        <w:trPr>
          <w:trHeight w:val="244" w:hRule="atLeast"/>
        </w:trPr>
        <w:tc>
          <w:tcPr>
            <w:tcW w:w="4366" w:type="dxa"/>
            <w:tcBorders>
              <w:right w:val="single" w:sz="4" w:space="0" w:color="000000"/>
            </w:tcBorders>
          </w:tcPr>
          <w:p>
            <w:pPr>
              <w:pStyle w:val="TableParagraph"/>
              <w:spacing w:before="15"/>
              <w:ind w:left="1882" w:right="1857"/>
              <w:rPr>
                <w:sz w:val="18"/>
              </w:rPr>
            </w:pPr>
            <w:r>
              <w:rPr>
                <w:sz w:val="18"/>
              </w:rPr>
              <w:t>0,76</w:t>
            </w:r>
          </w:p>
        </w:tc>
        <w:tc>
          <w:tcPr>
            <w:tcW w:w="4578" w:type="dxa"/>
            <w:tcBorders>
              <w:left w:val="single" w:sz="4" w:space="0" w:color="000000"/>
            </w:tcBorders>
          </w:tcPr>
          <w:p>
            <w:pPr>
              <w:pStyle w:val="TableParagraph"/>
              <w:spacing w:before="15"/>
              <w:ind w:left="769" w:right="769"/>
              <w:rPr>
                <w:sz w:val="18"/>
              </w:rPr>
            </w:pPr>
            <w:r>
              <w:rPr>
                <w:sz w:val="18"/>
              </w:rPr>
              <w:t>4,5</w:t>
            </w:r>
          </w:p>
        </w:tc>
      </w:tr>
      <w:tr>
        <w:trPr>
          <w:trHeight w:val="244" w:hRule="atLeast"/>
        </w:trPr>
        <w:tc>
          <w:tcPr>
            <w:tcW w:w="4366" w:type="dxa"/>
            <w:tcBorders>
              <w:right w:val="single" w:sz="4" w:space="0" w:color="000000"/>
            </w:tcBorders>
          </w:tcPr>
          <w:p>
            <w:pPr>
              <w:pStyle w:val="TableParagraph"/>
              <w:spacing w:before="16"/>
              <w:ind w:left="1882" w:right="1857"/>
              <w:rPr>
                <w:sz w:val="18"/>
              </w:rPr>
            </w:pPr>
            <w:r>
              <w:rPr>
                <w:sz w:val="18"/>
              </w:rPr>
              <w:t>1,15</w:t>
            </w:r>
          </w:p>
        </w:tc>
        <w:tc>
          <w:tcPr>
            <w:tcW w:w="4578" w:type="dxa"/>
            <w:tcBorders>
              <w:left w:val="single" w:sz="4" w:space="0" w:color="000000"/>
            </w:tcBorders>
          </w:tcPr>
          <w:p>
            <w:pPr>
              <w:pStyle w:val="TableParagraph"/>
              <w:spacing w:before="16"/>
              <w:ind w:left="769" w:right="769"/>
              <w:rPr>
                <w:sz w:val="18"/>
              </w:rPr>
            </w:pPr>
            <w:r>
              <w:rPr>
                <w:sz w:val="18"/>
              </w:rPr>
              <w:t>5,7</w:t>
            </w:r>
          </w:p>
        </w:tc>
      </w:tr>
      <w:tr>
        <w:trPr>
          <w:trHeight w:val="244" w:hRule="atLeast"/>
        </w:trPr>
        <w:tc>
          <w:tcPr>
            <w:tcW w:w="4366" w:type="dxa"/>
            <w:tcBorders>
              <w:right w:val="single" w:sz="4" w:space="0" w:color="000000"/>
            </w:tcBorders>
          </w:tcPr>
          <w:p>
            <w:pPr>
              <w:pStyle w:val="TableParagraph"/>
              <w:spacing w:before="15"/>
              <w:ind w:left="1882" w:right="1857"/>
              <w:rPr>
                <w:sz w:val="18"/>
              </w:rPr>
            </w:pPr>
            <w:r>
              <w:rPr>
                <w:sz w:val="18"/>
              </w:rPr>
              <w:t>1,53</w:t>
            </w:r>
          </w:p>
        </w:tc>
        <w:tc>
          <w:tcPr>
            <w:tcW w:w="4578" w:type="dxa"/>
            <w:tcBorders>
              <w:left w:val="single" w:sz="4" w:space="0" w:color="000000"/>
            </w:tcBorders>
          </w:tcPr>
          <w:p>
            <w:pPr>
              <w:pStyle w:val="TableParagraph"/>
              <w:spacing w:before="15"/>
              <w:ind w:left="769" w:right="769"/>
              <w:rPr>
                <w:sz w:val="18"/>
              </w:rPr>
            </w:pPr>
            <w:r>
              <w:rPr>
                <w:sz w:val="18"/>
              </w:rPr>
              <w:t>9,6</w:t>
            </w:r>
          </w:p>
        </w:tc>
      </w:tr>
      <w:tr>
        <w:trPr>
          <w:trHeight w:val="244" w:hRule="atLeast"/>
        </w:trPr>
        <w:tc>
          <w:tcPr>
            <w:tcW w:w="4366" w:type="dxa"/>
            <w:tcBorders>
              <w:right w:val="single" w:sz="4" w:space="0" w:color="000000"/>
            </w:tcBorders>
          </w:tcPr>
          <w:p>
            <w:pPr>
              <w:pStyle w:val="TableParagraph"/>
              <w:spacing w:before="16"/>
              <w:ind w:left="1882" w:right="1857"/>
              <w:rPr>
                <w:sz w:val="18"/>
              </w:rPr>
            </w:pPr>
            <w:r>
              <w:rPr>
                <w:sz w:val="18"/>
              </w:rPr>
              <w:t>1,91</w:t>
            </w:r>
          </w:p>
        </w:tc>
        <w:tc>
          <w:tcPr>
            <w:tcW w:w="4578" w:type="dxa"/>
            <w:tcBorders>
              <w:left w:val="single" w:sz="4" w:space="0" w:color="000000"/>
            </w:tcBorders>
          </w:tcPr>
          <w:p>
            <w:pPr>
              <w:pStyle w:val="TableParagraph"/>
              <w:spacing w:before="16"/>
              <w:ind w:left="768" w:right="769"/>
              <w:rPr>
                <w:sz w:val="18"/>
              </w:rPr>
            </w:pPr>
            <w:r>
              <w:rPr>
                <w:sz w:val="18"/>
              </w:rPr>
              <w:t>10,8</w:t>
            </w:r>
          </w:p>
        </w:tc>
      </w:tr>
      <w:tr>
        <w:trPr>
          <w:trHeight w:val="244" w:hRule="atLeast"/>
        </w:trPr>
        <w:tc>
          <w:tcPr>
            <w:tcW w:w="4366" w:type="dxa"/>
            <w:tcBorders>
              <w:right w:val="single" w:sz="4" w:space="0" w:color="000000"/>
            </w:tcBorders>
          </w:tcPr>
          <w:p>
            <w:pPr>
              <w:pStyle w:val="TableParagraph"/>
              <w:spacing w:before="16"/>
              <w:ind w:left="1882" w:right="1857"/>
              <w:rPr>
                <w:sz w:val="18"/>
              </w:rPr>
            </w:pPr>
            <w:r>
              <w:rPr>
                <w:sz w:val="18"/>
              </w:rPr>
              <w:t>2,3</w:t>
            </w:r>
          </w:p>
        </w:tc>
        <w:tc>
          <w:tcPr>
            <w:tcW w:w="4578" w:type="dxa"/>
            <w:tcBorders>
              <w:left w:val="single" w:sz="4" w:space="0" w:color="000000"/>
            </w:tcBorders>
          </w:tcPr>
          <w:p>
            <w:pPr>
              <w:pStyle w:val="TableParagraph"/>
              <w:spacing w:before="16"/>
              <w:ind w:left="769" w:right="769"/>
              <w:rPr>
                <w:sz w:val="18"/>
              </w:rPr>
            </w:pPr>
            <w:r>
              <w:rPr>
                <w:sz w:val="18"/>
              </w:rPr>
              <w:t>15</w:t>
            </w:r>
          </w:p>
        </w:tc>
      </w:tr>
      <w:tr>
        <w:trPr>
          <w:trHeight w:val="262" w:hRule="atLeast"/>
        </w:trPr>
        <w:tc>
          <w:tcPr>
            <w:tcW w:w="4366" w:type="dxa"/>
            <w:tcBorders>
              <w:bottom w:val="single" w:sz="4" w:space="0" w:color="000000"/>
              <w:right w:val="single" w:sz="4" w:space="0" w:color="000000"/>
            </w:tcBorders>
          </w:tcPr>
          <w:p>
            <w:pPr>
              <w:pStyle w:val="TableParagraph"/>
              <w:spacing w:before="15"/>
              <w:ind w:left="1882" w:right="1857"/>
              <w:rPr>
                <w:sz w:val="18"/>
              </w:rPr>
            </w:pPr>
            <w:r>
              <w:rPr>
                <w:sz w:val="18"/>
              </w:rPr>
              <w:t>3,1</w:t>
            </w:r>
          </w:p>
        </w:tc>
        <w:tc>
          <w:tcPr>
            <w:tcW w:w="4578" w:type="dxa"/>
            <w:tcBorders>
              <w:left w:val="single" w:sz="4" w:space="0" w:color="000000"/>
              <w:bottom w:val="single" w:sz="4" w:space="0" w:color="000000"/>
            </w:tcBorders>
          </w:tcPr>
          <w:p>
            <w:pPr>
              <w:pStyle w:val="TableParagraph"/>
              <w:spacing w:before="15"/>
              <w:ind w:left="769" w:right="769"/>
              <w:rPr>
                <w:sz w:val="18"/>
              </w:rPr>
            </w:pPr>
            <w:r>
              <w:rPr>
                <w:sz w:val="18"/>
              </w:rPr>
              <w:t>20</w:t>
            </w:r>
          </w:p>
        </w:tc>
      </w:tr>
    </w:tbl>
    <w:p>
      <w:pPr>
        <w:pStyle w:val="BodyText"/>
        <w:rPr>
          <w:b/>
        </w:rPr>
      </w:pPr>
    </w:p>
    <w:p>
      <w:pPr>
        <w:pStyle w:val="BodyText"/>
        <w:spacing w:before="7"/>
        <w:rPr>
          <w:b/>
          <w:sz w:val="21"/>
        </w:rPr>
      </w:pPr>
    </w:p>
    <w:p>
      <w:pPr>
        <w:pStyle w:val="Heading2"/>
        <w:numPr>
          <w:ilvl w:val="0"/>
          <w:numId w:val="74"/>
        </w:numPr>
        <w:tabs>
          <w:tab w:pos="503" w:val="left" w:leader="none"/>
        </w:tabs>
        <w:spacing w:line="240" w:lineRule="auto" w:before="0" w:after="0"/>
        <w:ind w:left="502" w:right="0" w:hanging="285"/>
        <w:jc w:val="left"/>
      </w:pPr>
      <w:r>
        <w:rPr/>
        <w:t>Productos de</w:t>
      </w:r>
      <w:r>
        <w:rPr>
          <w:spacing w:val="-1"/>
        </w:rPr>
        <w:t> </w:t>
      </w:r>
      <w:r>
        <w:rPr/>
        <w:t>construcción</w:t>
      </w:r>
    </w:p>
    <w:p>
      <w:pPr>
        <w:pStyle w:val="BodyText"/>
        <w:spacing w:before="3"/>
        <w:rPr>
          <w:b/>
          <w:sz w:val="38"/>
        </w:rPr>
      </w:pPr>
    </w:p>
    <w:p>
      <w:pPr>
        <w:pStyle w:val="Heading3"/>
        <w:numPr>
          <w:ilvl w:val="1"/>
          <w:numId w:val="74"/>
        </w:numPr>
        <w:tabs>
          <w:tab w:pos="785" w:val="left" w:leader="none"/>
          <w:tab w:pos="786" w:val="left" w:leader="none"/>
        </w:tabs>
        <w:spacing w:line="240" w:lineRule="auto" w:before="1" w:after="0"/>
        <w:ind w:left="785" w:right="0" w:hanging="568"/>
        <w:jc w:val="left"/>
      </w:pPr>
      <w:r>
        <w:rPr/>
        <w:t>Características exigibles a los</w:t>
      </w:r>
      <w:r>
        <w:rPr>
          <w:spacing w:val="-5"/>
        </w:rPr>
        <w:t> </w:t>
      </w:r>
      <w:r>
        <w:rPr/>
        <w:t>productos</w:t>
      </w:r>
    </w:p>
    <w:p>
      <w:pPr>
        <w:pStyle w:val="BodyText"/>
        <w:spacing w:before="1"/>
        <w:rPr>
          <w:b/>
          <w:sz w:val="26"/>
        </w:rPr>
      </w:pPr>
    </w:p>
    <w:p>
      <w:pPr>
        <w:pStyle w:val="Heading5"/>
        <w:numPr>
          <w:ilvl w:val="2"/>
          <w:numId w:val="74"/>
        </w:numPr>
        <w:tabs>
          <w:tab w:pos="787" w:val="left" w:leader="none"/>
        </w:tabs>
        <w:spacing w:line="240" w:lineRule="auto" w:before="0" w:after="0"/>
        <w:ind w:left="786" w:right="0" w:hanging="569"/>
        <w:jc w:val="left"/>
      </w:pPr>
      <w:r>
        <w:rPr/>
        <w:t>Introducción</w:t>
      </w:r>
    </w:p>
    <w:p>
      <w:pPr>
        <w:pStyle w:val="ListParagraph"/>
        <w:numPr>
          <w:ilvl w:val="0"/>
          <w:numId w:val="75"/>
        </w:numPr>
        <w:tabs>
          <w:tab w:pos="672" w:val="left" w:leader="none"/>
        </w:tabs>
        <w:spacing w:line="240" w:lineRule="auto" w:before="158" w:after="0"/>
        <w:ind w:left="672" w:right="392" w:hanging="454"/>
        <w:jc w:val="both"/>
        <w:rPr>
          <w:sz w:val="20"/>
        </w:rPr>
      </w:pPr>
      <w:r>
        <w:rPr>
          <w:sz w:val="20"/>
        </w:rPr>
        <w:t>El comportamiento de los edificios frente al agua se caracteriza mediante las propiedades hídricas de los productos de construcción que componen sus</w:t>
      </w:r>
      <w:r>
        <w:rPr>
          <w:spacing w:val="-13"/>
          <w:sz w:val="20"/>
        </w:rPr>
        <w:t> </w:t>
      </w:r>
      <w:r>
        <w:rPr>
          <w:sz w:val="20"/>
        </w:rPr>
        <w:t>cerramientos.</w:t>
      </w:r>
    </w:p>
    <w:p>
      <w:pPr>
        <w:pStyle w:val="ListParagraph"/>
        <w:numPr>
          <w:ilvl w:val="0"/>
          <w:numId w:val="75"/>
        </w:numPr>
        <w:tabs>
          <w:tab w:pos="672" w:val="left" w:leader="none"/>
        </w:tabs>
        <w:spacing w:line="240" w:lineRule="auto" w:before="120" w:after="0"/>
        <w:ind w:left="672" w:right="392" w:hanging="454"/>
        <w:jc w:val="both"/>
        <w:rPr>
          <w:sz w:val="20"/>
        </w:rPr>
      </w:pPr>
      <w:r>
        <w:rPr>
          <w:sz w:val="20"/>
        </w:rPr>
        <w:t>Los productos para aislamiento térmico y los que forman la </w:t>
      </w:r>
      <w:r>
        <w:rPr>
          <w:i/>
          <w:sz w:val="20"/>
        </w:rPr>
        <w:t>hoja principal </w:t>
      </w:r>
      <w:r>
        <w:rPr>
          <w:sz w:val="20"/>
        </w:rPr>
        <w:t>de la fachada se definen mediante las siguientes</w:t>
      </w:r>
      <w:r>
        <w:rPr>
          <w:spacing w:val="-3"/>
          <w:sz w:val="20"/>
        </w:rPr>
        <w:t> </w:t>
      </w:r>
      <w:r>
        <w:rPr>
          <w:sz w:val="20"/>
        </w:rPr>
        <w:t>propiedades:</w:t>
      </w:r>
    </w:p>
    <w:p>
      <w:pPr>
        <w:pStyle w:val="ListParagraph"/>
        <w:numPr>
          <w:ilvl w:val="1"/>
          <w:numId w:val="75"/>
        </w:numPr>
        <w:tabs>
          <w:tab w:pos="1125" w:val="left" w:leader="none"/>
          <w:tab w:pos="1126" w:val="left" w:leader="none"/>
        </w:tabs>
        <w:spacing w:line="240" w:lineRule="auto" w:before="116" w:after="0"/>
        <w:ind w:left="1125" w:right="0" w:hanging="454"/>
        <w:jc w:val="left"/>
        <w:rPr>
          <w:sz w:val="20"/>
        </w:rPr>
      </w:pPr>
      <w:r>
        <w:rPr>
          <w:sz w:val="20"/>
        </w:rPr>
        <w:t>la </w:t>
      </w:r>
      <w:r>
        <w:rPr>
          <w:i/>
          <w:sz w:val="20"/>
        </w:rPr>
        <w:t>absorción </w:t>
      </w:r>
      <w:r>
        <w:rPr>
          <w:sz w:val="20"/>
        </w:rPr>
        <w:t>de agua por </w:t>
      </w:r>
      <w:r>
        <w:rPr>
          <w:i/>
          <w:sz w:val="20"/>
        </w:rPr>
        <w:t>capilaridad </w:t>
      </w:r>
      <w:r>
        <w:rPr>
          <w:sz w:val="20"/>
        </w:rPr>
        <w:t>[g/(m</w:t>
      </w:r>
      <w:r>
        <w:rPr>
          <w:position w:val="7"/>
          <w:sz w:val="13"/>
        </w:rPr>
        <w:t>2</w:t>
      </w:r>
      <w:r>
        <w:rPr>
          <w:sz w:val="20"/>
        </w:rPr>
        <w:t>.s</w:t>
      </w:r>
      <w:r>
        <w:rPr>
          <w:position w:val="7"/>
          <w:sz w:val="13"/>
        </w:rPr>
        <w:t>0,5 </w:t>
      </w:r>
      <w:r>
        <w:rPr>
          <w:sz w:val="20"/>
        </w:rPr>
        <w:t>) ó</w:t>
      </w:r>
      <w:r>
        <w:rPr>
          <w:spacing w:val="-27"/>
          <w:sz w:val="20"/>
        </w:rPr>
        <w:t> </w:t>
      </w:r>
      <w:r>
        <w:rPr>
          <w:sz w:val="20"/>
        </w:rPr>
        <w:t>g/(m</w:t>
      </w:r>
      <w:r>
        <w:rPr>
          <w:position w:val="7"/>
          <w:sz w:val="13"/>
        </w:rPr>
        <w:t>2</w:t>
      </w:r>
      <w:r>
        <w:rPr>
          <w:sz w:val="20"/>
        </w:rPr>
        <w:t>.s)];</w:t>
      </w:r>
    </w:p>
    <w:p>
      <w:pPr>
        <w:spacing w:after="0" w:line="240" w:lineRule="auto"/>
        <w:jc w:val="left"/>
        <w:rPr>
          <w:sz w:val="20"/>
        </w:rPr>
        <w:sectPr>
          <w:pgSz w:w="11910" w:h="16840"/>
          <w:pgMar w:header="724" w:footer="636" w:top="1320" w:bottom="840" w:left="1200" w:right="738"/>
        </w:sectPr>
      </w:pPr>
    </w:p>
    <w:p>
      <w:pPr>
        <w:pStyle w:val="ListParagraph"/>
        <w:numPr>
          <w:ilvl w:val="1"/>
          <w:numId w:val="75"/>
        </w:numPr>
        <w:tabs>
          <w:tab w:pos="1125" w:val="left" w:leader="none"/>
          <w:tab w:pos="1126" w:val="left" w:leader="none"/>
        </w:tabs>
        <w:spacing w:line="240" w:lineRule="auto" w:before="85" w:after="0"/>
        <w:ind w:left="1125" w:right="0" w:hanging="455"/>
        <w:jc w:val="left"/>
        <w:rPr>
          <w:sz w:val="20"/>
        </w:rPr>
      </w:pPr>
      <w:r>
        <w:rPr>
          <w:sz w:val="20"/>
        </w:rPr>
        <w:t>la </w:t>
      </w:r>
      <w:r>
        <w:rPr>
          <w:i/>
          <w:sz w:val="20"/>
        </w:rPr>
        <w:t>succión </w:t>
      </w:r>
      <w:r>
        <w:rPr>
          <w:sz w:val="20"/>
        </w:rPr>
        <w:t>o tasa de </w:t>
      </w:r>
      <w:r>
        <w:rPr>
          <w:i/>
          <w:sz w:val="20"/>
        </w:rPr>
        <w:t>absorción </w:t>
      </w:r>
      <w:r>
        <w:rPr>
          <w:sz w:val="20"/>
        </w:rPr>
        <w:t>de agua inicial</w:t>
      </w:r>
      <w:r>
        <w:rPr>
          <w:spacing w:val="-11"/>
          <w:sz w:val="20"/>
        </w:rPr>
        <w:t> </w:t>
      </w:r>
      <w:r>
        <w:rPr>
          <w:sz w:val="20"/>
        </w:rPr>
        <w:t>[kg/(m</w:t>
      </w:r>
      <w:r>
        <w:rPr>
          <w:position w:val="7"/>
          <w:sz w:val="13"/>
        </w:rPr>
        <w:t>2</w:t>
      </w:r>
      <w:r>
        <w:rPr>
          <w:sz w:val="20"/>
        </w:rPr>
        <w:t>.min)];</w:t>
      </w:r>
    </w:p>
    <w:p>
      <w:pPr>
        <w:pStyle w:val="ListParagraph"/>
        <w:numPr>
          <w:ilvl w:val="1"/>
          <w:numId w:val="75"/>
        </w:numPr>
        <w:tabs>
          <w:tab w:pos="1125" w:val="left" w:leader="none"/>
          <w:tab w:pos="1126" w:val="left" w:leader="none"/>
        </w:tabs>
        <w:spacing w:line="240" w:lineRule="auto" w:before="115" w:after="0"/>
        <w:ind w:left="1125" w:right="0" w:hanging="455"/>
        <w:jc w:val="left"/>
        <w:rPr>
          <w:sz w:val="20"/>
        </w:rPr>
      </w:pPr>
      <w:r>
        <w:rPr>
          <w:sz w:val="20"/>
        </w:rPr>
        <w:t>la </w:t>
      </w:r>
      <w:r>
        <w:rPr>
          <w:i/>
          <w:sz w:val="20"/>
        </w:rPr>
        <w:t>absorción </w:t>
      </w:r>
      <w:r>
        <w:rPr>
          <w:sz w:val="20"/>
        </w:rPr>
        <w:t>al agua a largo plazo por inmersión total (% ó</w:t>
      </w:r>
      <w:r>
        <w:rPr>
          <w:spacing w:val="-19"/>
          <w:sz w:val="20"/>
        </w:rPr>
        <w:t> </w:t>
      </w:r>
      <w:r>
        <w:rPr>
          <w:sz w:val="20"/>
        </w:rPr>
        <w:t>g/cm</w:t>
      </w:r>
      <w:r>
        <w:rPr>
          <w:position w:val="7"/>
          <w:sz w:val="13"/>
        </w:rPr>
        <w:t>3</w:t>
      </w:r>
      <w:r>
        <w:rPr>
          <w:sz w:val="20"/>
        </w:rPr>
        <w:t>).</w:t>
      </w:r>
    </w:p>
    <w:p>
      <w:pPr>
        <w:pStyle w:val="ListParagraph"/>
        <w:numPr>
          <w:ilvl w:val="0"/>
          <w:numId w:val="75"/>
        </w:numPr>
        <w:tabs>
          <w:tab w:pos="672" w:val="left" w:leader="none"/>
        </w:tabs>
        <w:spacing w:line="235" w:lineRule="auto" w:before="124" w:after="0"/>
        <w:ind w:left="671" w:right="394" w:hanging="454"/>
        <w:jc w:val="both"/>
        <w:rPr>
          <w:sz w:val="20"/>
          <w:szCs w:val="20"/>
        </w:rPr>
      </w:pPr>
      <w:r>
        <w:rPr>
          <w:sz w:val="20"/>
          <w:szCs w:val="20"/>
        </w:rPr>
        <w:t>Los productos para la </w:t>
      </w:r>
      <w:r>
        <w:rPr>
          <w:i/>
          <w:sz w:val="20"/>
          <w:szCs w:val="20"/>
        </w:rPr>
        <w:t>barrera contra el vapor </w:t>
      </w:r>
      <w:r>
        <w:rPr>
          <w:sz w:val="20"/>
          <w:szCs w:val="20"/>
        </w:rPr>
        <w:t>se definen mediante la resistencia al paso del vapor de agua (MNꞏs/g ó</w:t>
      </w:r>
      <w:r>
        <w:rPr>
          <w:spacing w:val="-11"/>
          <w:sz w:val="20"/>
          <w:szCs w:val="20"/>
        </w:rPr>
        <w:t> </w:t>
      </w:r>
      <w:r>
        <w:rPr>
          <w:sz w:val="20"/>
          <w:szCs w:val="20"/>
        </w:rPr>
        <w:t>m</w:t>
      </w:r>
      <w:r>
        <w:rPr>
          <w:position w:val="7"/>
          <w:sz w:val="13"/>
          <w:szCs w:val="13"/>
        </w:rPr>
        <w:t>2</w:t>
      </w:r>
      <w:r>
        <w:rPr>
          <w:sz w:val="20"/>
          <w:szCs w:val="20"/>
        </w:rPr>
        <w:t>ꞏhꞏPa/mg).</w:t>
      </w:r>
    </w:p>
    <w:p>
      <w:pPr>
        <w:pStyle w:val="ListParagraph"/>
        <w:numPr>
          <w:ilvl w:val="0"/>
          <w:numId w:val="75"/>
        </w:numPr>
        <w:tabs>
          <w:tab w:pos="672" w:val="left" w:leader="none"/>
        </w:tabs>
        <w:spacing w:line="240" w:lineRule="auto" w:before="121" w:after="0"/>
        <w:ind w:left="672" w:right="391" w:hanging="454"/>
        <w:jc w:val="both"/>
        <w:rPr>
          <w:sz w:val="20"/>
        </w:rPr>
      </w:pPr>
      <w:r>
        <w:rPr>
          <w:sz w:val="20"/>
        </w:rPr>
        <w:t>Los productos para la </w:t>
      </w:r>
      <w:r>
        <w:rPr>
          <w:i/>
          <w:sz w:val="20"/>
        </w:rPr>
        <w:t>impermeabilización </w:t>
      </w:r>
      <w:r>
        <w:rPr>
          <w:sz w:val="20"/>
        </w:rPr>
        <w:t>se definen mediante las siguientes propiedades, en función de su</w:t>
      </w:r>
      <w:r>
        <w:rPr>
          <w:spacing w:val="-4"/>
          <w:sz w:val="20"/>
        </w:rPr>
        <w:t> </w:t>
      </w:r>
      <w:r>
        <w:rPr>
          <w:sz w:val="20"/>
        </w:rPr>
        <w:t>uso:</w:t>
      </w:r>
    </w:p>
    <w:p>
      <w:pPr>
        <w:pStyle w:val="ListParagraph"/>
        <w:numPr>
          <w:ilvl w:val="1"/>
          <w:numId w:val="75"/>
        </w:numPr>
        <w:tabs>
          <w:tab w:pos="1126" w:val="left" w:leader="none"/>
          <w:tab w:pos="1127" w:val="left" w:leader="none"/>
        </w:tabs>
        <w:spacing w:line="240" w:lineRule="auto" w:before="121" w:after="0"/>
        <w:ind w:left="1126" w:right="0" w:hanging="455"/>
        <w:jc w:val="left"/>
        <w:rPr>
          <w:sz w:val="20"/>
        </w:rPr>
      </w:pPr>
      <w:r>
        <w:rPr>
          <w:sz w:val="20"/>
        </w:rPr>
        <w:t>estanquidad;</w:t>
      </w:r>
    </w:p>
    <w:p>
      <w:pPr>
        <w:pStyle w:val="ListParagraph"/>
        <w:numPr>
          <w:ilvl w:val="1"/>
          <w:numId w:val="75"/>
        </w:numPr>
        <w:tabs>
          <w:tab w:pos="1125" w:val="left" w:leader="none"/>
          <w:tab w:pos="1127" w:val="left" w:leader="none"/>
        </w:tabs>
        <w:spacing w:line="240" w:lineRule="auto" w:before="119" w:after="0"/>
        <w:ind w:left="1126" w:right="0" w:hanging="455"/>
        <w:jc w:val="left"/>
        <w:rPr>
          <w:sz w:val="20"/>
        </w:rPr>
      </w:pPr>
      <w:r>
        <w:rPr>
          <w:sz w:val="20"/>
        </w:rPr>
        <w:t>resistencia a la penetración de</w:t>
      </w:r>
      <w:r>
        <w:rPr>
          <w:spacing w:val="-3"/>
          <w:sz w:val="20"/>
        </w:rPr>
        <w:t> </w:t>
      </w:r>
      <w:r>
        <w:rPr>
          <w:sz w:val="20"/>
        </w:rPr>
        <w:t>raices;</w:t>
      </w:r>
    </w:p>
    <w:p>
      <w:pPr>
        <w:pStyle w:val="ListParagraph"/>
        <w:numPr>
          <w:ilvl w:val="1"/>
          <w:numId w:val="75"/>
        </w:numPr>
        <w:tabs>
          <w:tab w:pos="1125" w:val="left" w:leader="none"/>
          <w:tab w:pos="1126" w:val="left" w:leader="none"/>
        </w:tabs>
        <w:spacing w:line="240" w:lineRule="auto" w:before="120" w:after="0"/>
        <w:ind w:left="1125" w:right="391" w:hanging="454"/>
        <w:jc w:val="left"/>
        <w:rPr>
          <w:sz w:val="20"/>
        </w:rPr>
      </w:pPr>
      <w:r>
        <w:rPr>
          <w:sz w:val="20"/>
        </w:rPr>
        <w:t>envejecimiento artificial por exposición prolongada a la combinación de radiación ultravioleta, elevadas temperaturas y</w:t>
      </w:r>
      <w:r>
        <w:rPr>
          <w:spacing w:val="-1"/>
          <w:sz w:val="20"/>
        </w:rPr>
        <w:t> </w:t>
      </w:r>
      <w:r>
        <w:rPr>
          <w:sz w:val="20"/>
        </w:rPr>
        <w:t>agua;</w:t>
      </w:r>
    </w:p>
    <w:p>
      <w:pPr>
        <w:pStyle w:val="ListParagraph"/>
        <w:numPr>
          <w:ilvl w:val="1"/>
          <w:numId w:val="75"/>
        </w:numPr>
        <w:tabs>
          <w:tab w:pos="1125" w:val="left" w:leader="none"/>
          <w:tab w:pos="1126" w:val="left" w:leader="none"/>
        </w:tabs>
        <w:spacing w:line="240" w:lineRule="auto" w:before="120" w:after="0"/>
        <w:ind w:left="1125" w:right="0" w:hanging="454"/>
        <w:jc w:val="left"/>
        <w:rPr>
          <w:sz w:val="20"/>
        </w:rPr>
      </w:pPr>
      <w:r>
        <w:rPr>
          <w:sz w:val="20"/>
        </w:rPr>
        <w:t>resistencia a la fluencia</w:t>
      </w:r>
      <w:r>
        <w:rPr>
          <w:spacing w:val="-24"/>
          <w:sz w:val="20"/>
        </w:rPr>
        <w:t> </w:t>
      </w:r>
      <w:r>
        <w:rPr>
          <w:sz w:val="20"/>
        </w:rPr>
        <w:t>(ºC);</w:t>
      </w:r>
    </w:p>
    <w:p>
      <w:pPr>
        <w:pStyle w:val="ListParagraph"/>
        <w:numPr>
          <w:ilvl w:val="1"/>
          <w:numId w:val="75"/>
        </w:numPr>
        <w:tabs>
          <w:tab w:pos="1125" w:val="left" w:leader="none"/>
          <w:tab w:pos="1127" w:val="left" w:leader="none"/>
        </w:tabs>
        <w:spacing w:line="240" w:lineRule="auto" w:before="120" w:after="0"/>
        <w:ind w:left="1126" w:right="0" w:hanging="455"/>
        <w:jc w:val="left"/>
        <w:rPr>
          <w:sz w:val="20"/>
        </w:rPr>
      </w:pPr>
      <w:r>
        <w:rPr>
          <w:sz w:val="20"/>
        </w:rPr>
        <w:t>estabilidad dimensional</w:t>
      </w:r>
      <w:r>
        <w:rPr>
          <w:spacing w:val="-23"/>
          <w:sz w:val="20"/>
        </w:rPr>
        <w:t> </w:t>
      </w:r>
      <w:r>
        <w:rPr>
          <w:sz w:val="20"/>
        </w:rPr>
        <w:t>(%);</w:t>
      </w:r>
    </w:p>
    <w:p>
      <w:pPr>
        <w:pStyle w:val="ListParagraph"/>
        <w:numPr>
          <w:ilvl w:val="1"/>
          <w:numId w:val="75"/>
        </w:numPr>
        <w:tabs>
          <w:tab w:pos="1125" w:val="left" w:leader="none"/>
          <w:tab w:pos="1126" w:val="left" w:leader="none"/>
        </w:tabs>
        <w:spacing w:line="240" w:lineRule="auto" w:before="120" w:after="0"/>
        <w:ind w:left="1125" w:right="0" w:hanging="454"/>
        <w:jc w:val="left"/>
        <w:rPr>
          <w:sz w:val="20"/>
        </w:rPr>
      </w:pPr>
      <w:r>
        <w:rPr>
          <w:sz w:val="20"/>
        </w:rPr>
        <w:t>envejecimiento térmico</w:t>
      </w:r>
      <w:r>
        <w:rPr>
          <w:spacing w:val="-17"/>
          <w:sz w:val="20"/>
        </w:rPr>
        <w:t> </w:t>
      </w:r>
      <w:r>
        <w:rPr>
          <w:sz w:val="20"/>
        </w:rPr>
        <w:t>(ºC);</w:t>
      </w:r>
    </w:p>
    <w:p>
      <w:pPr>
        <w:pStyle w:val="ListParagraph"/>
        <w:numPr>
          <w:ilvl w:val="1"/>
          <w:numId w:val="75"/>
        </w:numPr>
        <w:tabs>
          <w:tab w:pos="1125" w:val="left" w:leader="none"/>
          <w:tab w:pos="1127" w:val="left" w:leader="none"/>
        </w:tabs>
        <w:spacing w:line="240" w:lineRule="auto" w:before="120" w:after="0"/>
        <w:ind w:left="1126" w:right="0" w:hanging="455"/>
        <w:jc w:val="left"/>
        <w:rPr>
          <w:sz w:val="20"/>
        </w:rPr>
      </w:pPr>
      <w:r>
        <w:rPr>
          <w:sz w:val="20"/>
        </w:rPr>
        <w:t>flexibilidad a bajas temperaturas</w:t>
      </w:r>
      <w:r>
        <w:rPr>
          <w:spacing w:val="-1"/>
          <w:sz w:val="20"/>
        </w:rPr>
        <w:t> </w:t>
      </w:r>
      <w:r>
        <w:rPr>
          <w:sz w:val="20"/>
        </w:rPr>
        <w:t>(ºC);</w:t>
      </w:r>
    </w:p>
    <w:p>
      <w:pPr>
        <w:pStyle w:val="ListParagraph"/>
        <w:numPr>
          <w:ilvl w:val="1"/>
          <w:numId w:val="75"/>
        </w:numPr>
        <w:tabs>
          <w:tab w:pos="1125" w:val="left" w:leader="none"/>
          <w:tab w:pos="1126" w:val="left" w:leader="none"/>
        </w:tabs>
        <w:spacing w:line="240" w:lineRule="auto" w:before="121" w:after="0"/>
        <w:ind w:left="1125" w:right="0" w:hanging="454"/>
        <w:jc w:val="left"/>
        <w:rPr>
          <w:sz w:val="20"/>
        </w:rPr>
      </w:pPr>
      <w:r>
        <w:rPr>
          <w:sz w:val="20"/>
        </w:rPr>
        <w:t>resistencia a la carga estática</w:t>
      </w:r>
      <w:r>
        <w:rPr>
          <w:spacing w:val="-6"/>
          <w:sz w:val="20"/>
        </w:rPr>
        <w:t> </w:t>
      </w:r>
      <w:r>
        <w:rPr>
          <w:sz w:val="20"/>
        </w:rPr>
        <w:t>(kg);</w:t>
      </w:r>
    </w:p>
    <w:p>
      <w:pPr>
        <w:pStyle w:val="ListParagraph"/>
        <w:numPr>
          <w:ilvl w:val="1"/>
          <w:numId w:val="75"/>
        </w:numPr>
        <w:tabs>
          <w:tab w:pos="1125" w:val="left" w:leader="none"/>
          <w:tab w:pos="1126" w:val="left" w:leader="none"/>
        </w:tabs>
        <w:spacing w:line="240" w:lineRule="auto" w:before="119" w:after="0"/>
        <w:ind w:left="1125" w:right="0" w:hanging="454"/>
        <w:jc w:val="left"/>
        <w:rPr>
          <w:sz w:val="20"/>
        </w:rPr>
      </w:pPr>
      <w:r>
        <w:rPr>
          <w:sz w:val="20"/>
        </w:rPr>
        <w:t>resistencia a la carga dinámica</w:t>
      </w:r>
      <w:r>
        <w:rPr>
          <w:spacing w:val="-1"/>
          <w:sz w:val="20"/>
        </w:rPr>
        <w:t> </w:t>
      </w:r>
      <w:r>
        <w:rPr>
          <w:sz w:val="20"/>
        </w:rPr>
        <w:t>(mm);</w:t>
      </w:r>
    </w:p>
    <w:p>
      <w:pPr>
        <w:pStyle w:val="ListParagraph"/>
        <w:numPr>
          <w:ilvl w:val="1"/>
          <w:numId w:val="75"/>
        </w:numPr>
        <w:tabs>
          <w:tab w:pos="1125" w:val="left" w:leader="none"/>
          <w:tab w:pos="1126" w:val="left" w:leader="none"/>
        </w:tabs>
        <w:spacing w:line="240" w:lineRule="auto" w:before="120" w:after="0"/>
        <w:ind w:left="1125" w:right="0" w:hanging="454"/>
        <w:jc w:val="left"/>
        <w:rPr>
          <w:sz w:val="20"/>
        </w:rPr>
      </w:pPr>
      <w:r>
        <w:rPr>
          <w:sz w:val="20"/>
        </w:rPr>
        <w:t>alargamiento a la rotura</w:t>
      </w:r>
      <w:r>
        <w:rPr>
          <w:spacing w:val="-3"/>
          <w:sz w:val="20"/>
        </w:rPr>
        <w:t> </w:t>
      </w:r>
      <w:r>
        <w:rPr>
          <w:sz w:val="20"/>
        </w:rPr>
        <w:t>(%);</w:t>
      </w:r>
    </w:p>
    <w:p>
      <w:pPr>
        <w:pStyle w:val="ListParagraph"/>
        <w:numPr>
          <w:ilvl w:val="1"/>
          <w:numId w:val="75"/>
        </w:numPr>
        <w:tabs>
          <w:tab w:pos="1125" w:val="left" w:leader="none"/>
          <w:tab w:pos="1126" w:val="left" w:leader="none"/>
        </w:tabs>
        <w:spacing w:line="240" w:lineRule="auto" w:before="121" w:after="0"/>
        <w:ind w:left="1125" w:right="0" w:hanging="454"/>
        <w:jc w:val="left"/>
        <w:rPr>
          <w:sz w:val="20"/>
        </w:rPr>
      </w:pPr>
      <w:r>
        <w:rPr>
          <w:sz w:val="20"/>
        </w:rPr>
        <w:t>resistencia a la tracción</w:t>
      </w:r>
      <w:r>
        <w:rPr>
          <w:spacing w:val="-6"/>
          <w:sz w:val="20"/>
        </w:rPr>
        <w:t> </w:t>
      </w:r>
      <w:r>
        <w:rPr>
          <w:sz w:val="20"/>
        </w:rPr>
        <w:t>(N/5cm).</w:t>
      </w:r>
    </w:p>
    <w:p>
      <w:pPr>
        <w:pStyle w:val="BodyText"/>
        <w:spacing w:before="7"/>
        <w:rPr>
          <w:sz w:val="22"/>
        </w:rPr>
      </w:pPr>
    </w:p>
    <w:p>
      <w:pPr>
        <w:pStyle w:val="ListParagraph"/>
        <w:numPr>
          <w:ilvl w:val="2"/>
          <w:numId w:val="74"/>
        </w:numPr>
        <w:tabs>
          <w:tab w:pos="786" w:val="left" w:leader="none"/>
        </w:tabs>
        <w:spacing w:line="240" w:lineRule="auto" w:before="0" w:after="0"/>
        <w:ind w:left="786" w:right="0" w:hanging="568"/>
        <w:jc w:val="left"/>
        <w:rPr>
          <w:b/>
          <w:sz w:val="20"/>
        </w:rPr>
      </w:pPr>
      <w:r>
        <w:rPr>
          <w:b/>
          <w:i/>
          <w:sz w:val="20"/>
        </w:rPr>
        <w:t>Componentes </w:t>
      </w:r>
      <w:r>
        <w:rPr>
          <w:b/>
          <w:sz w:val="20"/>
        </w:rPr>
        <w:t>de la </w:t>
      </w:r>
      <w:r>
        <w:rPr>
          <w:b/>
          <w:i/>
          <w:sz w:val="20"/>
        </w:rPr>
        <w:t>hoja principal </w:t>
      </w:r>
      <w:r>
        <w:rPr>
          <w:b/>
          <w:sz w:val="20"/>
        </w:rPr>
        <w:t>de</w:t>
      </w:r>
      <w:r>
        <w:rPr>
          <w:b/>
          <w:spacing w:val="-6"/>
          <w:sz w:val="20"/>
        </w:rPr>
        <w:t> </w:t>
      </w:r>
      <w:r>
        <w:rPr>
          <w:b/>
          <w:sz w:val="20"/>
        </w:rPr>
        <w:t>fachadas</w:t>
      </w:r>
    </w:p>
    <w:p>
      <w:pPr>
        <w:pStyle w:val="ListParagraph"/>
        <w:numPr>
          <w:ilvl w:val="0"/>
          <w:numId w:val="76"/>
        </w:numPr>
        <w:tabs>
          <w:tab w:pos="672" w:val="left" w:leader="none"/>
        </w:tabs>
        <w:spacing w:line="237" w:lineRule="auto" w:before="161" w:after="0"/>
        <w:ind w:left="671" w:right="392" w:hanging="454"/>
        <w:jc w:val="both"/>
        <w:rPr>
          <w:sz w:val="20"/>
        </w:rPr>
      </w:pPr>
      <w:r>
        <w:rPr>
          <w:sz w:val="20"/>
        </w:rPr>
        <w:t>Cuando la </w:t>
      </w:r>
      <w:r>
        <w:rPr>
          <w:i/>
          <w:sz w:val="20"/>
        </w:rPr>
        <w:t>hoja principal </w:t>
      </w:r>
      <w:r>
        <w:rPr>
          <w:sz w:val="20"/>
        </w:rPr>
        <w:t>sea de bloque de hormigón, salvo de bloque de hormigón curado en autoclave, el valor de </w:t>
      </w:r>
      <w:r>
        <w:rPr>
          <w:i/>
          <w:sz w:val="20"/>
        </w:rPr>
        <w:t>absorción </w:t>
      </w:r>
      <w:r>
        <w:rPr>
          <w:sz w:val="20"/>
        </w:rPr>
        <w:t>de los bloques medido según el ensayo de UNE 41 170:1989 debe ser como máximo 0,32</w:t>
      </w:r>
      <w:r>
        <w:rPr>
          <w:spacing w:val="-3"/>
          <w:sz w:val="20"/>
        </w:rPr>
        <w:t> </w:t>
      </w:r>
      <w:r>
        <w:rPr>
          <w:sz w:val="20"/>
        </w:rPr>
        <w:t>g/cm</w:t>
      </w:r>
      <w:r>
        <w:rPr>
          <w:position w:val="7"/>
          <w:sz w:val="13"/>
        </w:rPr>
        <w:t>3</w:t>
      </w:r>
      <w:r>
        <w:rPr>
          <w:sz w:val="20"/>
        </w:rPr>
        <w:t>.</w:t>
      </w:r>
    </w:p>
    <w:p>
      <w:pPr>
        <w:pStyle w:val="ListParagraph"/>
        <w:numPr>
          <w:ilvl w:val="0"/>
          <w:numId w:val="76"/>
        </w:numPr>
        <w:tabs>
          <w:tab w:pos="673" w:val="left" w:leader="none"/>
        </w:tabs>
        <w:spacing w:line="237" w:lineRule="auto" w:before="123" w:after="0"/>
        <w:ind w:left="671" w:right="390" w:hanging="454"/>
        <w:jc w:val="both"/>
        <w:rPr>
          <w:sz w:val="20"/>
          <w:szCs w:val="20"/>
        </w:rPr>
      </w:pPr>
      <w:r>
        <w:rPr>
          <w:sz w:val="20"/>
          <w:szCs w:val="20"/>
        </w:rPr>
        <w:t>Cuando la </w:t>
      </w:r>
      <w:r>
        <w:rPr>
          <w:i/>
          <w:sz w:val="20"/>
          <w:szCs w:val="20"/>
        </w:rPr>
        <w:t>hoja principal </w:t>
      </w:r>
      <w:r>
        <w:rPr>
          <w:sz w:val="20"/>
          <w:szCs w:val="20"/>
        </w:rPr>
        <w:t>sea de bloque de hormigón visto, el valor medio del coeficiente de </w:t>
      </w:r>
      <w:r>
        <w:rPr>
          <w:i/>
          <w:sz w:val="20"/>
          <w:szCs w:val="20"/>
        </w:rPr>
        <w:t>succión </w:t>
      </w:r>
      <w:r>
        <w:rPr>
          <w:sz w:val="20"/>
          <w:szCs w:val="20"/>
        </w:rPr>
        <w:t>de los bloques medido según el ensayo de UNE EN-772 11:2001 y UNE EN 772-11:2001/A1:2006 y para</w:t>
      </w:r>
      <w:r>
        <w:rPr>
          <w:spacing w:val="-9"/>
          <w:sz w:val="20"/>
          <w:szCs w:val="20"/>
        </w:rPr>
        <w:t> </w:t>
      </w:r>
      <w:r>
        <w:rPr>
          <w:sz w:val="20"/>
          <w:szCs w:val="20"/>
        </w:rPr>
        <w:t>un</w:t>
      </w:r>
      <w:r>
        <w:rPr>
          <w:spacing w:val="-8"/>
          <w:sz w:val="20"/>
          <w:szCs w:val="20"/>
        </w:rPr>
        <w:t> </w:t>
      </w:r>
      <w:r>
        <w:rPr>
          <w:sz w:val="20"/>
          <w:szCs w:val="20"/>
        </w:rPr>
        <w:t>tiempo</w:t>
      </w:r>
      <w:r>
        <w:rPr>
          <w:spacing w:val="-8"/>
          <w:sz w:val="20"/>
          <w:szCs w:val="20"/>
        </w:rPr>
        <w:t> </w:t>
      </w:r>
      <w:r>
        <w:rPr>
          <w:sz w:val="20"/>
          <w:szCs w:val="20"/>
        </w:rPr>
        <w:t>de</w:t>
      </w:r>
      <w:r>
        <w:rPr>
          <w:spacing w:val="-8"/>
          <w:sz w:val="20"/>
          <w:szCs w:val="20"/>
        </w:rPr>
        <w:t> </w:t>
      </w:r>
      <w:r>
        <w:rPr>
          <w:sz w:val="20"/>
          <w:szCs w:val="20"/>
        </w:rPr>
        <w:t>10</w:t>
      </w:r>
      <w:r>
        <w:rPr>
          <w:spacing w:val="-9"/>
          <w:sz w:val="20"/>
          <w:szCs w:val="20"/>
        </w:rPr>
        <w:t> </w:t>
      </w:r>
      <w:r>
        <w:rPr>
          <w:sz w:val="20"/>
          <w:szCs w:val="20"/>
        </w:rPr>
        <w:t>minutos</w:t>
      </w:r>
      <w:r>
        <w:rPr>
          <w:spacing w:val="-8"/>
          <w:sz w:val="20"/>
          <w:szCs w:val="20"/>
        </w:rPr>
        <w:t> </w:t>
      </w:r>
      <w:r>
        <w:rPr>
          <w:sz w:val="20"/>
          <w:szCs w:val="20"/>
        </w:rPr>
        <w:t>debe</w:t>
      </w:r>
      <w:r>
        <w:rPr>
          <w:spacing w:val="-8"/>
          <w:sz w:val="20"/>
          <w:szCs w:val="20"/>
        </w:rPr>
        <w:t> </w:t>
      </w:r>
      <w:r>
        <w:rPr>
          <w:sz w:val="20"/>
          <w:szCs w:val="20"/>
        </w:rPr>
        <w:t>ser</w:t>
      </w:r>
      <w:r>
        <w:rPr>
          <w:spacing w:val="-8"/>
          <w:sz w:val="20"/>
          <w:szCs w:val="20"/>
        </w:rPr>
        <w:t> </w:t>
      </w:r>
      <w:r>
        <w:rPr>
          <w:sz w:val="20"/>
          <w:szCs w:val="20"/>
        </w:rPr>
        <w:t>como</w:t>
      </w:r>
      <w:r>
        <w:rPr>
          <w:spacing w:val="-8"/>
          <w:sz w:val="20"/>
          <w:szCs w:val="20"/>
        </w:rPr>
        <w:t> </w:t>
      </w:r>
      <w:r>
        <w:rPr>
          <w:sz w:val="20"/>
          <w:szCs w:val="20"/>
        </w:rPr>
        <w:t>máximo</w:t>
      </w:r>
      <w:r>
        <w:rPr>
          <w:spacing w:val="-10"/>
          <w:sz w:val="20"/>
          <w:szCs w:val="20"/>
        </w:rPr>
        <w:t> </w:t>
      </w:r>
      <w:r>
        <w:rPr>
          <w:sz w:val="20"/>
          <w:szCs w:val="20"/>
        </w:rPr>
        <w:t>3</w:t>
      </w:r>
      <w:r>
        <w:rPr>
          <w:spacing w:val="-9"/>
          <w:sz w:val="20"/>
          <w:szCs w:val="20"/>
        </w:rPr>
        <w:t> </w:t>
      </w:r>
      <w:r>
        <w:rPr>
          <w:sz w:val="20"/>
          <w:szCs w:val="20"/>
        </w:rPr>
        <w:t>[g/(m</w:t>
      </w:r>
      <w:r>
        <w:rPr>
          <w:position w:val="7"/>
          <w:sz w:val="13"/>
          <w:szCs w:val="13"/>
        </w:rPr>
        <w:t>2</w:t>
      </w:r>
      <w:r>
        <w:rPr>
          <w:sz w:val="20"/>
          <w:szCs w:val="20"/>
        </w:rPr>
        <w:t>ꞏs)]</w:t>
      </w:r>
      <w:r>
        <w:rPr>
          <w:spacing w:val="-9"/>
          <w:sz w:val="20"/>
          <w:szCs w:val="20"/>
        </w:rPr>
        <w:t> </w:t>
      </w:r>
      <w:r>
        <w:rPr>
          <w:sz w:val="20"/>
          <w:szCs w:val="20"/>
        </w:rPr>
        <w:t>y</w:t>
      </w:r>
      <w:r>
        <w:rPr>
          <w:spacing w:val="-9"/>
          <w:sz w:val="20"/>
          <w:szCs w:val="20"/>
        </w:rPr>
        <w:t> </w:t>
      </w:r>
      <w:r>
        <w:rPr>
          <w:sz w:val="20"/>
          <w:szCs w:val="20"/>
        </w:rPr>
        <w:t>el</w:t>
      </w:r>
      <w:r>
        <w:rPr>
          <w:spacing w:val="-9"/>
          <w:sz w:val="20"/>
          <w:szCs w:val="20"/>
        </w:rPr>
        <w:t> </w:t>
      </w:r>
      <w:r>
        <w:rPr>
          <w:sz w:val="20"/>
          <w:szCs w:val="20"/>
        </w:rPr>
        <w:t>valor</w:t>
      </w:r>
      <w:r>
        <w:rPr>
          <w:spacing w:val="-9"/>
          <w:sz w:val="20"/>
          <w:szCs w:val="20"/>
        </w:rPr>
        <w:t> </w:t>
      </w:r>
      <w:r>
        <w:rPr>
          <w:sz w:val="20"/>
          <w:szCs w:val="20"/>
        </w:rPr>
        <w:t>individual</w:t>
      </w:r>
      <w:r>
        <w:rPr>
          <w:spacing w:val="-9"/>
          <w:sz w:val="20"/>
          <w:szCs w:val="20"/>
        </w:rPr>
        <w:t> </w:t>
      </w:r>
      <w:r>
        <w:rPr>
          <w:sz w:val="20"/>
          <w:szCs w:val="20"/>
        </w:rPr>
        <w:t>del</w:t>
      </w:r>
      <w:r>
        <w:rPr>
          <w:spacing w:val="-9"/>
          <w:sz w:val="20"/>
          <w:szCs w:val="20"/>
        </w:rPr>
        <w:t> </w:t>
      </w:r>
      <w:r>
        <w:rPr>
          <w:sz w:val="20"/>
          <w:szCs w:val="20"/>
        </w:rPr>
        <w:t>coeficiente debe ser como máximo 4,2</w:t>
      </w:r>
      <w:r>
        <w:rPr>
          <w:spacing w:val="-10"/>
          <w:sz w:val="20"/>
          <w:szCs w:val="20"/>
        </w:rPr>
        <w:t> </w:t>
      </w:r>
      <w:r>
        <w:rPr>
          <w:sz w:val="20"/>
          <w:szCs w:val="20"/>
        </w:rPr>
        <w:t>[g/(m</w:t>
      </w:r>
      <w:r>
        <w:rPr>
          <w:position w:val="7"/>
          <w:sz w:val="13"/>
          <w:szCs w:val="13"/>
        </w:rPr>
        <w:t>2</w:t>
      </w:r>
      <w:r>
        <w:rPr>
          <w:sz w:val="20"/>
          <w:szCs w:val="20"/>
        </w:rPr>
        <w:t>ꞏs)].</w:t>
      </w:r>
    </w:p>
    <w:p>
      <w:pPr>
        <w:pStyle w:val="ListParagraph"/>
        <w:numPr>
          <w:ilvl w:val="0"/>
          <w:numId w:val="76"/>
        </w:numPr>
        <w:tabs>
          <w:tab w:pos="672" w:val="left" w:leader="none"/>
        </w:tabs>
        <w:spacing w:line="240" w:lineRule="auto" w:before="119" w:after="0"/>
        <w:ind w:left="672" w:right="392" w:hanging="454"/>
        <w:jc w:val="both"/>
        <w:rPr>
          <w:sz w:val="20"/>
        </w:rPr>
      </w:pPr>
      <w:r>
        <w:rPr>
          <w:sz w:val="20"/>
        </w:rPr>
        <w:t>Cuando la </w:t>
      </w:r>
      <w:r>
        <w:rPr>
          <w:i/>
          <w:sz w:val="20"/>
        </w:rPr>
        <w:t>hoja principal </w:t>
      </w:r>
      <w:r>
        <w:rPr>
          <w:sz w:val="20"/>
        </w:rPr>
        <w:t>sea de ladrillo o de bloque sin </w:t>
      </w:r>
      <w:r>
        <w:rPr>
          <w:i/>
          <w:sz w:val="20"/>
        </w:rPr>
        <w:t>revestimiento exterior</w:t>
      </w:r>
      <w:r>
        <w:rPr>
          <w:sz w:val="20"/>
        </w:rPr>
        <w:t>, los ladrillos y los bloques deben ser</w:t>
      </w:r>
      <w:r>
        <w:rPr>
          <w:spacing w:val="-3"/>
          <w:sz w:val="20"/>
        </w:rPr>
        <w:t> </w:t>
      </w:r>
      <w:r>
        <w:rPr>
          <w:sz w:val="20"/>
        </w:rPr>
        <w:t>caravista.</w:t>
      </w:r>
    </w:p>
    <w:p>
      <w:pPr>
        <w:pStyle w:val="BodyText"/>
        <w:spacing w:before="8"/>
        <w:rPr>
          <w:sz w:val="22"/>
        </w:rPr>
      </w:pPr>
    </w:p>
    <w:p>
      <w:pPr>
        <w:pStyle w:val="Heading5"/>
        <w:numPr>
          <w:ilvl w:val="2"/>
          <w:numId w:val="74"/>
        </w:numPr>
        <w:tabs>
          <w:tab w:pos="786" w:val="left" w:leader="none"/>
        </w:tabs>
        <w:spacing w:line="240" w:lineRule="auto" w:before="0" w:after="0"/>
        <w:ind w:left="785" w:right="0" w:hanging="568"/>
        <w:jc w:val="left"/>
      </w:pPr>
      <w:r>
        <w:rPr/>
        <w:t>Aislante</w:t>
      </w:r>
      <w:r>
        <w:rPr>
          <w:spacing w:val="-2"/>
        </w:rPr>
        <w:t> </w:t>
      </w:r>
      <w:r>
        <w:rPr/>
        <w:t>térmico</w:t>
      </w:r>
    </w:p>
    <w:p>
      <w:pPr>
        <w:tabs>
          <w:tab w:pos="671" w:val="left" w:leader="none"/>
        </w:tabs>
        <w:spacing w:before="159"/>
        <w:ind w:left="218" w:right="0" w:firstLine="0"/>
        <w:jc w:val="left"/>
        <w:rPr>
          <w:sz w:val="20"/>
        </w:rPr>
      </w:pPr>
      <w:r>
        <w:rPr>
          <w:sz w:val="20"/>
        </w:rPr>
        <w:t>1</w:t>
        <w:tab/>
        <w:t>Cuando el </w:t>
      </w:r>
      <w:r>
        <w:rPr>
          <w:i/>
          <w:sz w:val="20"/>
        </w:rPr>
        <w:t>aislante térmico </w:t>
      </w:r>
      <w:r>
        <w:rPr>
          <w:sz w:val="20"/>
        </w:rPr>
        <w:t>se disponga por el exterior de la </w:t>
      </w:r>
      <w:r>
        <w:rPr>
          <w:i/>
          <w:sz w:val="20"/>
        </w:rPr>
        <w:t>hoja principal</w:t>
      </w:r>
      <w:r>
        <w:rPr>
          <w:sz w:val="20"/>
        </w:rPr>
        <w:t>, debe ser </w:t>
      </w:r>
      <w:r>
        <w:rPr>
          <w:i/>
          <w:sz w:val="20"/>
        </w:rPr>
        <w:t>no</w:t>
      </w:r>
      <w:r>
        <w:rPr>
          <w:i/>
          <w:spacing w:val="-22"/>
          <w:sz w:val="20"/>
        </w:rPr>
        <w:t> </w:t>
      </w:r>
      <w:r>
        <w:rPr>
          <w:i/>
          <w:sz w:val="20"/>
        </w:rPr>
        <w:t>hidrófilo</w:t>
      </w:r>
      <w:r>
        <w:rPr>
          <w:sz w:val="20"/>
        </w:rPr>
        <w:t>.</w:t>
      </w:r>
    </w:p>
    <w:p>
      <w:pPr>
        <w:pStyle w:val="BodyText"/>
        <w:spacing w:before="7"/>
        <w:rPr>
          <w:sz w:val="29"/>
        </w:rPr>
      </w:pPr>
    </w:p>
    <w:p>
      <w:pPr>
        <w:pStyle w:val="Heading3"/>
        <w:numPr>
          <w:ilvl w:val="1"/>
          <w:numId w:val="74"/>
        </w:numPr>
        <w:tabs>
          <w:tab w:pos="785" w:val="left" w:leader="none"/>
          <w:tab w:pos="786" w:val="left" w:leader="none"/>
        </w:tabs>
        <w:spacing w:line="240" w:lineRule="auto" w:before="0" w:after="0"/>
        <w:ind w:left="785" w:right="0" w:hanging="568"/>
        <w:jc w:val="left"/>
      </w:pPr>
      <w:r>
        <w:rPr/>
        <w:t>Control de recepción en obra de</w:t>
      </w:r>
      <w:r>
        <w:rPr>
          <w:spacing w:val="-5"/>
        </w:rPr>
        <w:t> </w:t>
      </w:r>
      <w:r>
        <w:rPr/>
        <w:t>productos</w:t>
      </w:r>
    </w:p>
    <w:p>
      <w:pPr>
        <w:pStyle w:val="ListParagraph"/>
        <w:numPr>
          <w:ilvl w:val="0"/>
          <w:numId w:val="77"/>
        </w:numPr>
        <w:tabs>
          <w:tab w:pos="579" w:val="left" w:leader="none"/>
        </w:tabs>
        <w:spacing w:line="240" w:lineRule="auto" w:before="159" w:after="0"/>
        <w:ind w:left="575" w:right="393" w:hanging="358"/>
        <w:jc w:val="both"/>
        <w:rPr>
          <w:sz w:val="20"/>
        </w:rPr>
      </w:pPr>
      <w:r>
        <w:rPr>
          <w:sz w:val="20"/>
        </w:rPr>
        <w:t>En el pliego de condiciones del proyecto deben indicarse las condiciones de control para la  recepción de los productos, incluyendo los ensayos necesarios para comprobar que los mismos reúnen las características exigidas en los apartados</w:t>
      </w:r>
      <w:r>
        <w:rPr>
          <w:spacing w:val="-6"/>
          <w:sz w:val="20"/>
        </w:rPr>
        <w:t> </w:t>
      </w:r>
      <w:r>
        <w:rPr>
          <w:sz w:val="20"/>
        </w:rPr>
        <w:t>anteriores.</w:t>
      </w:r>
    </w:p>
    <w:p>
      <w:pPr>
        <w:pStyle w:val="ListParagraph"/>
        <w:numPr>
          <w:ilvl w:val="0"/>
          <w:numId w:val="77"/>
        </w:numPr>
        <w:tabs>
          <w:tab w:pos="578" w:val="left" w:leader="none"/>
          <w:tab w:pos="579" w:val="left" w:leader="none"/>
        </w:tabs>
        <w:spacing w:line="240" w:lineRule="auto" w:before="120" w:after="0"/>
        <w:ind w:left="578" w:right="0" w:hanging="361"/>
        <w:jc w:val="left"/>
        <w:rPr>
          <w:sz w:val="20"/>
        </w:rPr>
      </w:pPr>
      <w:r>
        <w:rPr>
          <w:sz w:val="20"/>
        </w:rPr>
        <w:t>Debe comprobarse que los productos</w:t>
      </w:r>
      <w:r>
        <w:rPr>
          <w:spacing w:val="-2"/>
          <w:sz w:val="20"/>
        </w:rPr>
        <w:t> </w:t>
      </w:r>
      <w:r>
        <w:rPr>
          <w:sz w:val="20"/>
        </w:rPr>
        <w:t>recibidos:</w:t>
      </w:r>
    </w:p>
    <w:p>
      <w:pPr>
        <w:pStyle w:val="ListParagraph"/>
        <w:numPr>
          <w:ilvl w:val="1"/>
          <w:numId w:val="77"/>
        </w:numPr>
        <w:tabs>
          <w:tab w:pos="939" w:val="left" w:leader="none"/>
        </w:tabs>
        <w:spacing w:line="240" w:lineRule="auto" w:before="119" w:after="0"/>
        <w:ind w:left="938" w:right="0" w:hanging="364"/>
        <w:jc w:val="left"/>
        <w:rPr>
          <w:sz w:val="20"/>
        </w:rPr>
      </w:pPr>
      <w:r>
        <w:rPr>
          <w:sz w:val="20"/>
        </w:rPr>
        <w:t>corresponden a los especificados en el pliego de condiciones del</w:t>
      </w:r>
      <w:r>
        <w:rPr>
          <w:spacing w:val="-11"/>
          <w:sz w:val="20"/>
        </w:rPr>
        <w:t> </w:t>
      </w:r>
      <w:r>
        <w:rPr>
          <w:sz w:val="20"/>
        </w:rPr>
        <w:t>proyecto;</w:t>
      </w:r>
    </w:p>
    <w:p>
      <w:pPr>
        <w:pStyle w:val="ListParagraph"/>
        <w:numPr>
          <w:ilvl w:val="1"/>
          <w:numId w:val="77"/>
        </w:numPr>
        <w:tabs>
          <w:tab w:pos="939" w:val="left" w:leader="none"/>
        </w:tabs>
        <w:spacing w:line="240" w:lineRule="auto" w:before="121" w:after="0"/>
        <w:ind w:left="938" w:right="0" w:hanging="364"/>
        <w:jc w:val="left"/>
        <w:rPr>
          <w:sz w:val="20"/>
        </w:rPr>
      </w:pPr>
      <w:r>
        <w:rPr>
          <w:sz w:val="20"/>
        </w:rPr>
        <w:t>disponen de la documentación</w:t>
      </w:r>
      <w:r>
        <w:rPr>
          <w:spacing w:val="-1"/>
          <w:sz w:val="20"/>
        </w:rPr>
        <w:t> </w:t>
      </w:r>
      <w:r>
        <w:rPr>
          <w:sz w:val="20"/>
        </w:rPr>
        <w:t>exigida;</w:t>
      </w:r>
    </w:p>
    <w:p>
      <w:pPr>
        <w:pStyle w:val="ListParagraph"/>
        <w:numPr>
          <w:ilvl w:val="1"/>
          <w:numId w:val="77"/>
        </w:numPr>
        <w:tabs>
          <w:tab w:pos="939" w:val="left" w:leader="none"/>
        </w:tabs>
        <w:spacing w:line="240" w:lineRule="auto" w:before="120" w:after="0"/>
        <w:ind w:left="938" w:right="0" w:hanging="364"/>
        <w:jc w:val="left"/>
        <w:rPr>
          <w:sz w:val="20"/>
        </w:rPr>
      </w:pPr>
      <w:r>
        <w:rPr>
          <w:sz w:val="20"/>
        </w:rPr>
        <w:t>están caracterizados por las propiedades</w:t>
      </w:r>
      <w:r>
        <w:rPr>
          <w:spacing w:val="-3"/>
          <w:sz w:val="20"/>
        </w:rPr>
        <w:t> </w:t>
      </w:r>
      <w:r>
        <w:rPr>
          <w:sz w:val="20"/>
        </w:rPr>
        <w:t>exigidas;</w:t>
      </w:r>
    </w:p>
    <w:p>
      <w:pPr>
        <w:pStyle w:val="ListParagraph"/>
        <w:numPr>
          <w:ilvl w:val="1"/>
          <w:numId w:val="77"/>
        </w:numPr>
        <w:tabs>
          <w:tab w:pos="939" w:val="left" w:leader="none"/>
        </w:tabs>
        <w:spacing w:line="240" w:lineRule="auto" w:before="119" w:after="0"/>
        <w:ind w:left="938" w:right="391" w:hanging="363"/>
        <w:jc w:val="both"/>
        <w:rPr>
          <w:sz w:val="20"/>
        </w:rPr>
      </w:pPr>
      <w:r>
        <w:rPr>
          <w:sz w:val="20"/>
        </w:rPr>
        <w:t>han sido ensayados, cuando así se establezca en el pliego de condiciones o lo determine el director de la ejecución de la obra con el visto bueno del director de obra, con la frecuencia establecida.</w:t>
      </w:r>
    </w:p>
    <w:p>
      <w:pPr>
        <w:pStyle w:val="ListParagraph"/>
        <w:numPr>
          <w:ilvl w:val="0"/>
          <w:numId w:val="77"/>
        </w:numPr>
        <w:tabs>
          <w:tab w:pos="578" w:val="left" w:leader="none"/>
          <w:tab w:pos="579" w:val="left" w:leader="none"/>
        </w:tabs>
        <w:spacing w:line="240" w:lineRule="auto" w:before="120" w:after="0"/>
        <w:ind w:left="578" w:right="0" w:hanging="361"/>
        <w:jc w:val="left"/>
        <w:rPr>
          <w:sz w:val="20"/>
        </w:rPr>
      </w:pPr>
      <w:r>
        <w:rPr>
          <w:sz w:val="20"/>
        </w:rPr>
        <w:t>En el control deben seguirse los criterios indicados en el artículo 7.2 de la parte I del</w:t>
      </w:r>
      <w:r>
        <w:rPr>
          <w:spacing w:val="-25"/>
          <w:sz w:val="20"/>
        </w:rPr>
        <w:t> </w:t>
      </w:r>
      <w:r>
        <w:rPr>
          <w:sz w:val="20"/>
        </w:rPr>
        <w:t>CTE.</w:t>
      </w:r>
    </w:p>
    <w:p>
      <w:pPr>
        <w:spacing w:after="0" w:line="240" w:lineRule="auto"/>
        <w:jc w:val="left"/>
        <w:rPr>
          <w:sz w:val="20"/>
        </w:rPr>
        <w:sectPr>
          <w:pgSz w:w="11910" w:h="16840"/>
          <w:pgMar w:header="724" w:footer="636" w:top="1320" w:bottom="840" w:left="1200" w:right="738"/>
        </w:sectPr>
      </w:pPr>
    </w:p>
    <w:p>
      <w:pPr>
        <w:pStyle w:val="Heading2"/>
        <w:numPr>
          <w:ilvl w:val="0"/>
          <w:numId w:val="78"/>
        </w:numPr>
        <w:tabs>
          <w:tab w:pos="503" w:val="left" w:leader="none"/>
        </w:tabs>
        <w:spacing w:line="240" w:lineRule="auto" w:before="91" w:after="0"/>
        <w:ind w:left="502" w:right="0" w:hanging="285"/>
        <w:jc w:val="left"/>
      </w:pPr>
      <w:r>
        <w:rPr/>
        <w:t>Construcción</w:t>
      </w:r>
    </w:p>
    <w:p>
      <w:pPr>
        <w:pStyle w:val="BodyText"/>
        <w:spacing w:before="218"/>
        <w:ind w:left="608" w:right="391" w:hanging="390"/>
        <w:jc w:val="both"/>
      </w:pPr>
      <w:r>
        <w:rPr/>
        <w:t>1 En el proyecto se definirán y justificarán las características técnicas mínimas que deben reunir los productos, así como las condiciones de ejecución de cada unidad de obra, con las verificaciones y controles especificados para comprobar su conformidad con lo indicado en dicho proyecto, según lo indicado en el artículo 6 de la parte I del CTE.</w:t>
      </w:r>
    </w:p>
    <w:p>
      <w:pPr>
        <w:pStyle w:val="BodyText"/>
        <w:spacing w:before="8"/>
        <w:rPr>
          <w:sz w:val="29"/>
        </w:rPr>
      </w:pPr>
    </w:p>
    <w:p>
      <w:pPr>
        <w:pStyle w:val="Heading3"/>
        <w:numPr>
          <w:ilvl w:val="1"/>
          <w:numId w:val="78"/>
        </w:numPr>
        <w:tabs>
          <w:tab w:pos="785" w:val="left" w:leader="none"/>
          <w:tab w:pos="786" w:val="left" w:leader="none"/>
        </w:tabs>
        <w:spacing w:line="240" w:lineRule="auto" w:before="0" w:after="0"/>
        <w:ind w:left="785" w:right="0" w:hanging="568"/>
        <w:jc w:val="left"/>
      </w:pPr>
      <w:r>
        <w:rPr/>
        <w:t>Ejecución</w:t>
      </w:r>
    </w:p>
    <w:p>
      <w:pPr>
        <w:pStyle w:val="BodyText"/>
        <w:spacing w:before="159"/>
        <w:ind w:left="672" w:right="391" w:hanging="454"/>
        <w:jc w:val="both"/>
      </w:pPr>
      <w:r>
        <w:rPr/>
        <w:t>1 Las obras de construcción del edificio, en relación con esta sección, se ejecutarán con sujeción al proyecto, a la legislación aplicable, a las normas de la buena práctica constructiva y a las instrucciones del director de obra y del director de la ejecución de la obra, conforme a lo indicado en el artículo 7 de la parte I del CTE. En el pliego de condiciones se indicarán las condiciones de ejecución de los cerramientos.</w:t>
      </w:r>
    </w:p>
    <w:p>
      <w:pPr>
        <w:pStyle w:val="BodyText"/>
        <w:spacing w:before="8"/>
        <w:rPr>
          <w:sz w:val="22"/>
        </w:rPr>
      </w:pPr>
    </w:p>
    <w:p>
      <w:pPr>
        <w:pStyle w:val="Heading5"/>
        <w:numPr>
          <w:ilvl w:val="2"/>
          <w:numId w:val="78"/>
        </w:numPr>
        <w:tabs>
          <w:tab w:pos="786" w:val="left" w:leader="none"/>
        </w:tabs>
        <w:spacing w:line="240" w:lineRule="auto" w:before="0" w:after="0"/>
        <w:ind w:left="785" w:right="0" w:hanging="568"/>
        <w:jc w:val="left"/>
      </w:pPr>
      <w:r>
        <w:rPr/>
        <w:t>Muros</w:t>
      </w:r>
    </w:p>
    <w:p>
      <w:pPr>
        <w:pStyle w:val="BodyText"/>
        <w:rPr>
          <w:b/>
          <w:sz w:val="26"/>
        </w:rPr>
      </w:pPr>
    </w:p>
    <w:p>
      <w:pPr>
        <w:pStyle w:val="ListParagraph"/>
        <w:numPr>
          <w:ilvl w:val="3"/>
          <w:numId w:val="78"/>
        </w:numPr>
        <w:tabs>
          <w:tab w:pos="928" w:val="left" w:leader="none"/>
        </w:tabs>
        <w:spacing w:line="240" w:lineRule="auto" w:before="1" w:after="0"/>
        <w:ind w:left="927" w:right="0" w:hanging="710"/>
        <w:jc w:val="left"/>
        <w:rPr>
          <w:b/>
          <w:sz w:val="20"/>
        </w:rPr>
      </w:pPr>
      <w:r>
        <w:rPr>
          <w:b/>
          <w:sz w:val="20"/>
        </w:rPr>
        <w:t>Condiciones de los</w:t>
      </w:r>
      <w:r>
        <w:rPr>
          <w:b/>
          <w:spacing w:val="-2"/>
          <w:sz w:val="20"/>
        </w:rPr>
        <w:t> </w:t>
      </w:r>
      <w:r>
        <w:rPr>
          <w:b/>
          <w:sz w:val="20"/>
        </w:rPr>
        <w:t>pasatubos</w:t>
      </w:r>
    </w:p>
    <w:p>
      <w:pPr>
        <w:pStyle w:val="BodyText"/>
        <w:spacing w:before="158"/>
        <w:ind w:left="672" w:right="391" w:hanging="454"/>
        <w:jc w:val="both"/>
      </w:pPr>
      <w:r>
        <w:rPr/>
        <w:t>1 Los pasatubos deben ser estancos y suficientemente flexibles para absorber los  movimientos previstos.</w:t>
      </w:r>
    </w:p>
    <w:p>
      <w:pPr>
        <w:pStyle w:val="BodyText"/>
        <w:spacing w:before="9"/>
        <w:rPr>
          <w:sz w:val="22"/>
        </w:rPr>
      </w:pPr>
    </w:p>
    <w:p>
      <w:pPr>
        <w:pStyle w:val="ListParagraph"/>
        <w:numPr>
          <w:ilvl w:val="3"/>
          <w:numId w:val="78"/>
        </w:numPr>
        <w:tabs>
          <w:tab w:pos="928" w:val="left" w:leader="none"/>
        </w:tabs>
        <w:spacing w:line="240" w:lineRule="auto" w:before="0" w:after="0"/>
        <w:ind w:left="927" w:right="0" w:hanging="710"/>
        <w:jc w:val="left"/>
        <w:rPr>
          <w:b/>
          <w:i/>
          <w:sz w:val="20"/>
        </w:rPr>
      </w:pPr>
      <w:r>
        <w:rPr>
          <w:b/>
          <w:sz w:val="20"/>
        </w:rPr>
        <w:t>Condiciones de las láminas</w:t>
      </w:r>
      <w:r>
        <w:rPr>
          <w:b/>
          <w:spacing w:val="-6"/>
          <w:sz w:val="20"/>
        </w:rPr>
        <w:t> </w:t>
      </w:r>
      <w:r>
        <w:rPr>
          <w:b/>
          <w:i/>
          <w:sz w:val="20"/>
        </w:rPr>
        <w:t>impermeabilizantes</w:t>
      </w:r>
    </w:p>
    <w:p>
      <w:pPr>
        <w:pStyle w:val="ListParagraph"/>
        <w:numPr>
          <w:ilvl w:val="0"/>
          <w:numId w:val="79"/>
        </w:numPr>
        <w:tabs>
          <w:tab w:pos="673" w:val="left" w:leader="none"/>
        </w:tabs>
        <w:spacing w:line="240" w:lineRule="auto" w:before="159" w:after="0"/>
        <w:ind w:left="672" w:right="394" w:hanging="454"/>
        <w:jc w:val="both"/>
        <w:rPr>
          <w:sz w:val="20"/>
        </w:rPr>
      </w:pPr>
      <w:r>
        <w:rPr>
          <w:sz w:val="20"/>
        </w:rPr>
        <w:t>Las láminas deben aplicarse en unas condiciones ambientales que se encuentren dentro de los márgenes prescritos en las correspondientes especificaciones de</w:t>
      </w:r>
      <w:r>
        <w:rPr>
          <w:spacing w:val="-6"/>
          <w:sz w:val="20"/>
        </w:rPr>
        <w:t> </w:t>
      </w:r>
      <w:r>
        <w:rPr>
          <w:sz w:val="20"/>
        </w:rPr>
        <w:t>aplicación.</w:t>
      </w:r>
    </w:p>
    <w:p>
      <w:pPr>
        <w:pStyle w:val="ListParagraph"/>
        <w:numPr>
          <w:ilvl w:val="0"/>
          <w:numId w:val="79"/>
        </w:numPr>
        <w:tabs>
          <w:tab w:pos="672" w:val="left" w:leader="none"/>
        </w:tabs>
        <w:spacing w:line="240" w:lineRule="auto" w:before="119" w:after="0"/>
        <w:ind w:left="672" w:right="393" w:hanging="454"/>
        <w:jc w:val="both"/>
        <w:rPr>
          <w:sz w:val="20"/>
        </w:rPr>
      </w:pPr>
      <w:r>
        <w:rPr>
          <w:sz w:val="20"/>
        </w:rPr>
        <w:t>Las láminas deben aplicarse cuando el muro esté suficientemente seco de acuerdo con las correspondientes especificaciones de</w:t>
      </w:r>
      <w:r>
        <w:rPr>
          <w:spacing w:val="-1"/>
          <w:sz w:val="20"/>
        </w:rPr>
        <w:t> </w:t>
      </w:r>
      <w:r>
        <w:rPr>
          <w:sz w:val="20"/>
        </w:rPr>
        <w:t>aplicación.</w:t>
      </w:r>
    </w:p>
    <w:p>
      <w:pPr>
        <w:pStyle w:val="ListParagraph"/>
        <w:numPr>
          <w:ilvl w:val="0"/>
          <w:numId w:val="79"/>
        </w:numPr>
        <w:tabs>
          <w:tab w:pos="672" w:val="left" w:leader="none"/>
        </w:tabs>
        <w:spacing w:line="240" w:lineRule="auto" w:before="121" w:after="0"/>
        <w:ind w:left="672" w:right="390" w:hanging="454"/>
        <w:jc w:val="both"/>
        <w:rPr>
          <w:sz w:val="20"/>
        </w:rPr>
      </w:pPr>
      <w:r>
        <w:rPr>
          <w:sz w:val="20"/>
        </w:rPr>
        <w:t>Las láminas deben aplicarse de tal forma que no entren en contacto materiales incompatibles químicamente.</w:t>
      </w:r>
    </w:p>
    <w:p>
      <w:pPr>
        <w:pStyle w:val="ListParagraph"/>
        <w:numPr>
          <w:ilvl w:val="0"/>
          <w:numId w:val="79"/>
        </w:numPr>
        <w:tabs>
          <w:tab w:pos="672" w:val="left" w:leader="none"/>
        </w:tabs>
        <w:spacing w:line="240" w:lineRule="auto" w:before="120" w:after="0"/>
        <w:ind w:left="672" w:right="391" w:hanging="454"/>
        <w:jc w:val="both"/>
        <w:rPr>
          <w:sz w:val="20"/>
        </w:rPr>
      </w:pPr>
      <w:r>
        <w:rPr>
          <w:sz w:val="20"/>
        </w:rPr>
        <w:t>En las uniones de las láminas deben respetarse los solapos mínimos prescritos en las correspondientes especificaciones de</w:t>
      </w:r>
      <w:r>
        <w:rPr>
          <w:spacing w:val="-1"/>
          <w:sz w:val="20"/>
        </w:rPr>
        <w:t> </w:t>
      </w:r>
      <w:r>
        <w:rPr>
          <w:sz w:val="20"/>
        </w:rPr>
        <w:t>aplicación.</w:t>
      </w:r>
    </w:p>
    <w:p>
      <w:pPr>
        <w:pStyle w:val="ListParagraph"/>
        <w:numPr>
          <w:ilvl w:val="0"/>
          <w:numId w:val="79"/>
        </w:numPr>
        <w:tabs>
          <w:tab w:pos="672" w:val="left" w:leader="none"/>
        </w:tabs>
        <w:spacing w:line="240" w:lineRule="auto" w:before="119" w:after="0"/>
        <w:ind w:left="672" w:right="391" w:hanging="454"/>
        <w:jc w:val="both"/>
        <w:rPr>
          <w:sz w:val="20"/>
        </w:rPr>
      </w:pPr>
      <w:r>
        <w:rPr>
          <w:sz w:val="20"/>
        </w:rPr>
        <w:t>El paramento donde se va aplicar la lámina no debe tener rebabas de mortero en las fábricas de ladrillo o bloques ni ningún resalto de material que pueda suponer riesgo de</w:t>
      </w:r>
      <w:r>
        <w:rPr>
          <w:spacing w:val="-31"/>
          <w:sz w:val="20"/>
        </w:rPr>
        <w:t> </w:t>
      </w:r>
      <w:r>
        <w:rPr>
          <w:sz w:val="20"/>
        </w:rPr>
        <w:t>punzonamiento.</w:t>
      </w:r>
    </w:p>
    <w:p>
      <w:pPr>
        <w:pStyle w:val="ListParagraph"/>
        <w:numPr>
          <w:ilvl w:val="0"/>
          <w:numId w:val="79"/>
        </w:numPr>
        <w:tabs>
          <w:tab w:pos="672" w:val="left" w:leader="none"/>
        </w:tabs>
        <w:spacing w:line="240" w:lineRule="auto" w:before="121" w:after="0"/>
        <w:ind w:left="672" w:right="393" w:hanging="454"/>
        <w:jc w:val="both"/>
        <w:rPr>
          <w:sz w:val="20"/>
        </w:rPr>
      </w:pPr>
      <w:r>
        <w:rPr>
          <w:sz w:val="20"/>
        </w:rPr>
        <w:t>Cuando se utilice una lámina </w:t>
      </w:r>
      <w:r>
        <w:rPr>
          <w:i/>
          <w:sz w:val="20"/>
        </w:rPr>
        <w:t>impermeabilizante </w:t>
      </w:r>
      <w:r>
        <w:rPr>
          <w:sz w:val="20"/>
        </w:rPr>
        <w:t>adherida deben aplicarse imprimaciones previas y cuando se utilice una lámina </w:t>
      </w:r>
      <w:r>
        <w:rPr>
          <w:i/>
          <w:sz w:val="20"/>
        </w:rPr>
        <w:t>impermeabilizante </w:t>
      </w:r>
      <w:r>
        <w:rPr>
          <w:sz w:val="20"/>
        </w:rPr>
        <w:t>no adherida deben sellarse los</w:t>
      </w:r>
      <w:r>
        <w:rPr>
          <w:spacing w:val="-13"/>
          <w:sz w:val="20"/>
        </w:rPr>
        <w:t> </w:t>
      </w:r>
      <w:r>
        <w:rPr>
          <w:sz w:val="20"/>
        </w:rPr>
        <w:t>solapos.</w:t>
      </w:r>
    </w:p>
    <w:p>
      <w:pPr>
        <w:pStyle w:val="ListParagraph"/>
        <w:numPr>
          <w:ilvl w:val="0"/>
          <w:numId w:val="79"/>
        </w:numPr>
        <w:tabs>
          <w:tab w:pos="672" w:val="left" w:leader="none"/>
        </w:tabs>
        <w:spacing w:line="240" w:lineRule="auto" w:before="120" w:after="0"/>
        <w:ind w:left="672" w:right="392" w:hanging="454"/>
        <w:jc w:val="both"/>
        <w:rPr>
          <w:sz w:val="20"/>
        </w:rPr>
      </w:pPr>
      <w:r>
        <w:rPr>
          <w:sz w:val="20"/>
        </w:rPr>
        <w:t>Cuando la </w:t>
      </w:r>
      <w:r>
        <w:rPr>
          <w:i/>
          <w:sz w:val="20"/>
        </w:rPr>
        <w:t>impermeabilización </w:t>
      </w:r>
      <w:r>
        <w:rPr>
          <w:sz w:val="20"/>
        </w:rPr>
        <w:t>se haga por el interior, deben colocarse bandas de refuerzo en los cambios de</w:t>
      </w:r>
      <w:r>
        <w:rPr>
          <w:spacing w:val="-3"/>
          <w:sz w:val="20"/>
        </w:rPr>
        <w:t> </w:t>
      </w:r>
      <w:r>
        <w:rPr>
          <w:sz w:val="20"/>
        </w:rPr>
        <w:t>dirección.</w:t>
      </w:r>
    </w:p>
    <w:p>
      <w:pPr>
        <w:pStyle w:val="BodyText"/>
        <w:spacing w:before="8"/>
        <w:rPr>
          <w:sz w:val="22"/>
        </w:rPr>
      </w:pPr>
    </w:p>
    <w:p>
      <w:pPr>
        <w:pStyle w:val="Heading5"/>
        <w:numPr>
          <w:ilvl w:val="3"/>
          <w:numId w:val="78"/>
        </w:numPr>
        <w:tabs>
          <w:tab w:pos="928" w:val="left" w:leader="none"/>
        </w:tabs>
        <w:spacing w:line="240" w:lineRule="auto" w:before="0" w:after="0"/>
        <w:ind w:left="927" w:right="0" w:hanging="710"/>
        <w:jc w:val="left"/>
      </w:pPr>
      <w:r>
        <w:rPr/>
        <w:t>Condiciones del revestimiento hidrófugo de</w:t>
      </w:r>
      <w:r>
        <w:rPr>
          <w:spacing w:val="-4"/>
        </w:rPr>
        <w:t> </w:t>
      </w:r>
      <w:r>
        <w:rPr/>
        <w:t>mortero</w:t>
      </w:r>
    </w:p>
    <w:p>
      <w:pPr>
        <w:pStyle w:val="ListParagraph"/>
        <w:numPr>
          <w:ilvl w:val="0"/>
          <w:numId w:val="80"/>
        </w:numPr>
        <w:tabs>
          <w:tab w:pos="671" w:val="left" w:leader="none"/>
          <w:tab w:pos="672" w:val="left" w:leader="none"/>
        </w:tabs>
        <w:spacing w:line="240" w:lineRule="auto" w:before="159" w:after="0"/>
        <w:ind w:left="671" w:right="0" w:hanging="454"/>
        <w:jc w:val="left"/>
        <w:rPr>
          <w:sz w:val="20"/>
        </w:rPr>
      </w:pPr>
      <w:r>
        <w:rPr>
          <w:sz w:val="20"/>
        </w:rPr>
        <w:t>El paramento donde se va aplicar el revestimiento debe estar</w:t>
      </w:r>
      <w:r>
        <w:rPr>
          <w:spacing w:val="-15"/>
          <w:sz w:val="20"/>
        </w:rPr>
        <w:t> </w:t>
      </w:r>
      <w:r>
        <w:rPr>
          <w:sz w:val="20"/>
        </w:rPr>
        <w:t>limpio.</w:t>
      </w:r>
    </w:p>
    <w:p>
      <w:pPr>
        <w:pStyle w:val="ListParagraph"/>
        <w:numPr>
          <w:ilvl w:val="0"/>
          <w:numId w:val="80"/>
        </w:numPr>
        <w:tabs>
          <w:tab w:pos="672" w:val="left" w:leader="none"/>
        </w:tabs>
        <w:spacing w:line="240" w:lineRule="auto" w:before="119" w:after="0"/>
        <w:ind w:left="672" w:right="393" w:hanging="454"/>
        <w:jc w:val="both"/>
        <w:rPr>
          <w:sz w:val="20"/>
        </w:rPr>
      </w:pPr>
      <w:r>
        <w:rPr>
          <w:sz w:val="20"/>
        </w:rPr>
        <w:t>Deben aplicarse al menos cuatro capas de revestimiento de espesor uniforme y el espesor total no debe ser mayor que 2</w:t>
      </w:r>
      <w:r>
        <w:rPr>
          <w:spacing w:val="-4"/>
          <w:sz w:val="20"/>
        </w:rPr>
        <w:t> </w:t>
      </w:r>
      <w:r>
        <w:rPr>
          <w:sz w:val="20"/>
        </w:rPr>
        <w:t>cm.</w:t>
      </w:r>
    </w:p>
    <w:p>
      <w:pPr>
        <w:pStyle w:val="ListParagraph"/>
        <w:numPr>
          <w:ilvl w:val="0"/>
          <w:numId w:val="80"/>
        </w:numPr>
        <w:tabs>
          <w:tab w:pos="672" w:val="left" w:leader="none"/>
        </w:tabs>
        <w:spacing w:line="240" w:lineRule="auto" w:before="121" w:after="0"/>
        <w:ind w:left="672" w:right="392" w:hanging="454"/>
        <w:jc w:val="both"/>
        <w:rPr>
          <w:sz w:val="20"/>
        </w:rPr>
      </w:pPr>
      <w:r>
        <w:rPr>
          <w:sz w:val="20"/>
        </w:rPr>
        <w:t>No debe aplicarse el revestimiento cuando la temperatura ambiente sea menor que 0ºC ni cuando se prevea un descenso de la misma por debajo de dicho valor en las 24 horas posteriores a su aplicación.</w:t>
      </w:r>
    </w:p>
    <w:p>
      <w:pPr>
        <w:pStyle w:val="ListParagraph"/>
        <w:numPr>
          <w:ilvl w:val="0"/>
          <w:numId w:val="80"/>
        </w:numPr>
        <w:tabs>
          <w:tab w:pos="671" w:val="left" w:leader="none"/>
          <w:tab w:pos="672" w:val="left" w:leader="none"/>
        </w:tabs>
        <w:spacing w:line="240" w:lineRule="auto" w:before="120" w:after="0"/>
        <w:ind w:left="671" w:right="0" w:hanging="454"/>
        <w:jc w:val="left"/>
        <w:rPr>
          <w:sz w:val="20"/>
        </w:rPr>
      </w:pPr>
      <w:r>
        <w:rPr>
          <w:sz w:val="20"/>
        </w:rPr>
        <w:t>En los encuentros deben solaparse las capas del revestimiento al menos 25</w:t>
      </w:r>
      <w:r>
        <w:rPr>
          <w:spacing w:val="-15"/>
          <w:sz w:val="20"/>
        </w:rPr>
        <w:t> </w:t>
      </w:r>
      <w:r>
        <w:rPr>
          <w:sz w:val="20"/>
        </w:rPr>
        <w:t>cm.</w:t>
      </w:r>
    </w:p>
    <w:p>
      <w:pPr>
        <w:pStyle w:val="BodyText"/>
        <w:spacing w:before="8"/>
        <w:rPr>
          <w:sz w:val="22"/>
        </w:rPr>
      </w:pPr>
    </w:p>
    <w:p>
      <w:pPr>
        <w:pStyle w:val="ListParagraph"/>
        <w:numPr>
          <w:ilvl w:val="3"/>
          <w:numId w:val="78"/>
        </w:numPr>
        <w:tabs>
          <w:tab w:pos="927" w:val="left" w:leader="none"/>
        </w:tabs>
        <w:spacing w:line="240" w:lineRule="auto" w:before="0" w:after="0"/>
        <w:ind w:left="926" w:right="0" w:hanging="709"/>
        <w:jc w:val="left"/>
        <w:rPr>
          <w:b/>
          <w:i/>
          <w:sz w:val="20"/>
        </w:rPr>
      </w:pPr>
      <w:r>
        <w:rPr>
          <w:b/>
          <w:sz w:val="20"/>
        </w:rPr>
        <w:t>Condiciones de los productos líquidos de</w:t>
      </w:r>
      <w:r>
        <w:rPr>
          <w:b/>
          <w:spacing w:val="-11"/>
          <w:sz w:val="20"/>
        </w:rPr>
        <w:t> </w:t>
      </w:r>
      <w:r>
        <w:rPr>
          <w:b/>
          <w:i/>
          <w:sz w:val="20"/>
        </w:rPr>
        <w:t>impermeabilización</w:t>
      </w:r>
    </w:p>
    <w:p>
      <w:pPr>
        <w:pStyle w:val="BodyText"/>
        <w:rPr>
          <w:b/>
          <w:i/>
          <w:sz w:val="27"/>
        </w:rPr>
      </w:pPr>
    </w:p>
    <w:p>
      <w:pPr>
        <w:pStyle w:val="Heading5"/>
        <w:numPr>
          <w:ilvl w:val="4"/>
          <w:numId w:val="78"/>
        </w:numPr>
        <w:tabs>
          <w:tab w:pos="1071" w:val="left" w:leader="none"/>
        </w:tabs>
        <w:spacing w:line="240" w:lineRule="auto" w:before="1" w:after="0"/>
        <w:ind w:left="1070" w:right="0" w:hanging="853"/>
        <w:jc w:val="left"/>
      </w:pPr>
      <w:r>
        <w:rPr/>
        <w:t>Revestimientos sintéticos de</w:t>
      </w:r>
      <w:r>
        <w:rPr>
          <w:spacing w:val="-3"/>
        </w:rPr>
        <w:t> </w:t>
      </w:r>
      <w:r>
        <w:rPr/>
        <w:t>resinas</w:t>
      </w:r>
    </w:p>
    <w:p>
      <w:pPr>
        <w:pStyle w:val="ListParagraph"/>
        <w:numPr>
          <w:ilvl w:val="0"/>
          <w:numId w:val="81"/>
        </w:numPr>
        <w:tabs>
          <w:tab w:pos="672" w:val="left" w:leader="none"/>
        </w:tabs>
        <w:spacing w:line="240" w:lineRule="auto" w:before="157" w:after="0"/>
        <w:ind w:left="671" w:right="392" w:hanging="454"/>
        <w:jc w:val="both"/>
        <w:rPr>
          <w:sz w:val="20"/>
        </w:rPr>
      </w:pPr>
      <w:r>
        <w:rPr>
          <w:sz w:val="20"/>
        </w:rPr>
        <w:t>Las fisuras grandes deben cajearse mediante rozas de 2 cm de profundidad y deben rellenarse éstas con </w:t>
      </w:r>
      <w:r>
        <w:rPr>
          <w:i/>
          <w:sz w:val="20"/>
        </w:rPr>
        <w:t>mortero</w:t>
      </w:r>
      <w:r>
        <w:rPr>
          <w:i/>
          <w:spacing w:val="-2"/>
          <w:sz w:val="20"/>
        </w:rPr>
        <w:t> </w:t>
      </w:r>
      <w:r>
        <w:rPr>
          <w:i/>
          <w:sz w:val="20"/>
        </w:rPr>
        <w:t>pobre</w:t>
      </w:r>
      <w:r>
        <w:rPr>
          <w:sz w:val="20"/>
        </w:rPr>
        <w:t>.</w:t>
      </w:r>
    </w:p>
    <w:p>
      <w:pPr>
        <w:spacing w:after="0" w:line="240" w:lineRule="auto"/>
        <w:jc w:val="both"/>
        <w:rPr>
          <w:sz w:val="20"/>
        </w:rPr>
        <w:sectPr>
          <w:pgSz w:w="11910" w:h="16840"/>
          <w:pgMar w:header="724" w:footer="636" w:top="1320" w:bottom="840" w:left="1200" w:right="738"/>
        </w:sectPr>
      </w:pPr>
    </w:p>
    <w:p>
      <w:pPr>
        <w:pStyle w:val="ListParagraph"/>
        <w:numPr>
          <w:ilvl w:val="0"/>
          <w:numId w:val="81"/>
        </w:numPr>
        <w:tabs>
          <w:tab w:pos="671" w:val="left" w:leader="none"/>
          <w:tab w:pos="672" w:val="left" w:leader="none"/>
        </w:tabs>
        <w:spacing w:line="240" w:lineRule="auto" w:before="89" w:after="0"/>
        <w:ind w:left="671" w:right="0" w:hanging="454"/>
        <w:jc w:val="left"/>
        <w:rPr>
          <w:sz w:val="20"/>
        </w:rPr>
      </w:pPr>
      <w:r>
        <w:rPr>
          <w:sz w:val="20"/>
        </w:rPr>
        <w:t>Las coqueras y las grietas deben rellenarse con masillas especiales compatibles con la</w:t>
      </w:r>
      <w:r>
        <w:rPr>
          <w:spacing w:val="-18"/>
          <w:sz w:val="20"/>
        </w:rPr>
        <w:t> </w:t>
      </w:r>
      <w:r>
        <w:rPr>
          <w:sz w:val="20"/>
        </w:rPr>
        <w:t>resina.</w:t>
      </w:r>
    </w:p>
    <w:p>
      <w:pPr>
        <w:pStyle w:val="ListParagraph"/>
        <w:numPr>
          <w:ilvl w:val="0"/>
          <w:numId w:val="81"/>
        </w:numPr>
        <w:tabs>
          <w:tab w:pos="671" w:val="left" w:leader="none"/>
          <w:tab w:pos="672" w:val="left" w:leader="none"/>
        </w:tabs>
        <w:spacing w:line="240" w:lineRule="auto" w:before="120" w:after="0"/>
        <w:ind w:left="671" w:right="0" w:hanging="454"/>
        <w:jc w:val="left"/>
        <w:rPr>
          <w:sz w:val="20"/>
        </w:rPr>
      </w:pPr>
      <w:r>
        <w:rPr>
          <w:sz w:val="20"/>
        </w:rPr>
        <w:t>Antes de la aplicación de la imprimación debe limpiarse el paramento del</w:t>
      </w:r>
      <w:r>
        <w:rPr>
          <w:spacing w:val="-13"/>
          <w:sz w:val="20"/>
        </w:rPr>
        <w:t> </w:t>
      </w:r>
      <w:r>
        <w:rPr>
          <w:sz w:val="20"/>
        </w:rPr>
        <w:t>muro.</w:t>
      </w:r>
    </w:p>
    <w:p>
      <w:pPr>
        <w:pStyle w:val="ListParagraph"/>
        <w:numPr>
          <w:ilvl w:val="0"/>
          <w:numId w:val="81"/>
        </w:numPr>
        <w:tabs>
          <w:tab w:pos="672" w:val="left" w:leader="none"/>
        </w:tabs>
        <w:spacing w:line="240" w:lineRule="auto" w:before="120" w:after="0"/>
        <w:ind w:left="672" w:right="390" w:hanging="454"/>
        <w:jc w:val="both"/>
        <w:rPr>
          <w:sz w:val="20"/>
        </w:rPr>
      </w:pPr>
      <w:r>
        <w:rPr>
          <w:sz w:val="20"/>
        </w:rPr>
        <w:t>No debe aplicarse el revestimiento cuando la temperatura sea menor que 5ºC o mayor que 35ºC. Salvo que en las especificaciones de aplicación se fijen otros</w:t>
      </w:r>
      <w:r>
        <w:rPr>
          <w:spacing w:val="-11"/>
          <w:sz w:val="20"/>
        </w:rPr>
        <w:t> </w:t>
      </w:r>
      <w:r>
        <w:rPr>
          <w:sz w:val="20"/>
        </w:rPr>
        <w:t>límites.</w:t>
      </w:r>
    </w:p>
    <w:p>
      <w:pPr>
        <w:pStyle w:val="ListParagraph"/>
        <w:numPr>
          <w:ilvl w:val="0"/>
          <w:numId w:val="81"/>
        </w:numPr>
        <w:tabs>
          <w:tab w:pos="672" w:val="left" w:leader="none"/>
        </w:tabs>
        <w:spacing w:line="242" w:lineRule="auto" w:before="120" w:after="0"/>
        <w:ind w:left="672" w:right="391" w:hanging="454"/>
        <w:jc w:val="both"/>
        <w:rPr>
          <w:sz w:val="20"/>
        </w:rPr>
      </w:pPr>
      <w:r>
        <w:rPr>
          <w:sz w:val="20"/>
        </w:rPr>
        <w:t>El espesor de la capa de resina debe estar comprendido entre 300 y 500 de tal forma que cubran una banda a partir del encuentro de 10 cm de anchura como mínimo</w:t>
      </w:r>
      <w:r>
        <w:rPr>
          <w:spacing w:val="-11"/>
          <w:sz w:val="20"/>
        </w:rPr>
        <w:t> </w:t>
      </w:r>
      <w:r>
        <w:rPr>
          <w:rFonts w:ascii="Symbol" w:hAnsi="Symbol"/>
          <w:sz w:val="20"/>
        </w:rPr>
        <w:t></w:t>
      </w:r>
      <w:r>
        <w:rPr>
          <w:sz w:val="20"/>
        </w:rPr>
        <w:t>m.</w:t>
      </w:r>
    </w:p>
    <w:p>
      <w:pPr>
        <w:pStyle w:val="ListParagraph"/>
        <w:numPr>
          <w:ilvl w:val="0"/>
          <w:numId w:val="81"/>
        </w:numPr>
        <w:tabs>
          <w:tab w:pos="672" w:val="left" w:leader="none"/>
        </w:tabs>
        <w:spacing w:line="240" w:lineRule="auto" w:before="117" w:after="0"/>
        <w:ind w:left="671" w:right="390" w:hanging="454"/>
        <w:jc w:val="both"/>
        <w:rPr>
          <w:sz w:val="20"/>
        </w:rPr>
      </w:pPr>
      <w:r>
        <w:rPr>
          <w:sz w:val="20"/>
        </w:rPr>
        <w:t>Cuando existan fisuras de espesor comprendido entre 100 y 250 </w:t>
      </w:r>
      <w:r>
        <w:rPr>
          <w:rFonts w:ascii="Symbol" w:hAnsi="Symbol"/>
          <w:sz w:val="20"/>
        </w:rPr>
        <w:t></w:t>
      </w:r>
      <w:r>
        <w:rPr>
          <w:sz w:val="20"/>
        </w:rPr>
        <w:t>m debe aplicarse una imprimación en torno a la fisura. Luego debe aplicarse una capa de resina a lo largo de toda la fisura, en un ancho mayor que 12 cm y de un espesor que no sea mayor que 50 </w:t>
      </w:r>
      <w:r>
        <w:rPr>
          <w:rFonts w:ascii="Symbol" w:hAnsi="Symbol"/>
          <w:sz w:val="20"/>
        </w:rPr>
        <w:t></w:t>
      </w:r>
      <w:r>
        <w:rPr>
          <w:sz w:val="20"/>
        </w:rPr>
        <w:t>m. Finalmente deben aplicarse tres manos consecutivas, en intervalos de seis horas como mínimo, hasta alcanzar un espesor total que no sea mayor que 1</w:t>
      </w:r>
      <w:r>
        <w:rPr>
          <w:spacing w:val="-11"/>
          <w:sz w:val="20"/>
        </w:rPr>
        <w:t> </w:t>
      </w:r>
      <w:r>
        <w:rPr>
          <w:sz w:val="20"/>
        </w:rPr>
        <w:t>mm.</w:t>
      </w:r>
    </w:p>
    <w:p>
      <w:pPr>
        <w:pStyle w:val="ListParagraph"/>
        <w:numPr>
          <w:ilvl w:val="0"/>
          <w:numId w:val="81"/>
        </w:numPr>
        <w:tabs>
          <w:tab w:pos="672" w:val="left" w:leader="none"/>
        </w:tabs>
        <w:spacing w:line="240" w:lineRule="auto" w:before="118" w:after="0"/>
        <w:ind w:left="672" w:right="394" w:hanging="454"/>
        <w:jc w:val="both"/>
        <w:rPr>
          <w:sz w:val="20"/>
        </w:rPr>
      </w:pPr>
      <w:r>
        <w:rPr>
          <w:sz w:val="20"/>
        </w:rPr>
        <w:t>Cuando el revestimiento esté elaborado a partir de poliuretano y esté total o parcialmente expuesto a la intemperie debe cubrirse con una capa adecuada para protegerlo de las radiaciones ultravioleta.</w:t>
      </w:r>
    </w:p>
    <w:p>
      <w:pPr>
        <w:pStyle w:val="BodyText"/>
        <w:spacing w:before="8"/>
        <w:rPr>
          <w:sz w:val="23"/>
        </w:rPr>
      </w:pPr>
    </w:p>
    <w:p>
      <w:pPr>
        <w:pStyle w:val="Heading5"/>
        <w:numPr>
          <w:ilvl w:val="4"/>
          <w:numId w:val="78"/>
        </w:numPr>
        <w:tabs>
          <w:tab w:pos="1070" w:val="left" w:leader="none"/>
        </w:tabs>
        <w:spacing w:line="240" w:lineRule="auto" w:before="0" w:after="0"/>
        <w:ind w:left="1069" w:right="0" w:hanging="852"/>
        <w:jc w:val="left"/>
      </w:pPr>
      <w:r>
        <w:rPr/>
        <w:t>Polímeros</w:t>
      </w:r>
      <w:r>
        <w:rPr>
          <w:spacing w:val="-2"/>
        </w:rPr>
        <w:t> </w:t>
      </w:r>
      <w:r>
        <w:rPr/>
        <w:t>Acrílicos</w:t>
      </w:r>
    </w:p>
    <w:p>
      <w:pPr>
        <w:pStyle w:val="ListParagraph"/>
        <w:numPr>
          <w:ilvl w:val="0"/>
          <w:numId w:val="82"/>
        </w:numPr>
        <w:tabs>
          <w:tab w:pos="671" w:val="left" w:leader="none"/>
          <w:tab w:pos="672" w:val="left" w:leader="none"/>
        </w:tabs>
        <w:spacing w:line="240" w:lineRule="auto" w:before="157" w:after="0"/>
        <w:ind w:left="671" w:right="0" w:hanging="454"/>
        <w:jc w:val="left"/>
        <w:rPr>
          <w:sz w:val="20"/>
        </w:rPr>
      </w:pPr>
      <w:r>
        <w:rPr>
          <w:sz w:val="20"/>
        </w:rPr>
        <w:t>El soporte debe estar seco, sin restos de grasa y</w:t>
      </w:r>
      <w:r>
        <w:rPr>
          <w:spacing w:val="-6"/>
          <w:sz w:val="20"/>
        </w:rPr>
        <w:t> </w:t>
      </w:r>
      <w:r>
        <w:rPr>
          <w:sz w:val="20"/>
        </w:rPr>
        <w:t>limpio.</w:t>
      </w:r>
    </w:p>
    <w:p>
      <w:pPr>
        <w:pStyle w:val="ListParagraph"/>
        <w:numPr>
          <w:ilvl w:val="0"/>
          <w:numId w:val="82"/>
        </w:numPr>
        <w:tabs>
          <w:tab w:pos="672" w:val="left" w:leader="none"/>
        </w:tabs>
        <w:spacing w:line="242" w:lineRule="auto" w:before="121" w:after="0"/>
        <w:ind w:left="672" w:right="392" w:hanging="454"/>
        <w:jc w:val="both"/>
        <w:rPr>
          <w:sz w:val="20"/>
        </w:rPr>
      </w:pPr>
      <w:r>
        <w:rPr>
          <w:sz w:val="20"/>
        </w:rPr>
        <w:t>El revestimiento debe aplicarse en capas sucesivas cada 12 horas aproximadamente. El espesor no debe ser mayor que 100</w:t>
      </w:r>
      <w:r>
        <w:rPr>
          <w:spacing w:val="-3"/>
          <w:sz w:val="20"/>
        </w:rPr>
        <w:t> </w:t>
      </w:r>
      <w:r>
        <w:rPr>
          <w:rFonts w:ascii="Symbol" w:hAnsi="Symbol"/>
          <w:sz w:val="20"/>
        </w:rPr>
        <w:t></w:t>
      </w:r>
      <w:r>
        <w:rPr>
          <w:sz w:val="20"/>
        </w:rPr>
        <w:t>m.</w:t>
      </w:r>
    </w:p>
    <w:p>
      <w:pPr>
        <w:pStyle w:val="BodyText"/>
        <w:spacing w:before="3"/>
        <w:rPr>
          <w:sz w:val="23"/>
        </w:rPr>
      </w:pPr>
    </w:p>
    <w:p>
      <w:pPr>
        <w:pStyle w:val="Heading5"/>
        <w:numPr>
          <w:ilvl w:val="4"/>
          <w:numId w:val="78"/>
        </w:numPr>
        <w:tabs>
          <w:tab w:pos="1071" w:val="left" w:leader="none"/>
        </w:tabs>
        <w:spacing w:line="240" w:lineRule="auto" w:before="0" w:after="0"/>
        <w:ind w:left="1070" w:right="0" w:hanging="853"/>
        <w:jc w:val="left"/>
      </w:pPr>
      <w:r>
        <w:rPr/>
        <w:t>Caucho acrílico y resinas</w:t>
      </w:r>
      <w:r>
        <w:rPr>
          <w:spacing w:val="-5"/>
        </w:rPr>
        <w:t> </w:t>
      </w:r>
      <w:r>
        <w:rPr/>
        <w:t>acrílicas</w:t>
      </w:r>
    </w:p>
    <w:p>
      <w:pPr>
        <w:pStyle w:val="BodyText"/>
        <w:tabs>
          <w:tab w:pos="671" w:val="left" w:leader="none"/>
        </w:tabs>
        <w:spacing w:before="158"/>
        <w:ind w:left="218"/>
      </w:pPr>
      <w:r>
        <w:rPr/>
        <w:t>1</w:t>
        <w:tab/>
        <w:t>El soporte debe estar seco y exento de polvo, suciedad y lechadas</w:t>
      </w:r>
      <w:r>
        <w:rPr>
          <w:spacing w:val="-15"/>
        </w:rPr>
        <w:t> </w:t>
      </w:r>
      <w:r>
        <w:rPr/>
        <w:t>superficiales.</w:t>
      </w:r>
    </w:p>
    <w:p>
      <w:pPr>
        <w:pStyle w:val="BodyText"/>
        <w:spacing w:before="9"/>
        <w:rPr>
          <w:sz w:val="22"/>
        </w:rPr>
      </w:pPr>
    </w:p>
    <w:p>
      <w:pPr>
        <w:pStyle w:val="Heading5"/>
        <w:numPr>
          <w:ilvl w:val="3"/>
          <w:numId w:val="78"/>
        </w:numPr>
        <w:tabs>
          <w:tab w:pos="928" w:val="left" w:leader="none"/>
        </w:tabs>
        <w:spacing w:line="240" w:lineRule="auto" w:before="0" w:after="0"/>
        <w:ind w:left="927" w:right="0" w:hanging="710"/>
        <w:jc w:val="left"/>
      </w:pPr>
      <w:r>
        <w:rPr/>
        <w:t>Condiciones del sellado de</w:t>
      </w:r>
      <w:r>
        <w:rPr>
          <w:spacing w:val="-4"/>
        </w:rPr>
        <w:t> </w:t>
      </w:r>
      <w:r>
        <w:rPr/>
        <w:t>juntas</w:t>
      </w:r>
    </w:p>
    <w:p>
      <w:pPr>
        <w:pStyle w:val="BodyText"/>
        <w:spacing w:before="11"/>
        <w:rPr>
          <w:b/>
          <w:sz w:val="26"/>
        </w:rPr>
      </w:pPr>
    </w:p>
    <w:p>
      <w:pPr>
        <w:pStyle w:val="ListParagraph"/>
        <w:numPr>
          <w:ilvl w:val="4"/>
          <w:numId w:val="78"/>
        </w:numPr>
        <w:tabs>
          <w:tab w:pos="1071" w:val="left" w:leader="none"/>
        </w:tabs>
        <w:spacing w:line="240" w:lineRule="auto" w:before="0" w:after="0"/>
        <w:ind w:left="1070" w:right="0" w:hanging="853"/>
        <w:jc w:val="left"/>
        <w:rPr>
          <w:b/>
          <w:sz w:val="20"/>
        </w:rPr>
      </w:pPr>
      <w:r>
        <w:rPr>
          <w:b/>
          <w:sz w:val="20"/>
        </w:rPr>
        <w:t>Masillas a base de</w:t>
      </w:r>
      <w:r>
        <w:rPr>
          <w:b/>
          <w:spacing w:val="-3"/>
          <w:sz w:val="20"/>
        </w:rPr>
        <w:t> </w:t>
      </w:r>
      <w:r>
        <w:rPr>
          <w:b/>
          <w:sz w:val="20"/>
        </w:rPr>
        <w:t>poliuretano</w:t>
      </w:r>
    </w:p>
    <w:p>
      <w:pPr>
        <w:pStyle w:val="ListParagraph"/>
        <w:numPr>
          <w:ilvl w:val="0"/>
          <w:numId w:val="83"/>
        </w:numPr>
        <w:tabs>
          <w:tab w:pos="672" w:val="left" w:leader="none"/>
        </w:tabs>
        <w:spacing w:line="240" w:lineRule="auto" w:before="157" w:after="0"/>
        <w:ind w:left="672" w:right="391" w:hanging="454"/>
        <w:jc w:val="both"/>
        <w:rPr>
          <w:sz w:val="20"/>
        </w:rPr>
      </w:pPr>
      <w:r>
        <w:rPr>
          <w:sz w:val="20"/>
        </w:rPr>
        <w:t>En juntas mayores de 5 mm debe colocarse un relleno de un material no adherente a la masilla  para limitar la</w:t>
      </w:r>
      <w:r>
        <w:rPr>
          <w:spacing w:val="-3"/>
          <w:sz w:val="20"/>
        </w:rPr>
        <w:t> </w:t>
      </w:r>
      <w:r>
        <w:rPr>
          <w:sz w:val="20"/>
        </w:rPr>
        <w:t>profundidad.</w:t>
      </w:r>
    </w:p>
    <w:p>
      <w:pPr>
        <w:pStyle w:val="ListParagraph"/>
        <w:numPr>
          <w:ilvl w:val="0"/>
          <w:numId w:val="83"/>
        </w:numPr>
        <w:tabs>
          <w:tab w:pos="671" w:val="left" w:leader="none"/>
          <w:tab w:pos="672" w:val="left" w:leader="none"/>
        </w:tabs>
        <w:spacing w:line="240" w:lineRule="auto" w:before="120" w:after="0"/>
        <w:ind w:left="671" w:right="0" w:hanging="454"/>
        <w:jc w:val="left"/>
        <w:rPr>
          <w:sz w:val="20"/>
        </w:rPr>
      </w:pPr>
      <w:r>
        <w:rPr>
          <w:sz w:val="20"/>
        </w:rPr>
        <w:t>La junta debe tener como mínimo una profundidad de 8</w:t>
      </w:r>
      <w:r>
        <w:rPr>
          <w:spacing w:val="-13"/>
          <w:sz w:val="20"/>
        </w:rPr>
        <w:t> </w:t>
      </w:r>
      <w:r>
        <w:rPr>
          <w:sz w:val="20"/>
        </w:rPr>
        <w:t>mm.</w:t>
      </w:r>
    </w:p>
    <w:p>
      <w:pPr>
        <w:pStyle w:val="ListParagraph"/>
        <w:numPr>
          <w:ilvl w:val="0"/>
          <w:numId w:val="83"/>
        </w:numPr>
        <w:tabs>
          <w:tab w:pos="671" w:val="left" w:leader="none"/>
          <w:tab w:pos="672" w:val="left" w:leader="none"/>
        </w:tabs>
        <w:spacing w:line="240" w:lineRule="auto" w:before="121" w:after="0"/>
        <w:ind w:left="671" w:right="0" w:hanging="454"/>
        <w:jc w:val="left"/>
        <w:rPr>
          <w:sz w:val="20"/>
        </w:rPr>
      </w:pPr>
      <w:r>
        <w:rPr>
          <w:sz w:val="20"/>
        </w:rPr>
        <w:t>La anchura máxima de la junta no debe ser mayor que 25</w:t>
      </w:r>
      <w:r>
        <w:rPr>
          <w:spacing w:val="-7"/>
          <w:sz w:val="20"/>
        </w:rPr>
        <w:t> </w:t>
      </w:r>
      <w:r>
        <w:rPr>
          <w:sz w:val="20"/>
        </w:rPr>
        <w:t>mm.</w:t>
      </w:r>
    </w:p>
    <w:p>
      <w:pPr>
        <w:pStyle w:val="BodyText"/>
        <w:spacing w:before="8"/>
        <w:rPr>
          <w:sz w:val="23"/>
        </w:rPr>
      </w:pPr>
    </w:p>
    <w:p>
      <w:pPr>
        <w:pStyle w:val="Heading5"/>
        <w:numPr>
          <w:ilvl w:val="4"/>
          <w:numId w:val="78"/>
        </w:numPr>
        <w:tabs>
          <w:tab w:pos="1070" w:val="left" w:leader="none"/>
        </w:tabs>
        <w:spacing w:line="240" w:lineRule="auto" w:before="0" w:after="0"/>
        <w:ind w:left="1069" w:right="0" w:hanging="852"/>
        <w:jc w:val="left"/>
      </w:pPr>
      <w:r>
        <w:rPr/>
        <w:t>Masillas a base de</w:t>
      </w:r>
      <w:r>
        <w:rPr>
          <w:spacing w:val="-5"/>
        </w:rPr>
        <w:t> </w:t>
      </w:r>
      <w:r>
        <w:rPr/>
        <w:t>siliconas</w:t>
      </w:r>
    </w:p>
    <w:p>
      <w:pPr>
        <w:pStyle w:val="BodyText"/>
        <w:spacing w:before="157"/>
        <w:ind w:left="672" w:right="391" w:hanging="454"/>
        <w:jc w:val="both"/>
      </w:pPr>
      <w:r>
        <w:rPr/>
        <w:t>1    En juntas mayores de 5 mm debe colocarse un relleno de un material no adherente a la masilla    para obtener la sección</w:t>
      </w:r>
      <w:r>
        <w:rPr>
          <w:spacing w:val="-3"/>
        </w:rPr>
        <w:t> </w:t>
      </w:r>
      <w:r>
        <w:rPr/>
        <w:t>adecuada.</w:t>
      </w:r>
    </w:p>
    <w:p>
      <w:pPr>
        <w:pStyle w:val="BodyText"/>
        <w:spacing w:before="8"/>
        <w:rPr>
          <w:sz w:val="23"/>
        </w:rPr>
      </w:pPr>
    </w:p>
    <w:p>
      <w:pPr>
        <w:pStyle w:val="Heading5"/>
        <w:numPr>
          <w:ilvl w:val="4"/>
          <w:numId w:val="78"/>
        </w:numPr>
        <w:tabs>
          <w:tab w:pos="1070" w:val="left" w:leader="none"/>
        </w:tabs>
        <w:spacing w:line="240" w:lineRule="auto" w:before="0" w:after="0"/>
        <w:ind w:left="1069" w:right="0" w:hanging="852"/>
        <w:jc w:val="left"/>
      </w:pPr>
      <w:r>
        <w:rPr/>
        <w:t>Masillas a base de resinas</w:t>
      </w:r>
      <w:r>
        <w:rPr>
          <w:spacing w:val="-6"/>
        </w:rPr>
        <w:t> </w:t>
      </w:r>
      <w:r>
        <w:rPr/>
        <w:t>acrílicas</w:t>
      </w:r>
    </w:p>
    <w:p>
      <w:pPr>
        <w:pStyle w:val="ListParagraph"/>
        <w:numPr>
          <w:ilvl w:val="0"/>
          <w:numId w:val="84"/>
        </w:numPr>
        <w:tabs>
          <w:tab w:pos="673" w:val="left" w:leader="none"/>
        </w:tabs>
        <w:spacing w:line="240" w:lineRule="auto" w:before="158" w:after="0"/>
        <w:ind w:left="672" w:right="390" w:hanging="454"/>
        <w:jc w:val="both"/>
        <w:rPr>
          <w:sz w:val="20"/>
        </w:rPr>
      </w:pPr>
      <w:r>
        <w:rPr>
          <w:sz w:val="20"/>
        </w:rPr>
        <w:t>Si el soporte es poroso y está excesivamente seco deben humedecerse ligeramente los bordes de la</w:t>
      </w:r>
      <w:r>
        <w:rPr>
          <w:spacing w:val="-2"/>
          <w:sz w:val="20"/>
        </w:rPr>
        <w:t> </w:t>
      </w:r>
      <w:r>
        <w:rPr>
          <w:sz w:val="20"/>
        </w:rPr>
        <w:t>junta.</w:t>
      </w:r>
    </w:p>
    <w:p>
      <w:pPr>
        <w:pStyle w:val="ListParagraph"/>
        <w:numPr>
          <w:ilvl w:val="0"/>
          <w:numId w:val="84"/>
        </w:numPr>
        <w:tabs>
          <w:tab w:pos="672" w:val="left" w:leader="none"/>
        </w:tabs>
        <w:spacing w:line="240" w:lineRule="auto" w:before="119" w:after="0"/>
        <w:ind w:left="672" w:right="393" w:hanging="454"/>
        <w:jc w:val="both"/>
        <w:rPr>
          <w:sz w:val="20"/>
        </w:rPr>
      </w:pPr>
      <w:r>
        <w:rPr>
          <w:sz w:val="20"/>
        </w:rPr>
        <w:t>En juntas mayores de 5 mm debe colocarse un relleno de un material no adherente a la masilla  para obtener la sección</w:t>
      </w:r>
      <w:r>
        <w:rPr>
          <w:spacing w:val="-3"/>
          <w:sz w:val="20"/>
        </w:rPr>
        <w:t> </w:t>
      </w:r>
      <w:r>
        <w:rPr>
          <w:sz w:val="20"/>
        </w:rPr>
        <w:t>adecuada.</w:t>
      </w:r>
    </w:p>
    <w:p>
      <w:pPr>
        <w:pStyle w:val="ListParagraph"/>
        <w:numPr>
          <w:ilvl w:val="0"/>
          <w:numId w:val="84"/>
        </w:numPr>
        <w:tabs>
          <w:tab w:pos="671" w:val="left" w:leader="none"/>
          <w:tab w:pos="672" w:val="left" w:leader="none"/>
        </w:tabs>
        <w:spacing w:line="240" w:lineRule="auto" w:before="121" w:after="0"/>
        <w:ind w:left="671" w:right="0" w:hanging="454"/>
        <w:jc w:val="left"/>
        <w:rPr>
          <w:sz w:val="20"/>
        </w:rPr>
      </w:pPr>
      <w:r>
        <w:rPr>
          <w:sz w:val="20"/>
        </w:rPr>
        <w:t>La junta debe tener como mínimo una profundidad de 10</w:t>
      </w:r>
      <w:r>
        <w:rPr>
          <w:spacing w:val="-13"/>
          <w:sz w:val="20"/>
        </w:rPr>
        <w:t> </w:t>
      </w:r>
      <w:r>
        <w:rPr>
          <w:sz w:val="20"/>
        </w:rPr>
        <w:t>mm.</w:t>
      </w:r>
    </w:p>
    <w:p>
      <w:pPr>
        <w:pStyle w:val="ListParagraph"/>
        <w:numPr>
          <w:ilvl w:val="0"/>
          <w:numId w:val="84"/>
        </w:numPr>
        <w:tabs>
          <w:tab w:pos="671" w:val="left" w:leader="none"/>
          <w:tab w:pos="672" w:val="left" w:leader="none"/>
        </w:tabs>
        <w:spacing w:line="240" w:lineRule="auto" w:before="119" w:after="0"/>
        <w:ind w:left="671" w:right="0" w:hanging="454"/>
        <w:jc w:val="left"/>
        <w:rPr>
          <w:sz w:val="20"/>
        </w:rPr>
      </w:pPr>
      <w:r>
        <w:rPr>
          <w:sz w:val="20"/>
        </w:rPr>
        <w:t>La anchura máxima de la junta no debe ser mayor que 25</w:t>
      </w:r>
      <w:r>
        <w:rPr>
          <w:spacing w:val="-7"/>
          <w:sz w:val="20"/>
        </w:rPr>
        <w:t> </w:t>
      </w:r>
      <w:r>
        <w:rPr>
          <w:sz w:val="20"/>
        </w:rPr>
        <w:t>mm.</w:t>
      </w:r>
    </w:p>
    <w:p>
      <w:pPr>
        <w:pStyle w:val="BodyText"/>
        <w:spacing w:before="9"/>
        <w:rPr>
          <w:sz w:val="23"/>
        </w:rPr>
      </w:pPr>
    </w:p>
    <w:p>
      <w:pPr>
        <w:pStyle w:val="Heading5"/>
        <w:numPr>
          <w:ilvl w:val="4"/>
          <w:numId w:val="78"/>
        </w:numPr>
        <w:tabs>
          <w:tab w:pos="1071" w:val="left" w:leader="none"/>
        </w:tabs>
        <w:spacing w:line="240" w:lineRule="auto" w:before="0" w:after="0"/>
        <w:ind w:left="1070" w:right="0" w:hanging="853"/>
        <w:jc w:val="left"/>
      </w:pPr>
      <w:r>
        <w:rPr/>
        <w:t>Masillas</w:t>
      </w:r>
      <w:r>
        <w:rPr>
          <w:spacing w:val="-2"/>
        </w:rPr>
        <w:t> </w:t>
      </w:r>
      <w:r>
        <w:rPr/>
        <w:t>asfálticas</w:t>
      </w:r>
    </w:p>
    <w:p>
      <w:pPr>
        <w:pStyle w:val="BodyText"/>
        <w:tabs>
          <w:tab w:pos="671" w:val="left" w:leader="none"/>
        </w:tabs>
        <w:spacing w:before="157"/>
        <w:ind w:left="218"/>
      </w:pPr>
      <w:r>
        <w:rPr/>
        <w:t>1</w:t>
        <w:tab/>
        <w:t>Deben aplicarse directamente en frío sobre las</w:t>
      </w:r>
      <w:r>
        <w:rPr>
          <w:spacing w:val="-6"/>
        </w:rPr>
        <w:t> </w:t>
      </w:r>
      <w:r>
        <w:rPr/>
        <w:t>juntas.</w:t>
      </w:r>
    </w:p>
    <w:p>
      <w:pPr>
        <w:pStyle w:val="BodyText"/>
        <w:spacing w:before="9"/>
        <w:rPr>
          <w:sz w:val="22"/>
        </w:rPr>
      </w:pPr>
    </w:p>
    <w:p>
      <w:pPr>
        <w:pStyle w:val="Heading5"/>
        <w:numPr>
          <w:ilvl w:val="3"/>
          <w:numId w:val="78"/>
        </w:numPr>
        <w:tabs>
          <w:tab w:pos="928" w:val="left" w:leader="none"/>
        </w:tabs>
        <w:spacing w:line="240" w:lineRule="auto" w:before="0" w:after="0"/>
        <w:ind w:left="927" w:right="0" w:hanging="710"/>
        <w:jc w:val="left"/>
        <w:rPr>
          <w:i/>
        </w:rPr>
      </w:pPr>
      <w:r>
        <w:rPr/>
        <w:t>Condiciones de los sistemas de</w:t>
      </w:r>
      <w:r>
        <w:rPr>
          <w:spacing w:val="-4"/>
        </w:rPr>
        <w:t> </w:t>
      </w:r>
      <w:r>
        <w:rPr>
          <w:i/>
        </w:rPr>
        <w:t>drenaje</w:t>
      </w:r>
    </w:p>
    <w:p>
      <w:pPr>
        <w:spacing w:after="0" w:line="240" w:lineRule="auto"/>
        <w:jc w:val="left"/>
        <w:sectPr>
          <w:pgSz w:w="11910" w:h="16840"/>
          <w:pgMar w:header="724" w:footer="636" w:top="1320" w:bottom="840" w:left="1200" w:right="738"/>
        </w:sectPr>
      </w:pPr>
    </w:p>
    <w:p>
      <w:pPr>
        <w:pStyle w:val="ListParagraph"/>
        <w:numPr>
          <w:ilvl w:val="0"/>
          <w:numId w:val="85"/>
        </w:numPr>
        <w:tabs>
          <w:tab w:pos="672" w:val="left" w:leader="none"/>
        </w:tabs>
        <w:spacing w:line="240" w:lineRule="auto" w:before="89" w:after="0"/>
        <w:ind w:left="672" w:right="391" w:hanging="454"/>
        <w:jc w:val="both"/>
        <w:rPr>
          <w:sz w:val="20"/>
        </w:rPr>
      </w:pPr>
      <w:r>
        <w:rPr>
          <w:sz w:val="20"/>
        </w:rPr>
        <w:t>El </w:t>
      </w:r>
      <w:r>
        <w:rPr>
          <w:i/>
          <w:sz w:val="20"/>
        </w:rPr>
        <w:t>tubo drenante </w:t>
      </w:r>
      <w:r>
        <w:rPr>
          <w:sz w:val="20"/>
        </w:rPr>
        <w:t>debe rodearse de una capa de árido y ésta, a su vez, envolverse totalmente con una </w:t>
      </w:r>
      <w:r>
        <w:rPr>
          <w:i/>
          <w:sz w:val="20"/>
        </w:rPr>
        <w:t>lámina</w:t>
      </w:r>
      <w:r>
        <w:rPr>
          <w:i/>
          <w:spacing w:val="-3"/>
          <w:sz w:val="20"/>
        </w:rPr>
        <w:t> </w:t>
      </w:r>
      <w:r>
        <w:rPr>
          <w:i/>
          <w:sz w:val="20"/>
        </w:rPr>
        <w:t>filtrante</w:t>
      </w:r>
      <w:r>
        <w:rPr>
          <w:sz w:val="20"/>
        </w:rPr>
        <w:t>.</w:t>
      </w:r>
    </w:p>
    <w:p>
      <w:pPr>
        <w:pStyle w:val="ListParagraph"/>
        <w:numPr>
          <w:ilvl w:val="0"/>
          <w:numId w:val="85"/>
        </w:numPr>
        <w:tabs>
          <w:tab w:pos="671" w:val="left" w:leader="none"/>
          <w:tab w:pos="672" w:val="left" w:leader="none"/>
        </w:tabs>
        <w:spacing w:line="240" w:lineRule="auto" w:before="120" w:after="0"/>
        <w:ind w:left="671" w:right="0" w:hanging="454"/>
        <w:jc w:val="left"/>
        <w:rPr>
          <w:sz w:val="20"/>
        </w:rPr>
      </w:pPr>
      <w:r>
        <w:rPr>
          <w:sz w:val="20"/>
        </w:rPr>
        <w:t>Si</w:t>
      </w:r>
      <w:r>
        <w:rPr>
          <w:spacing w:val="13"/>
          <w:sz w:val="20"/>
        </w:rPr>
        <w:t> </w:t>
      </w:r>
      <w:r>
        <w:rPr>
          <w:sz w:val="20"/>
        </w:rPr>
        <w:t>el</w:t>
      </w:r>
      <w:r>
        <w:rPr>
          <w:spacing w:val="14"/>
          <w:sz w:val="20"/>
        </w:rPr>
        <w:t> </w:t>
      </w:r>
      <w:r>
        <w:rPr>
          <w:sz w:val="20"/>
        </w:rPr>
        <w:t>árido</w:t>
      </w:r>
      <w:r>
        <w:rPr>
          <w:spacing w:val="14"/>
          <w:sz w:val="20"/>
        </w:rPr>
        <w:t> </w:t>
      </w:r>
      <w:r>
        <w:rPr>
          <w:sz w:val="20"/>
        </w:rPr>
        <w:t>es</w:t>
      </w:r>
      <w:r>
        <w:rPr>
          <w:spacing w:val="14"/>
          <w:sz w:val="20"/>
        </w:rPr>
        <w:t> </w:t>
      </w:r>
      <w:r>
        <w:rPr>
          <w:sz w:val="20"/>
        </w:rPr>
        <w:t>de</w:t>
      </w:r>
      <w:r>
        <w:rPr>
          <w:spacing w:val="14"/>
          <w:sz w:val="20"/>
        </w:rPr>
        <w:t> </w:t>
      </w:r>
      <w:r>
        <w:rPr>
          <w:sz w:val="20"/>
        </w:rPr>
        <w:t>aluvión</w:t>
      </w:r>
      <w:r>
        <w:rPr>
          <w:spacing w:val="14"/>
          <w:sz w:val="20"/>
        </w:rPr>
        <w:t> </w:t>
      </w:r>
      <w:r>
        <w:rPr>
          <w:sz w:val="20"/>
        </w:rPr>
        <w:t>el</w:t>
      </w:r>
      <w:r>
        <w:rPr>
          <w:spacing w:val="14"/>
          <w:sz w:val="20"/>
        </w:rPr>
        <w:t> </w:t>
      </w:r>
      <w:r>
        <w:rPr>
          <w:sz w:val="20"/>
        </w:rPr>
        <w:t>espesor</w:t>
      </w:r>
      <w:r>
        <w:rPr>
          <w:spacing w:val="13"/>
          <w:sz w:val="20"/>
        </w:rPr>
        <w:t> </w:t>
      </w:r>
      <w:r>
        <w:rPr>
          <w:sz w:val="20"/>
        </w:rPr>
        <w:t>mínimo</w:t>
      </w:r>
      <w:r>
        <w:rPr>
          <w:spacing w:val="14"/>
          <w:sz w:val="20"/>
        </w:rPr>
        <w:t> </w:t>
      </w:r>
      <w:r>
        <w:rPr>
          <w:sz w:val="20"/>
        </w:rPr>
        <w:t>del</w:t>
      </w:r>
      <w:r>
        <w:rPr>
          <w:spacing w:val="14"/>
          <w:sz w:val="20"/>
        </w:rPr>
        <w:t> </w:t>
      </w:r>
      <w:r>
        <w:rPr>
          <w:sz w:val="20"/>
        </w:rPr>
        <w:t>recubrimiento</w:t>
      </w:r>
      <w:r>
        <w:rPr>
          <w:spacing w:val="15"/>
          <w:sz w:val="20"/>
        </w:rPr>
        <w:t> </w:t>
      </w:r>
      <w:r>
        <w:rPr>
          <w:sz w:val="20"/>
        </w:rPr>
        <w:t>de</w:t>
      </w:r>
      <w:r>
        <w:rPr>
          <w:spacing w:val="14"/>
          <w:sz w:val="20"/>
        </w:rPr>
        <w:t> </w:t>
      </w:r>
      <w:r>
        <w:rPr>
          <w:sz w:val="20"/>
        </w:rPr>
        <w:t>la</w:t>
      </w:r>
      <w:r>
        <w:rPr>
          <w:spacing w:val="14"/>
          <w:sz w:val="20"/>
        </w:rPr>
        <w:t> </w:t>
      </w:r>
      <w:r>
        <w:rPr>
          <w:sz w:val="20"/>
        </w:rPr>
        <w:t>capa</w:t>
      </w:r>
      <w:r>
        <w:rPr>
          <w:spacing w:val="13"/>
          <w:sz w:val="20"/>
        </w:rPr>
        <w:t> </w:t>
      </w:r>
      <w:r>
        <w:rPr>
          <w:sz w:val="20"/>
        </w:rPr>
        <w:t>de</w:t>
      </w:r>
      <w:r>
        <w:rPr>
          <w:spacing w:val="14"/>
          <w:sz w:val="20"/>
        </w:rPr>
        <w:t> </w:t>
      </w:r>
      <w:r>
        <w:rPr>
          <w:sz w:val="20"/>
        </w:rPr>
        <w:t>árido</w:t>
      </w:r>
      <w:r>
        <w:rPr>
          <w:spacing w:val="14"/>
          <w:sz w:val="20"/>
        </w:rPr>
        <w:t> </w:t>
      </w:r>
      <w:r>
        <w:rPr>
          <w:sz w:val="20"/>
        </w:rPr>
        <w:t>que</w:t>
      </w:r>
      <w:r>
        <w:rPr>
          <w:spacing w:val="14"/>
          <w:sz w:val="20"/>
        </w:rPr>
        <w:t> </w:t>
      </w:r>
      <w:r>
        <w:rPr>
          <w:sz w:val="20"/>
        </w:rPr>
        <w:t>envuelve</w:t>
      </w:r>
      <w:r>
        <w:rPr>
          <w:spacing w:val="14"/>
          <w:sz w:val="20"/>
        </w:rPr>
        <w:t> </w:t>
      </w:r>
      <w:r>
        <w:rPr>
          <w:sz w:val="20"/>
        </w:rPr>
        <w:t>el</w:t>
      </w:r>
    </w:p>
    <w:p>
      <w:pPr>
        <w:pStyle w:val="BodyText"/>
        <w:spacing w:before="1"/>
        <w:ind w:left="672"/>
      </w:pPr>
      <w:r>
        <w:rPr>
          <w:i/>
        </w:rPr>
        <w:t>tubo drenante </w:t>
      </w:r>
      <w:r>
        <w:rPr/>
        <w:t>debe ser, en cualquier punto, como mínimo 1,5 veces el diámetro del dren.</w:t>
      </w:r>
    </w:p>
    <w:p>
      <w:pPr>
        <w:pStyle w:val="ListParagraph"/>
        <w:numPr>
          <w:ilvl w:val="0"/>
          <w:numId w:val="85"/>
        </w:numPr>
        <w:tabs>
          <w:tab w:pos="672" w:val="left" w:leader="none"/>
        </w:tabs>
        <w:spacing w:line="240" w:lineRule="auto" w:before="119" w:after="0"/>
        <w:ind w:left="672" w:right="391" w:hanging="454"/>
        <w:jc w:val="both"/>
        <w:rPr>
          <w:sz w:val="20"/>
        </w:rPr>
      </w:pPr>
      <w:r>
        <w:rPr>
          <w:sz w:val="20"/>
        </w:rPr>
        <w:t>Si el árido es de machaqueo el espesor mínimo del recubrimiento de la capa de árido que envuelve el </w:t>
      </w:r>
      <w:r>
        <w:rPr>
          <w:i/>
          <w:sz w:val="20"/>
        </w:rPr>
        <w:t>tubo drenante </w:t>
      </w:r>
      <w:r>
        <w:rPr>
          <w:sz w:val="20"/>
        </w:rPr>
        <w:t>debe ser, en cualquier punto, como mínimo 3 veces el diámetro del</w:t>
      </w:r>
      <w:r>
        <w:rPr>
          <w:spacing w:val="-26"/>
          <w:sz w:val="20"/>
        </w:rPr>
        <w:t> </w:t>
      </w:r>
      <w:r>
        <w:rPr>
          <w:sz w:val="20"/>
        </w:rPr>
        <w:t>dren.</w:t>
      </w:r>
    </w:p>
    <w:p>
      <w:pPr>
        <w:pStyle w:val="BodyText"/>
        <w:spacing w:before="9"/>
        <w:rPr>
          <w:sz w:val="22"/>
        </w:rPr>
      </w:pPr>
    </w:p>
    <w:p>
      <w:pPr>
        <w:pStyle w:val="Heading5"/>
        <w:numPr>
          <w:ilvl w:val="2"/>
          <w:numId w:val="78"/>
        </w:numPr>
        <w:tabs>
          <w:tab w:pos="786" w:val="left" w:leader="none"/>
        </w:tabs>
        <w:spacing w:line="240" w:lineRule="auto" w:before="0" w:after="0"/>
        <w:ind w:left="785" w:right="0" w:hanging="568"/>
        <w:jc w:val="left"/>
      </w:pPr>
      <w:r>
        <w:rPr/>
        <w:t>Suelos</w:t>
      </w:r>
    </w:p>
    <w:p>
      <w:pPr>
        <w:pStyle w:val="BodyText"/>
        <w:rPr>
          <w:b/>
          <w:sz w:val="26"/>
        </w:rPr>
      </w:pPr>
    </w:p>
    <w:p>
      <w:pPr>
        <w:pStyle w:val="ListParagraph"/>
        <w:numPr>
          <w:ilvl w:val="3"/>
          <w:numId w:val="78"/>
        </w:numPr>
        <w:tabs>
          <w:tab w:pos="928" w:val="left" w:leader="none"/>
        </w:tabs>
        <w:spacing w:line="240" w:lineRule="auto" w:before="0" w:after="0"/>
        <w:ind w:left="927" w:right="0" w:hanging="710"/>
        <w:jc w:val="left"/>
        <w:rPr>
          <w:b/>
          <w:sz w:val="20"/>
        </w:rPr>
      </w:pPr>
      <w:r>
        <w:rPr>
          <w:b/>
          <w:sz w:val="20"/>
        </w:rPr>
        <w:t>Condiciones de los</w:t>
      </w:r>
      <w:r>
        <w:rPr>
          <w:b/>
          <w:spacing w:val="-3"/>
          <w:sz w:val="20"/>
        </w:rPr>
        <w:t> </w:t>
      </w:r>
      <w:r>
        <w:rPr>
          <w:b/>
          <w:sz w:val="20"/>
        </w:rPr>
        <w:t>pasatubos</w:t>
      </w:r>
    </w:p>
    <w:p>
      <w:pPr>
        <w:pStyle w:val="BodyText"/>
        <w:tabs>
          <w:tab w:pos="671" w:val="left" w:leader="none"/>
        </w:tabs>
        <w:spacing w:before="159"/>
        <w:ind w:left="218"/>
      </w:pPr>
      <w:r>
        <w:rPr/>
        <w:t>1</w:t>
        <w:tab/>
        <w:t>Los pasatubos deben ser flexibles para absorber los movimientos previstos y</w:t>
      </w:r>
      <w:r>
        <w:rPr>
          <w:spacing w:val="-13"/>
        </w:rPr>
        <w:t> </w:t>
      </w:r>
      <w:r>
        <w:rPr/>
        <w:t>estancos.</w:t>
      </w:r>
    </w:p>
    <w:p>
      <w:pPr>
        <w:pStyle w:val="BodyText"/>
        <w:spacing w:before="9"/>
        <w:rPr>
          <w:sz w:val="22"/>
        </w:rPr>
      </w:pPr>
    </w:p>
    <w:p>
      <w:pPr>
        <w:pStyle w:val="ListParagraph"/>
        <w:numPr>
          <w:ilvl w:val="3"/>
          <w:numId w:val="78"/>
        </w:numPr>
        <w:tabs>
          <w:tab w:pos="928" w:val="left" w:leader="none"/>
        </w:tabs>
        <w:spacing w:line="240" w:lineRule="auto" w:before="0" w:after="0"/>
        <w:ind w:left="927" w:right="0" w:hanging="710"/>
        <w:jc w:val="left"/>
        <w:rPr>
          <w:b/>
          <w:i/>
          <w:sz w:val="20"/>
        </w:rPr>
      </w:pPr>
      <w:r>
        <w:rPr>
          <w:b/>
          <w:sz w:val="20"/>
        </w:rPr>
        <w:t>Condiciones de las láminas</w:t>
      </w:r>
      <w:r>
        <w:rPr>
          <w:b/>
          <w:spacing w:val="-6"/>
          <w:sz w:val="20"/>
        </w:rPr>
        <w:t> </w:t>
      </w:r>
      <w:r>
        <w:rPr>
          <w:b/>
          <w:i/>
          <w:sz w:val="20"/>
        </w:rPr>
        <w:t>impermeabilizantes</w:t>
      </w:r>
    </w:p>
    <w:p>
      <w:pPr>
        <w:pStyle w:val="ListParagraph"/>
        <w:numPr>
          <w:ilvl w:val="0"/>
          <w:numId w:val="86"/>
        </w:numPr>
        <w:tabs>
          <w:tab w:pos="672" w:val="left" w:leader="none"/>
        </w:tabs>
        <w:spacing w:line="240" w:lineRule="auto" w:before="158" w:after="0"/>
        <w:ind w:left="672" w:right="392" w:hanging="454"/>
        <w:jc w:val="both"/>
        <w:rPr>
          <w:sz w:val="20"/>
        </w:rPr>
      </w:pPr>
      <w:r>
        <w:rPr>
          <w:sz w:val="20"/>
        </w:rPr>
        <w:t>Las láminas deben aplicarse en unas condiciones térmicas ambientales que se encuentren dentro de los márgenes prescritos en las correspondientes especificaciones de</w:t>
      </w:r>
      <w:r>
        <w:rPr>
          <w:spacing w:val="-17"/>
          <w:sz w:val="20"/>
        </w:rPr>
        <w:t> </w:t>
      </w:r>
      <w:r>
        <w:rPr>
          <w:sz w:val="20"/>
        </w:rPr>
        <w:t>aplicación.</w:t>
      </w:r>
    </w:p>
    <w:p>
      <w:pPr>
        <w:pStyle w:val="ListParagraph"/>
        <w:numPr>
          <w:ilvl w:val="0"/>
          <w:numId w:val="86"/>
        </w:numPr>
        <w:tabs>
          <w:tab w:pos="672" w:val="left" w:leader="none"/>
        </w:tabs>
        <w:spacing w:line="240" w:lineRule="auto" w:before="120" w:after="0"/>
        <w:ind w:left="672" w:right="391" w:hanging="454"/>
        <w:jc w:val="both"/>
        <w:rPr>
          <w:sz w:val="20"/>
        </w:rPr>
      </w:pPr>
      <w:r>
        <w:rPr>
          <w:sz w:val="20"/>
        </w:rPr>
        <w:t>Las láminas deben aplicarse cuando el suelo esté suficientemente seco de acuerdo con las correspondientes especificaciones de</w:t>
      </w:r>
      <w:r>
        <w:rPr>
          <w:spacing w:val="-1"/>
          <w:sz w:val="20"/>
        </w:rPr>
        <w:t> </w:t>
      </w:r>
      <w:r>
        <w:rPr>
          <w:sz w:val="20"/>
        </w:rPr>
        <w:t>aplicación.</w:t>
      </w:r>
    </w:p>
    <w:p>
      <w:pPr>
        <w:pStyle w:val="ListParagraph"/>
        <w:numPr>
          <w:ilvl w:val="0"/>
          <w:numId w:val="86"/>
        </w:numPr>
        <w:tabs>
          <w:tab w:pos="672" w:val="left" w:leader="none"/>
        </w:tabs>
        <w:spacing w:line="240" w:lineRule="auto" w:before="120" w:after="0"/>
        <w:ind w:left="672" w:right="390" w:hanging="454"/>
        <w:jc w:val="both"/>
        <w:rPr>
          <w:sz w:val="20"/>
        </w:rPr>
      </w:pPr>
      <w:r>
        <w:rPr>
          <w:sz w:val="20"/>
        </w:rPr>
        <w:t>Las láminas deben aplicarse de tal forma que no entren en contacto materiales incompatibles químicamente.</w:t>
      </w:r>
    </w:p>
    <w:p>
      <w:pPr>
        <w:pStyle w:val="ListParagraph"/>
        <w:numPr>
          <w:ilvl w:val="0"/>
          <w:numId w:val="86"/>
        </w:numPr>
        <w:tabs>
          <w:tab w:pos="673" w:val="left" w:leader="none"/>
        </w:tabs>
        <w:spacing w:line="240" w:lineRule="auto" w:before="120" w:after="0"/>
        <w:ind w:left="672" w:right="392" w:hanging="454"/>
        <w:jc w:val="both"/>
        <w:rPr>
          <w:sz w:val="20"/>
        </w:rPr>
      </w:pPr>
      <w:r>
        <w:rPr>
          <w:sz w:val="20"/>
        </w:rPr>
        <w:t>Deben respetarse en las uniones de las láminas los solapos mínimos prescritos en las correspondientes especificaciones de</w:t>
      </w:r>
      <w:r>
        <w:rPr>
          <w:spacing w:val="-1"/>
          <w:sz w:val="20"/>
        </w:rPr>
        <w:t> </w:t>
      </w:r>
      <w:r>
        <w:rPr>
          <w:sz w:val="20"/>
        </w:rPr>
        <w:t>aplicación.</w:t>
      </w:r>
    </w:p>
    <w:p>
      <w:pPr>
        <w:pStyle w:val="ListParagraph"/>
        <w:numPr>
          <w:ilvl w:val="0"/>
          <w:numId w:val="86"/>
        </w:numPr>
        <w:tabs>
          <w:tab w:pos="672" w:val="left" w:leader="none"/>
        </w:tabs>
        <w:spacing w:line="240" w:lineRule="auto" w:before="120" w:after="0"/>
        <w:ind w:left="672" w:right="394" w:hanging="454"/>
        <w:jc w:val="both"/>
        <w:rPr>
          <w:sz w:val="20"/>
        </w:rPr>
      </w:pPr>
      <w:r>
        <w:rPr>
          <w:sz w:val="20"/>
        </w:rPr>
        <w:t>La superficie donde va a aplicarse la </w:t>
      </w:r>
      <w:r>
        <w:rPr>
          <w:i/>
          <w:sz w:val="20"/>
        </w:rPr>
        <w:t>impermeabilización </w:t>
      </w:r>
      <w:r>
        <w:rPr>
          <w:sz w:val="20"/>
        </w:rPr>
        <w:t>no debe presentar algún tipo de resaltos de materiales que puedan suponer un riesgo de</w:t>
      </w:r>
      <w:r>
        <w:rPr>
          <w:spacing w:val="-7"/>
          <w:sz w:val="20"/>
        </w:rPr>
        <w:t> </w:t>
      </w:r>
      <w:r>
        <w:rPr>
          <w:sz w:val="20"/>
        </w:rPr>
        <w:t>punzonamiento.</w:t>
      </w:r>
    </w:p>
    <w:p>
      <w:pPr>
        <w:pStyle w:val="ListParagraph"/>
        <w:numPr>
          <w:ilvl w:val="0"/>
          <w:numId w:val="86"/>
        </w:numPr>
        <w:tabs>
          <w:tab w:pos="673" w:val="left" w:leader="none"/>
        </w:tabs>
        <w:spacing w:line="240" w:lineRule="auto" w:before="120" w:after="0"/>
        <w:ind w:left="671" w:right="392" w:hanging="454"/>
        <w:jc w:val="both"/>
        <w:rPr>
          <w:sz w:val="20"/>
        </w:rPr>
      </w:pPr>
      <w:r>
        <w:rPr>
          <w:sz w:val="20"/>
        </w:rPr>
        <w:t>Deben aplicarse imprimaciones sobre los hormigones de regulación o limpieza y las cimentaciones en el caso de aplicar láminas adheridas y en el perímetro de fijación en el caso de aplicar láminas no</w:t>
      </w:r>
      <w:r>
        <w:rPr>
          <w:spacing w:val="-1"/>
          <w:sz w:val="20"/>
        </w:rPr>
        <w:t> </w:t>
      </w:r>
      <w:r>
        <w:rPr>
          <w:sz w:val="20"/>
        </w:rPr>
        <w:t>adheridas.</w:t>
      </w:r>
    </w:p>
    <w:p>
      <w:pPr>
        <w:pStyle w:val="ListParagraph"/>
        <w:numPr>
          <w:ilvl w:val="0"/>
          <w:numId w:val="86"/>
        </w:numPr>
        <w:tabs>
          <w:tab w:pos="672" w:val="left" w:leader="none"/>
        </w:tabs>
        <w:spacing w:line="240" w:lineRule="auto" w:before="121" w:after="0"/>
        <w:ind w:left="671" w:right="393" w:hanging="454"/>
        <w:jc w:val="both"/>
        <w:rPr>
          <w:sz w:val="20"/>
        </w:rPr>
      </w:pPr>
      <w:r>
        <w:rPr>
          <w:sz w:val="20"/>
        </w:rPr>
        <w:t>En la aplicación de las láminas </w:t>
      </w:r>
      <w:r>
        <w:rPr>
          <w:i/>
          <w:sz w:val="20"/>
        </w:rPr>
        <w:t>impermeabilizantes </w:t>
      </w:r>
      <w:r>
        <w:rPr>
          <w:sz w:val="20"/>
        </w:rPr>
        <w:t>deben colocarse bandas de refuerzo en los cambios de</w:t>
      </w:r>
      <w:r>
        <w:rPr>
          <w:spacing w:val="-3"/>
          <w:sz w:val="20"/>
        </w:rPr>
        <w:t> </w:t>
      </w:r>
      <w:r>
        <w:rPr>
          <w:sz w:val="20"/>
        </w:rPr>
        <w:t>dirección.</w:t>
      </w:r>
    </w:p>
    <w:p>
      <w:pPr>
        <w:pStyle w:val="BodyText"/>
        <w:spacing w:before="8"/>
        <w:rPr>
          <w:sz w:val="22"/>
        </w:rPr>
      </w:pPr>
    </w:p>
    <w:p>
      <w:pPr>
        <w:pStyle w:val="Heading5"/>
        <w:numPr>
          <w:ilvl w:val="3"/>
          <w:numId w:val="78"/>
        </w:numPr>
        <w:tabs>
          <w:tab w:pos="928" w:val="left" w:leader="none"/>
        </w:tabs>
        <w:spacing w:line="240" w:lineRule="auto" w:before="0" w:after="0"/>
        <w:ind w:left="927" w:right="0" w:hanging="710"/>
        <w:jc w:val="left"/>
      </w:pPr>
      <w:r>
        <w:rPr/>
        <w:t>Condiciones de las</w:t>
      </w:r>
      <w:r>
        <w:rPr>
          <w:spacing w:val="-2"/>
        </w:rPr>
        <w:t> </w:t>
      </w:r>
      <w:r>
        <w:rPr/>
        <w:t>arquetas</w:t>
      </w:r>
    </w:p>
    <w:p>
      <w:pPr>
        <w:pStyle w:val="BodyText"/>
        <w:spacing w:before="159"/>
        <w:ind w:left="671" w:right="391" w:hanging="454"/>
        <w:jc w:val="both"/>
      </w:pPr>
      <w:r>
        <w:rPr/>
        <w:t>1 Deben sellarse todas las tapas de arquetas al propio marco mediante bandas de caucho o similares que permitan el</w:t>
      </w:r>
      <w:r>
        <w:rPr>
          <w:spacing w:val="-2"/>
        </w:rPr>
        <w:t> </w:t>
      </w:r>
      <w:r>
        <w:rPr/>
        <w:t>registro.</w:t>
      </w:r>
    </w:p>
    <w:p>
      <w:pPr>
        <w:pStyle w:val="BodyText"/>
        <w:spacing w:before="8"/>
        <w:rPr>
          <w:sz w:val="22"/>
        </w:rPr>
      </w:pPr>
    </w:p>
    <w:p>
      <w:pPr>
        <w:pStyle w:val="Heading5"/>
        <w:numPr>
          <w:ilvl w:val="3"/>
          <w:numId w:val="78"/>
        </w:numPr>
        <w:tabs>
          <w:tab w:pos="927" w:val="left" w:leader="none"/>
        </w:tabs>
        <w:spacing w:line="240" w:lineRule="auto" w:before="0" w:after="0"/>
        <w:ind w:left="926" w:right="0" w:hanging="709"/>
        <w:jc w:val="left"/>
      </w:pPr>
      <w:r>
        <w:rPr/>
        <w:t>Condiciones del hormigón de</w:t>
      </w:r>
      <w:r>
        <w:rPr>
          <w:spacing w:val="-5"/>
        </w:rPr>
        <w:t> </w:t>
      </w:r>
      <w:r>
        <w:rPr/>
        <w:t>limpieza</w:t>
      </w:r>
    </w:p>
    <w:p>
      <w:pPr>
        <w:pStyle w:val="ListParagraph"/>
        <w:numPr>
          <w:ilvl w:val="0"/>
          <w:numId w:val="87"/>
        </w:numPr>
        <w:tabs>
          <w:tab w:pos="672" w:val="left" w:leader="none"/>
        </w:tabs>
        <w:spacing w:line="240" w:lineRule="auto" w:before="159" w:after="0"/>
        <w:ind w:left="671" w:right="391" w:hanging="454"/>
        <w:jc w:val="both"/>
        <w:rPr>
          <w:sz w:val="20"/>
        </w:rPr>
      </w:pPr>
      <w:r>
        <w:rPr>
          <w:sz w:val="20"/>
        </w:rPr>
        <w:t>El terreno inferior de las </w:t>
      </w:r>
      <w:r>
        <w:rPr>
          <w:i/>
          <w:sz w:val="20"/>
        </w:rPr>
        <w:t>soleras </w:t>
      </w:r>
      <w:r>
        <w:rPr>
          <w:sz w:val="20"/>
        </w:rPr>
        <w:t>y </w:t>
      </w:r>
      <w:r>
        <w:rPr>
          <w:i/>
          <w:sz w:val="20"/>
        </w:rPr>
        <w:t>placas </w:t>
      </w:r>
      <w:r>
        <w:rPr>
          <w:sz w:val="20"/>
        </w:rPr>
        <w:t>drenadas debe compactarse y tener como mínimo una pendiente del</w:t>
      </w:r>
      <w:r>
        <w:rPr>
          <w:spacing w:val="-3"/>
          <w:sz w:val="20"/>
        </w:rPr>
        <w:t> </w:t>
      </w:r>
      <w:r>
        <w:rPr>
          <w:sz w:val="20"/>
        </w:rPr>
        <w:t>1%.</w:t>
      </w:r>
    </w:p>
    <w:p>
      <w:pPr>
        <w:pStyle w:val="ListParagraph"/>
        <w:numPr>
          <w:ilvl w:val="0"/>
          <w:numId w:val="87"/>
        </w:numPr>
        <w:tabs>
          <w:tab w:pos="672" w:val="left" w:leader="none"/>
        </w:tabs>
        <w:spacing w:line="240" w:lineRule="auto" w:before="119" w:after="0"/>
        <w:ind w:left="671" w:right="393" w:hanging="454"/>
        <w:jc w:val="both"/>
        <w:rPr>
          <w:sz w:val="20"/>
        </w:rPr>
      </w:pPr>
      <w:r>
        <w:rPr>
          <w:sz w:val="20"/>
        </w:rPr>
        <w:t>Cuando deba colocarse una lámina </w:t>
      </w:r>
      <w:r>
        <w:rPr>
          <w:i/>
          <w:sz w:val="20"/>
        </w:rPr>
        <w:t>impermeabilizante </w:t>
      </w:r>
      <w:r>
        <w:rPr>
          <w:sz w:val="20"/>
        </w:rPr>
        <w:t>sobre el hormigón de limpieza del suelo o de la cimentación, la superficie de dicho hormigón debe</w:t>
      </w:r>
      <w:r>
        <w:rPr>
          <w:spacing w:val="-5"/>
          <w:sz w:val="20"/>
        </w:rPr>
        <w:t> </w:t>
      </w:r>
      <w:r>
        <w:rPr>
          <w:sz w:val="20"/>
        </w:rPr>
        <w:t>allanarse.</w:t>
      </w:r>
    </w:p>
    <w:p>
      <w:pPr>
        <w:pStyle w:val="BodyText"/>
        <w:spacing w:before="8"/>
        <w:rPr>
          <w:sz w:val="22"/>
        </w:rPr>
      </w:pPr>
    </w:p>
    <w:p>
      <w:pPr>
        <w:pStyle w:val="Heading5"/>
        <w:numPr>
          <w:ilvl w:val="2"/>
          <w:numId w:val="78"/>
        </w:numPr>
        <w:tabs>
          <w:tab w:pos="720" w:val="left" w:leader="none"/>
        </w:tabs>
        <w:spacing w:line="240" w:lineRule="auto" w:before="1" w:after="0"/>
        <w:ind w:left="719" w:right="0" w:hanging="502"/>
        <w:jc w:val="left"/>
      </w:pPr>
      <w:r>
        <w:rPr/>
        <w:t>Fachadas</w:t>
      </w:r>
    </w:p>
    <w:p>
      <w:pPr>
        <w:pStyle w:val="BodyText"/>
        <w:spacing w:before="1"/>
        <w:rPr>
          <w:b/>
          <w:sz w:val="26"/>
        </w:rPr>
      </w:pPr>
    </w:p>
    <w:p>
      <w:pPr>
        <w:pStyle w:val="ListParagraph"/>
        <w:numPr>
          <w:ilvl w:val="3"/>
          <w:numId w:val="78"/>
        </w:numPr>
        <w:tabs>
          <w:tab w:pos="928" w:val="left" w:leader="none"/>
        </w:tabs>
        <w:spacing w:line="240" w:lineRule="auto" w:before="0" w:after="0"/>
        <w:ind w:left="927" w:right="0" w:hanging="710"/>
        <w:jc w:val="left"/>
        <w:rPr>
          <w:b/>
          <w:i/>
          <w:sz w:val="20"/>
        </w:rPr>
      </w:pPr>
      <w:r>
        <w:rPr>
          <w:b/>
          <w:sz w:val="20"/>
        </w:rPr>
        <w:t>Condiciones de la </w:t>
      </w:r>
      <w:r>
        <w:rPr>
          <w:b/>
          <w:i/>
          <w:sz w:val="20"/>
        </w:rPr>
        <w:t>hoja</w:t>
      </w:r>
      <w:r>
        <w:rPr>
          <w:b/>
          <w:i/>
          <w:spacing w:val="-5"/>
          <w:sz w:val="20"/>
        </w:rPr>
        <w:t> </w:t>
      </w:r>
      <w:r>
        <w:rPr>
          <w:b/>
          <w:i/>
          <w:sz w:val="20"/>
        </w:rPr>
        <w:t>principal</w:t>
      </w:r>
    </w:p>
    <w:p>
      <w:pPr>
        <w:pStyle w:val="ListParagraph"/>
        <w:numPr>
          <w:ilvl w:val="0"/>
          <w:numId w:val="88"/>
        </w:numPr>
        <w:tabs>
          <w:tab w:pos="672" w:val="left" w:leader="none"/>
        </w:tabs>
        <w:spacing w:line="240" w:lineRule="auto" w:before="158" w:after="0"/>
        <w:ind w:left="671" w:right="390" w:hanging="454"/>
        <w:jc w:val="both"/>
        <w:rPr>
          <w:sz w:val="20"/>
        </w:rPr>
      </w:pPr>
      <w:r>
        <w:rPr>
          <w:sz w:val="20"/>
        </w:rPr>
        <w:t>Cuando la </w:t>
      </w:r>
      <w:r>
        <w:rPr>
          <w:i/>
          <w:sz w:val="20"/>
        </w:rPr>
        <w:t>hoja principal </w:t>
      </w:r>
      <w:r>
        <w:rPr>
          <w:sz w:val="20"/>
        </w:rPr>
        <w:t>sea de ladrillo, deben sumergirse en agua brevemente antes de su colocación, excepto los ladrillos hidrofugados y aquellos cuya </w:t>
      </w:r>
      <w:r>
        <w:rPr>
          <w:i/>
          <w:sz w:val="20"/>
        </w:rPr>
        <w:t>succión </w:t>
      </w:r>
      <w:r>
        <w:rPr>
          <w:sz w:val="20"/>
        </w:rPr>
        <w:t>sea inferior a 1 kg/(m</w:t>
      </w:r>
      <w:r>
        <w:rPr>
          <w:position w:val="7"/>
          <w:sz w:val="13"/>
        </w:rPr>
        <w:t>2</w:t>
      </w:r>
      <w:r>
        <w:rPr>
          <w:sz w:val="20"/>
        </w:rPr>
        <w:t>.min) según el ensayo descrito en UNE EN 772 11:2001 y UNE EN 772-11:2001/A1:2006. Cuando se utilicen juntas con resistencia a la filtración alta o media, el material constituyente de la hoja debe humedecerse antes de</w:t>
      </w:r>
      <w:r>
        <w:rPr>
          <w:spacing w:val="-4"/>
          <w:sz w:val="20"/>
        </w:rPr>
        <w:t> </w:t>
      </w:r>
      <w:r>
        <w:rPr>
          <w:sz w:val="20"/>
        </w:rPr>
        <w:t>colocarse.</w:t>
      </w:r>
    </w:p>
    <w:p>
      <w:pPr>
        <w:pStyle w:val="ListParagraph"/>
        <w:numPr>
          <w:ilvl w:val="0"/>
          <w:numId w:val="88"/>
        </w:numPr>
        <w:tabs>
          <w:tab w:pos="671" w:val="left" w:leader="none"/>
          <w:tab w:pos="672" w:val="left" w:leader="none"/>
        </w:tabs>
        <w:spacing w:line="240" w:lineRule="auto" w:before="116" w:after="0"/>
        <w:ind w:left="671" w:right="0" w:hanging="454"/>
        <w:jc w:val="left"/>
        <w:rPr>
          <w:sz w:val="20"/>
        </w:rPr>
      </w:pPr>
      <w:r>
        <w:rPr>
          <w:sz w:val="20"/>
        </w:rPr>
        <w:t>Deben dejarse </w:t>
      </w:r>
      <w:r>
        <w:rPr>
          <w:i/>
          <w:sz w:val="20"/>
        </w:rPr>
        <w:t>enjarjes </w:t>
      </w:r>
      <w:r>
        <w:rPr>
          <w:sz w:val="20"/>
        </w:rPr>
        <w:t>en todas las hiladas de los encuentros y las esquinas para trabar la</w:t>
      </w:r>
      <w:r>
        <w:rPr>
          <w:spacing w:val="-30"/>
          <w:sz w:val="20"/>
        </w:rPr>
        <w:t> </w:t>
      </w:r>
      <w:r>
        <w:rPr>
          <w:sz w:val="20"/>
        </w:rPr>
        <w:t>fábrica.</w:t>
      </w:r>
    </w:p>
    <w:p>
      <w:pPr>
        <w:spacing w:after="0" w:line="240" w:lineRule="auto"/>
        <w:jc w:val="left"/>
        <w:rPr>
          <w:sz w:val="20"/>
        </w:rPr>
        <w:sectPr>
          <w:pgSz w:w="11910" w:h="16840"/>
          <w:pgMar w:header="724" w:footer="636" w:top="1320" w:bottom="840" w:left="1200" w:right="738"/>
        </w:sectPr>
      </w:pPr>
    </w:p>
    <w:p>
      <w:pPr>
        <w:pStyle w:val="ListParagraph"/>
        <w:numPr>
          <w:ilvl w:val="0"/>
          <w:numId w:val="88"/>
        </w:numPr>
        <w:tabs>
          <w:tab w:pos="672" w:val="left" w:leader="none"/>
        </w:tabs>
        <w:spacing w:line="240" w:lineRule="auto" w:before="89" w:after="0"/>
        <w:ind w:left="672" w:right="391" w:hanging="454"/>
        <w:jc w:val="both"/>
        <w:rPr>
          <w:sz w:val="20"/>
        </w:rPr>
      </w:pPr>
      <w:r>
        <w:rPr>
          <w:sz w:val="20"/>
        </w:rPr>
        <w:t>Cuando la </w:t>
      </w:r>
      <w:r>
        <w:rPr>
          <w:i/>
          <w:sz w:val="20"/>
        </w:rPr>
        <w:t>hoja principal </w:t>
      </w:r>
      <w:r>
        <w:rPr>
          <w:sz w:val="20"/>
        </w:rPr>
        <w:t>no esté interrumpida por los pilares, el anclaje de dicha hoja a los pilares debe realizarse de tal forma que no se produzcan agrietamientos en la misma. Cuando se ejecute la </w:t>
      </w:r>
      <w:r>
        <w:rPr>
          <w:i/>
          <w:sz w:val="20"/>
        </w:rPr>
        <w:t>hoja principal </w:t>
      </w:r>
      <w:r>
        <w:rPr>
          <w:sz w:val="20"/>
        </w:rPr>
        <w:t>debe evitarse la adherencia de ésta con los</w:t>
      </w:r>
      <w:r>
        <w:rPr>
          <w:spacing w:val="-13"/>
          <w:sz w:val="20"/>
        </w:rPr>
        <w:t> </w:t>
      </w:r>
      <w:r>
        <w:rPr>
          <w:sz w:val="20"/>
        </w:rPr>
        <w:t>pilares.</w:t>
      </w:r>
    </w:p>
    <w:p>
      <w:pPr>
        <w:pStyle w:val="ListParagraph"/>
        <w:numPr>
          <w:ilvl w:val="0"/>
          <w:numId w:val="88"/>
        </w:numPr>
        <w:tabs>
          <w:tab w:pos="672" w:val="left" w:leader="none"/>
        </w:tabs>
        <w:spacing w:line="240" w:lineRule="auto" w:before="121" w:after="0"/>
        <w:ind w:left="671" w:right="391" w:hanging="454"/>
        <w:jc w:val="both"/>
        <w:rPr>
          <w:sz w:val="20"/>
        </w:rPr>
      </w:pPr>
      <w:r>
        <w:rPr>
          <w:sz w:val="20"/>
        </w:rPr>
        <w:t>Cuando la </w:t>
      </w:r>
      <w:r>
        <w:rPr>
          <w:i/>
          <w:sz w:val="20"/>
        </w:rPr>
        <w:t>hoja principal </w:t>
      </w:r>
      <w:r>
        <w:rPr>
          <w:sz w:val="20"/>
        </w:rPr>
        <w:t>no esté interrumpida por los forjados el anclaje de dicha hoja a los forjados, debe realizarse de tal forma que no se produzcan agrietamientos en la misma. Cuando se ejecute la </w:t>
      </w:r>
      <w:r>
        <w:rPr>
          <w:i/>
          <w:sz w:val="20"/>
        </w:rPr>
        <w:t>hoja principal </w:t>
      </w:r>
      <w:r>
        <w:rPr>
          <w:sz w:val="20"/>
        </w:rPr>
        <w:t>debe evitarse la adherencia de ésta con los</w:t>
      </w:r>
      <w:r>
        <w:rPr>
          <w:spacing w:val="-16"/>
          <w:sz w:val="20"/>
        </w:rPr>
        <w:t> </w:t>
      </w:r>
      <w:r>
        <w:rPr>
          <w:sz w:val="20"/>
        </w:rPr>
        <w:t>forjados.</w:t>
      </w:r>
    </w:p>
    <w:p>
      <w:pPr>
        <w:pStyle w:val="BodyText"/>
        <w:spacing w:before="8"/>
        <w:rPr>
          <w:sz w:val="22"/>
        </w:rPr>
      </w:pPr>
    </w:p>
    <w:p>
      <w:pPr>
        <w:pStyle w:val="Heading5"/>
        <w:numPr>
          <w:ilvl w:val="3"/>
          <w:numId w:val="78"/>
        </w:numPr>
        <w:tabs>
          <w:tab w:pos="928" w:val="left" w:leader="none"/>
        </w:tabs>
        <w:spacing w:line="240" w:lineRule="auto" w:before="0" w:after="0"/>
        <w:ind w:left="927" w:right="0" w:hanging="710"/>
        <w:jc w:val="left"/>
      </w:pPr>
      <w:r>
        <w:rPr/>
        <w:t>Condiciones del revestimiento</w:t>
      </w:r>
      <w:r>
        <w:rPr>
          <w:spacing w:val="-4"/>
        </w:rPr>
        <w:t> </w:t>
      </w:r>
      <w:r>
        <w:rPr/>
        <w:t>intermedio</w:t>
      </w:r>
    </w:p>
    <w:p>
      <w:pPr>
        <w:pStyle w:val="BodyText"/>
        <w:spacing w:before="158"/>
        <w:ind w:left="671" w:right="393" w:hanging="454"/>
        <w:jc w:val="both"/>
      </w:pPr>
      <w:r>
        <w:rPr/>
        <w:t>1 Debe disponerse adherido al elemento que sirve de soporte y aplicarse de manera uniforme sobre éste.</w:t>
      </w:r>
    </w:p>
    <w:p>
      <w:pPr>
        <w:pStyle w:val="BodyText"/>
        <w:spacing w:before="9"/>
        <w:rPr>
          <w:sz w:val="22"/>
        </w:rPr>
      </w:pPr>
    </w:p>
    <w:p>
      <w:pPr>
        <w:pStyle w:val="ListParagraph"/>
        <w:numPr>
          <w:ilvl w:val="3"/>
          <w:numId w:val="78"/>
        </w:numPr>
        <w:tabs>
          <w:tab w:pos="928" w:val="left" w:leader="none"/>
        </w:tabs>
        <w:spacing w:line="240" w:lineRule="auto" w:before="0" w:after="0"/>
        <w:ind w:left="927" w:right="0" w:hanging="710"/>
        <w:jc w:val="left"/>
        <w:rPr>
          <w:b/>
          <w:i/>
          <w:sz w:val="20"/>
        </w:rPr>
      </w:pPr>
      <w:r>
        <w:rPr>
          <w:b/>
          <w:sz w:val="20"/>
        </w:rPr>
        <w:t>Condiciones del </w:t>
      </w:r>
      <w:r>
        <w:rPr>
          <w:b/>
          <w:i/>
          <w:sz w:val="20"/>
        </w:rPr>
        <w:t>aislante</w:t>
      </w:r>
      <w:r>
        <w:rPr>
          <w:b/>
          <w:i/>
          <w:spacing w:val="-6"/>
          <w:sz w:val="20"/>
        </w:rPr>
        <w:t> </w:t>
      </w:r>
      <w:r>
        <w:rPr>
          <w:b/>
          <w:i/>
          <w:sz w:val="20"/>
        </w:rPr>
        <w:t>térmico</w:t>
      </w:r>
    </w:p>
    <w:p>
      <w:pPr>
        <w:pStyle w:val="ListParagraph"/>
        <w:numPr>
          <w:ilvl w:val="0"/>
          <w:numId w:val="89"/>
        </w:numPr>
        <w:tabs>
          <w:tab w:pos="671" w:val="left" w:leader="none"/>
          <w:tab w:pos="672" w:val="left" w:leader="none"/>
        </w:tabs>
        <w:spacing w:line="240" w:lineRule="auto" w:before="158" w:after="0"/>
        <w:ind w:left="671" w:right="0" w:hanging="454"/>
        <w:jc w:val="left"/>
        <w:rPr>
          <w:sz w:val="20"/>
        </w:rPr>
      </w:pPr>
      <w:r>
        <w:rPr>
          <w:sz w:val="20"/>
        </w:rPr>
        <w:t>Debe colocarse de forma continua y</w:t>
      </w:r>
      <w:r>
        <w:rPr>
          <w:spacing w:val="-3"/>
          <w:sz w:val="20"/>
        </w:rPr>
        <w:t> </w:t>
      </w:r>
      <w:r>
        <w:rPr>
          <w:sz w:val="20"/>
        </w:rPr>
        <w:t>estable.</w:t>
      </w:r>
    </w:p>
    <w:p>
      <w:pPr>
        <w:pStyle w:val="ListParagraph"/>
        <w:numPr>
          <w:ilvl w:val="0"/>
          <w:numId w:val="89"/>
        </w:numPr>
        <w:tabs>
          <w:tab w:pos="672" w:val="left" w:leader="none"/>
        </w:tabs>
        <w:spacing w:line="240" w:lineRule="auto" w:before="120" w:after="0"/>
        <w:ind w:left="671" w:right="392" w:hanging="454"/>
        <w:jc w:val="both"/>
        <w:rPr>
          <w:sz w:val="20"/>
        </w:rPr>
      </w:pPr>
      <w:r>
        <w:rPr>
          <w:sz w:val="20"/>
        </w:rPr>
        <w:t>Cuando el </w:t>
      </w:r>
      <w:r>
        <w:rPr>
          <w:i/>
          <w:sz w:val="20"/>
        </w:rPr>
        <w:t>aislante térmico </w:t>
      </w:r>
      <w:r>
        <w:rPr>
          <w:sz w:val="20"/>
        </w:rPr>
        <w:t>sea a base de paneles o mantas y no rellene la totalidad del espacio entre las dos hojas de la fachada, el </w:t>
      </w:r>
      <w:r>
        <w:rPr>
          <w:i/>
          <w:sz w:val="20"/>
        </w:rPr>
        <w:t>aislante térmico </w:t>
      </w:r>
      <w:r>
        <w:rPr>
          <w:sz w:val="20"/>
        </w:rPr>
        <w:t>debe disponerse en contacto con la hoja interior y deben utilizarse elementos separadores entre la hoja exterior y el</w:t>
      </w:r>
      <w:r>
        <w:rPr>
          <w:spacing w:val="-24"/>
          <w:sz w:val="20"/>
        </w:rPr>
        <w:t> </w:t>
      </w:r>
      <w:r>
        <w:rPr>
          <w:sz w:val="20"/>
        </w:rPr>
        <w:t>aislante.</w:t>
      </w:r>
    </w:p>
    <w:p>
      <w:pPr>
        <w:pStyle w:val="BodyText"/>
        <w:spacing w:before="9"/>
        <w:rPr>
          <w:sz w:val="22"/>
        </w:rPr>
      </w:pPr>
    </w:p>
    <w:p>
      <w:pPr>
        <w:pStyle w:val="ListParagraph"/>
        <w:numPr>
          <w:ilvl w:val="3"/>
          <w:numId w:val="78"/>
        </w:numPr>
        <w:tabs>
          <w:tab w:pos="928" w:val="left" w:leader="none"/>
        </w:tabs>
        <w:spacing w:line="240" w:lineRule="auto" w:before="0" w:after="0"/>
        <w:ind w:left="927" w:right="0" w:hanging="710"/>
        <w:jc w:val="left"/>
        <w:rPr>
          <w:b/>
          <w:i/>
          <w:sz w:val="20"/>
        </w:rPr>
      </w:pPr>
      <w:r>
        <w:rPr>
          <w:b/>
          <w:sz w:val="20"/>
        </w:rPr>
        <w:t>Condiciones de la </w:t>
      </w:r>
      <w:r>
        <w:rPr>
          <w:b/>
          <w:i/>
          <w:sz w:val="20"/>
        </w:rPr>
        <w:t>cámara de aire</w:t>
      </w:r>
      <w:r>
        <w:rPr>
          <w:b/>
          <w:i/>
          <w:spacing w:val="-8"/>
          <w:sz w:val="20"/>
        </w:rPr>
        <w:t> </w:t>
      </w:r>
      <w:r>
        <w:rPr>
          <w:b/>
          <w:i/>
          <w:sz w:val="20"/>
        </w:rPr>
        <w:t>ventilada</w:t>
      </w:r>
    </w:p>
    <w:p>
      <w:pPr>
        <w:pStyle w:val="BodyText"/>
        <w:spacing w:before="158"/>
        <w:ind w:left="671" w:right="390" w:hanging="454"/>
        <w:jc w:val="both"/>
      </w:pPr>
      <w:r>
        <w:rPr/>
        <w:t>1 Durante la construcción de la fachada debe evitarse que caigan cascotes, rebabas de mortero y suciedad en la cámara de aire y en las </w:t>
      </w:r>
      <w:r>
        <w:rPr>
          <w:i/>
        </w:rPr>
        <w:t>llagas </w:t>
      </w:r>
      <w:r>
        <w:rPr/>
        <w:t>que se utilicen para su ventilación.</w:t>
      </w:r>
    </w:p>
    <w:p>
      <w:pPr>
        <w:pStyle w:val="BodyText"/>
        <w:spacing w:before="9"/>
        <w:rPr>
          <w:sz w:val="22"/>
        </w:rPr>
      </w:pPr>
    </w:p>
    <w:p>
      <w:pPr>
        <w:pStyle w:val="ListParagraph"/>
        <w:numPr>
          <w:ilvl w:val="3"/>
          <w:numId w:val="78"/>
        </w:numPr>
        <w:tabs>
          <w:tab w:pos="928" w:val="left" w:leader="none"/>
        </w:tabs>
        <w:spacing w:line="240" w:lineRule="auto" w:before="0" w:after="0"/>
        <w:ind w:left="927" w:right="0" w:hanging="710"/>
        <w:jc w:val="left"/>
        <w:rPr>
          <w:b/>
          <w:i/>
          <w:sz w:val="20"/>
        </w:rPr>
      </w:pPr>
      <w:r>
        <w:rPr>
          <w:b/>
          <w:sz w:val="20"/>
        </w:rPr>
        <w:t>Condiciones del </w:t>
      </w:r>
      <w:r>
        <w:rPr>
          <w:b/>
          <w:i/>
          <w:sz w:val="20"/>
        </w:rPr>
        <w:t>revestimiento</w:t>
      </w:r>
      <w:r>
        <w:rPr>
          <w:b/>
          <w:i/>
          <w:spacing w:val="-5"/>
          <w:sz w:val="20"/>
        </w:rPr>
        <w:t> </w:t>
      </w:r>
      <w:r>
        <w:rPr>
          <w:b/>
          <w:i/>
          <w:sz w:val="20"/>
        </w:rPr>
        <w:t>exterior</w:t>
      </w:r>
    </w:p>
    <w:p>
      <w:pPr>
        <w:pStyle w:val="BodyText"/>
        <w:tabs>
          <w:tab w:pos="671" w:val="left" w:leader="none"/>
        </w:tabs>
        <w:spacing w:before="158"/>
        <w:ind w:left="218"/>
      </w:pPr>
      <w:r>
        <w:rPr/>
        <w:t>1</w:t>
        <w:tab/>
        <w:t>Debe disponerse adherido o fijado al elemento que sirve de</w:t>
      </w:r>
      <w:r>
        <w:rPr>
          <w:spacing w:val="-8"/>
        </w:rPr>
        <w:t> </w:t>
      </w:r>
      <w:r>
        <w:rPr/>
        <w:t>soporte.</w:t>
      </w:r>
    </w:p>
    <w:p>
      <w:pPr>
        <w:pStyle w:val="BodyText"/>
        <w:spacing w:before="9"/>
        <w:rPr>
          <w:sz w:val="22"/>
        </w:rPr>
      </w:pPr>
    </w:p>
    <w:p>
      <w:pPr>
        <w:pStyle w:val="Heading5"/>
        <w:numPr>
          <w:ilvl w:val="3"/>
          <w:numId w:val="78"/>
        </w:numPr>
        <w:tabs>
          <w:tab w:pos="928" w:val="left" w:leader="none"/>
        </w:tabs>
        <w:spacing w:line="240" w:lineRule="auto" w:before="0" w:after="0"/>
        <w:ind w:left="927" w:right="0" w:hanging="710"/>
        <w:jc w:val="left"/>
      </w:pPr>
      <w:r>
        <w:rPr/>
        <w:t>Condiciones de los puntos</w:t>
      </w:r>
      <w:r>
        <w:rPr>
          <w:spacing w:val="-3"/>
        </w:rPr>
        <w:t> </w:t>
      </w:r>
      <w:r>
        <w:rPr/>
        <w:t>singulares</w:t>
      </w:r>
    </w:p>
    <w:p>
      <w:pPr>
        <w:pStyle w:val="BodyText"/>
        <w:spacing w:before="159"/>
        <w:ind w:left="672" w:right="392" w:hanging="454"/>
        <w:jc w:val="both"/>
      </w:pPr>
      <w:r>
        <w:rPr/>
        <w:t>1 Las juntas de dilatación deben ejecutarse aplomadas y deben dejarse limpias para la aplicación del relleno y del</w:t>
      </w:r>
      <w:r>
        <w:rPr>
          <w:spacing w:val="-1"/>
        </w:rPr>
        <w:t> </w:t>
      </w:r>
      <w:r>
        <w:rPr/>
        <w:t>sellado.</w:t>
      </w:r>
    </w:p>
    <w:p>
      <w:pPr>
        <w:pStyle w:val="BodyText"/>
        <w:spacing w:before="8"/>
        <w:rPr>
          <w:sz w:val="22"/>
        </w:rPr>
      </w:pPr>
    </w:p>
    <w:p>
      <w:pPr>
        <w:pStyle w:val="Heading5"/>
        <w:numPr>
          <w:ilvl w:val="2"/>
          <w:numId w:val="78"/>
        </w:numPr>
        <w:tabs>
          <w:tab w:pos="787" w:val="left" w:leader="none"/>
        </w:tabs>
        <w:spacing w:line="240" w:lineRule="auto" w:before="0" w:after="0"/>
        <w:ind w:left="786" w:right="0" w:hanging="569"/>
        <w:jc w:val="left"/>
      </w:pPr>
      <w:r>
        <w:rPr/>
        <w:t>Cubiertas</w:t>
      </w:r>
    </w:p>
    <w:p>
      <w:pPr>
        <w:pStyle w:val="BodyText"/>
        <w:spacing w:before="1"/>
        <w:rPr>
          <w:b/>
          <w:sz w:val="26"/>
        </w:rPr>
      </w:pPr>
    </w:p>
    <w:p>
      <w:pPr>
        <w:pStyle w:val="ListParagraph"/>
        <w:numPr>
          <w:ilvl w:val="3"/>
          <w:numId w:val="78"/>
        </w:numPr>
        <w:tabs>
          <w:tab w:pos="928" w:val="left" w:leader="none"/>
        </w:tabs>
        <w:spacing w:line="240" w:lineRule="auto" w:before="0" w:after="0"/>
        <w:ind w:left="927" w:right="0" w:hanging="710"/>
        <w:jc w:val="left"/>
        <w:rPr>
          <w:b/>
          <w:sz w:val="20"/>
        </w:rPr>
      </w:pPr>
      <w:r>
        <w:rPr>
          <w:b/>
          <w:sz w:val="20"/>
        </w:rPr>
        <w:t>Condiciones de la formación de</w:t>
      </w:r>
      <w:r>
        <w:rPr>
          <w:b/>
          <w:spacing w:val="-5"/>
          <w:sz w:val="20"/>
        </w:rPr>
        <w:t> </w:t>
      </w:r>
      <w:r>
        <w:rPr>
          <w:b/>
          <w:sz w:val="20"/>
        </w:rPr>
        <w:t>pendientes</w:t>
      </w:r>
    </w:p>
    <w:p>
      <w:pPr>
        <w:spacing w:before="158"/>
        <w:ind w:left="672" w:right="391" w:hanging="454"/>
        <w:jc w:val="both"/>
        <w:rPr>
          <w:sz w:val="20"/>
        </w:rPr>
      </w:pPr>
      <w:r>
        <w:rPr>
          <w:sz w:val="20"/>
        </w:rPr>
        <w:t>1   Cuando la </w:t>
      </w:r>
      <w:r>
        <w:rPr>
          <w:i/>
          <w:sz w:val="20"/>
        </w:rPr>
        <w:t>formación de pendientes </w:t>
      </w:r>
      <w:r>
        <w:rPr>
          <w:sz w:val="20"/>
        </w:rPr>
        <w:t>sea el elemento que sirve de soporte de la </w:t>
      </w:r>
      <w:r>
        <w:rPr>
          <w:i/>
          <w:sz w:val="20"/>
        </w:rPr>
        <w:t>impermeabilización</w:t>
      </w:r>
      <w:r>
        <w:rPr>
          <w:sz w:val="20"/>
        </w:rPr>
        <w:t>,  su superficie debe ser uniforme y</w:t>
      </w:r>
      <w:r>
        <w:rPr>
          <w:spacing w:val="-5"/>
          <w:sz w:val="20"/>
        </w:rPr>
        <w:t> </w:t>
      </w:r>
      <w:r>
        <w:rPr>
          <w:sz w:val="20"/>
        </w:rPr>
        <w:t>limpia.</w:t>
      </w:r>
    </w:p>
    <w:p>
      <w:pPr>
        <w:pStyle w:val="BodyText"/>
        <w:spacing w:before="9"/>
        <w:rPr>
          <w:sz w:val="22"/>
        </w:rPr>
      </w:pPr>
    </w:p>
    <w:p>
      <w:pPr>
        <w:pStyle w:val="ListParagraph"/>
        <w:numPr>
          <w:ilvl w:val="3"/>
          <w:numId w:val="78"/>
        </w:numPr>
        <w:tabs>
          <w:tab w:pos="928" w:val="left" w:leader="none"/>
        </w:tabs>
        <w:spacing w:line="240" w:lineRule="auto" w:before="0" w:after="0"/>
        <w:ind w:left="927" w:right="0" w:hanging="710"/>
        <w:jc w:val="left"/>
        <w:rPr>
          <w:b/>
          <w:i/>
          <w:sz w:val="20"/>
        </w:rPr>
      </w:pPr>
      <w:r>
        <w:rPr>
          <w:b/>
          <w:sz w:val="20"/>
        </w:rPr>
        <w:t>Condiciones de la </w:t>
      </w:r>
      <w:r>
        <w:rPr>
          <w:b/>
          <w:i/>
          <w:sz w:val="20"/>
        </w:rPr>
        <w:t>barrera contra el</w:t>
      </w:r>
      <w:r>
        <w:rPr>
          <w:b/>
          <w:i/>
          <w:spacing w:val="-8"/>
          <w:sz w:val="20"/>
        </w:rPr>
        <w:t> </w:t>
      </w:r>
      <w:r>
        <w:rPr>
          <w:b/>
          <w:i/>
          <w:sz w:val="20"/>
        </w:rPr>
        <w:t>vapor</w:t>
      </w:r>
    </w:p>
    <w:p>
      <w:pPr>
        <w:pStyle w:val="ListParagraph"/>
        <w:numPr>
          <w:ilvl w:val="0"/>
          <w:numId w:val="90"/>
        </w:numPr>
        <w:tabs>
          <w:tab w:pos="672" w:val="left" w:leader="none"/>
        </w:tabs>
        <w:spacing w:line="240" w:lineRule="auto" w:before="158" w:after="0"/>
        <w:ind w:left="672" w:right="390" w:hanging="454"/>
        <w:jc w:val="both"/>
        <w:rPr>
          <w:sz w:val="20"/>
        </w:rPr>
      </w:pPr>
      <w:r>
        <w:rPr>
          <w:sz w:val="20"/>
        </w:rPr>
        <w:t>La </w:t>
      </w:r>
      <w:r>
        <w:rPr>
          <w:i/>
          <w:sz w:val="20"/>
        </w:rPr>
        <w:t>barrera contra el vapor </w:t>
      </w:r>
      <w:r>
        <w:rPr>
          <w:sz w:val="20"/>
        </w:rPr>
        <w:t>debe extenderse bajo el fondo y los laterales de la capa de </w:t>
      </w:r>
      <w:r>
        <w:rPr>
          <w:i/>
          <w:sz w:val="20"/>
        </w:rPr>
        <w:t>aislante </w:t>
      </w:r>
      <w:r>
        <w:rPr>
          <w:i/>
          <w:sz w:val="20"/>
        </w:rPr>
        <w:t>térmico</w:t>
      </w:r>
      <w:r>
        <w:rPr>
          <w:sz w:val="20"/>
        </w:rPr>
        <w:t>.</w:t>
      </w:r>
    </w:p>
    <w:p>
      <w:pPr>
        <w:pStyle w:val="ListParagraph"/>
        <w:numPr>
          <w:ilvl w:val="0"/>
          <w:numId w:val="90"/>
        </w:numPr>
        <w:tabs>
          <w:tab w:pos="672" w:val="left" w:leader="none"/>
        </w:tabs>
        <w:spacing w:line="240" w:lineRule="auto" w:before="121" w:after="0"/>
        <w:ind w:left="672" w:right="392" w:hanging="454"/>
        <w:jc w:val="both"/>
        <w:rPr>
          <w:sz w:val="20"/>
        </w:rPr>
      </w:pPr>
      <w:r>
        <w:rPr>
          <w:sz w:val="20"/>
        </w:rPr>
        <w:t>Debe aplicarse en unas condiciones térmicas ambientales que se encuentren dentro de los márgenes prescritos en las correspondientes especificaciones de</w:t>
      </w:r>
      <w:r>
        <w:rPr>
          <w:spacing w:val="-6"/>
          <w:sz w:val="20"/>
        </w:rPr>
        <w:t> </w:t>
      </w:r>
      <w:r>
        <w:rPr>
          <w:sz w:val="20"/>
        </w:rPr>
        <w:t>aplicación.</w:t>
      </w:r>
    </w:p>
    <w:p>
      <w:pPr>
        <w:pStyle w:val="BodyText"/>
        <w:spacing w:before="8"/>
        <w:rPr>
          <w:sz w:val="22"/>
        </w:rPr>
      </w:pPr>
    </w:p>
    <w:p>
      <w:pPr>
        <w:pStyle w:val="ListParagraph"/>
        <w:numPr>
          <w:ilvl w:val="3"/>
          <w:numId w:val="78"/>
        </w:numPr>
        <w:tabs>
          <w:tab w:pos="928" w:val="left" w:leader="none"/>
        </w:tabs>
        <w:spacing w:line="240" w:lineRule="auto" w:before="0" w:after="0"/>
        <w:ind w:left="927" w:right="0" w:hanging="710"/>
        <w:jc w:val="left"/>
        <w:rPr>
          <w:b/>
          <w:i/>
          <w:sz w:val="20"/>
        </w:rPr>
      </w:pPr>
      <w:r>
        <w:rPr>
          <w:b/>
          <w:sz w:val="20"/>
        </w:rPr>
        <w:t>Condiciones del </w:t>
      </w:r>
      <w:r>
        <w:rPr>
          <w:b/>
          <w:i/>
          <w:sz w:val="20"/>
        </w:rPr>
        <w:t>aislante</w:t>
      </w:r>
      <w:r>
        <w:rPr>
          <w:b/>
          <w:i/>
          <w:spacing w:val="-6"/>
          <w:sz w:val="20"/>
        </w:rPr>
        <w:t> </w:t>
      </w:r>
      <w:r>
        <w:rPr>
          <w:b/>
          <w:i/>
          <w:sz w:val="20"/>
        </w:rPr>
        <w:t>térmico</w:t>
      </w:r>
    </w:p>
    <w:p>
      <w:pPr>
        <w:pStyle w:val="BodyText"/>
        <w:tabs>
          <w:tab w:pos="671" w:val="left" w:leader="none"/>
        </w:tabs>
        <w:spacing w:before="158"/>
        <w:ind w:left="218"/>
      </w:pPr>
      <w:r>
        <w:rPr/>
        <w:t>1</w:t>
        <w:tab/>
        <w:t>Debe colocarse de forma continua y</w:t>
      </w:r>
      <w:r>
        <w:rPr>
          <w:spacing w:val="-3"/>
        </w:rPr>
        <w:t> </w:t>
      </w:r>
      <w:r>
        <w:rPr/>
        <w:t>estable.</w:t>
      </w:r>
    </w:p>
    <w:p>
      <w:pPr>
        <w:pStyle w:val="BodyText"/>
        <w:spacing w:before="8"/>
        <w:rPr>
          <w:sz w:val="22"/>
        </w:rPr>
      </w:pPr>
    </w:p>
    <w:p>
      <w:pPr>
        <w:pStyle w:val="ListParagraph"/>
        <w:numPr>
          <w:ilvl w:val="3"/>
          <w:numId w:val="78"/>
        </w:numPr>
        <w:tabs>
          <w:tab w:pos="928" w:val="left" w:leader="none"/>
        </w:tabs>
        <w:spacing w:line="240" w:lineRule="auto" w:before="1" w:after="0"/>
        <w:ind w:left="927" w:right="0" w:hanging="710"/>
        <w:jc w:val="left"/>
        <w:rPr>
          <w:b/>
          <w:i/>
          <w:sz w:val="20"/>
        </w:rPr>
      </w:pPr>
      <w:r>
        <w:rPr>
          <w:b/>
          <w:sz w:val="20"/>
        </w:rPr>
        <w:t>Condiciones de la</w:t>
      </w:r>
      <w:r>
        <w:rPr>
          <w:b/>
          <w:spacing w:val="-3"/>
          <w:sz w:val="20"/>
        </w:rPr>
        <w:t> </w:t>
      </w:r>
      <w:r>
        <w:rPr>
          <w:b/>
          <w:i/>
          <w:sz w:val="20"/>
        </w:rPr>
        <w:t>impermeabilización</w:t>
      </w:r>
    </w:p>
    <w:p>
      <w:pPr>
        <w:pStyle w:val="ListParagraph"/>
        <w:numPr>
          <w:ilvl w:val="0"/>
          <w:numId w:val="91"/>
        </w:numPr>
        <w:tabs>
          <w:tab w:pos="672" w:val="left" w:leader="none"/>
        </w:tabs>
        <w:spacing w:line="240" w:lineRule="auto" w:before="158" w:after="0"/>
        <w:ind w:left="672" w:right="392" w:hanging="454"/>
        <w:jc w:val="both"/>
        <w:rPr>
          <w:sz w:val="20"/>
        </w:rPr>
      </w:pPr>
      <w:r>
        <w:rPr>
          <w:sz w:val="20"/>
        </w:rPr>
        <w:t>Las láminas deben aplicarse en unas condiciones térmicas ambientales que se encuentren dentro de los márgenes prescritos en las correspondientes especificaciones de</w:t>
      </w:r>
      <w:r>
        <w:rPr>
          <w:spacing w:val="-17"/>
          <w:sz w:val="20"/>
        </w:rPr>
        <w:t> </w:t>
      </w:r>
      <w:r>
        <w:rPr>
          <w:sz w:val="20"/>
        </w:rPr>
        <w:t>aplicación.</w:t>
      </w:r>
    </w:p>
    <w:p>
      <w:pPr>
        <w:pStyle w:val="ListParagraph"/>
        <w:numPr>
          <w:ilvl w:val="0"/>
          <w:numId w:val="91"/>
        </w:numPr>
        <w:tabs>
          <w:tab w:pos="671" w:val="left" w:leader="none"/>
          <w:tab w:pos="672" w:val="left" w:leader="none"/>
        </w:tabs>
        <w:spacing w:line="240" w:lineRule="auto" w:before="120" w:after="0"/>
        <w:ind w:left="671" w:right="0" w:hanging="454"/>
        <w:jc w:val="left"/>
        <w:rPr>
          <w:sz w:val="20"/>
        </w:rPr>
      </w:pPr>
      <w:r>
        <w:rPr>
          <w:sz w:val="20"/>
        </w:rPr>
        <w:t>Cuando se interrumpan los trabajos deben protegerse adecuadamente los</w:t>
      </w:r>
      <w:r>
        <w:rPr>
          <w:spacing w:val="-11"/>
          <w:sz w:val="20"/>
        </w:rPr>
        <w:t> </w:t>
      </w:r>
      <w:r>
        <w:rPr>
          <w:sz w:val="20"/>
        </w:rPr>
        <w:t>materiales.</w:t>
      </w:r>
    </w:p>
    <w:p>
      <w:pPr>
        <w:pStyle w:val="ListParagraph"/>
        <w:numPr>
          <w:ilvl w:val="0"/>
          <w:numId w:val="91"/>
        </w:numPr>
        <w:tabs>
          <w:tab w:pos="671" w:val="left" w:leader="none"/>
          <w:tab w:pos="672" w:val="left" w:leader="none"/>
        </w:tabs>
        <w:spacing w:line="240" w:lineRule="auto" w:before="121" w:after="0"/>
        <w:ind w:left="672" w:right="0" w:hanging="454"/>
        <w:jc w:val="left"/>
        <w:rPr>
          <w:sz w:val="20"/>
        </w:rPr>
      </w:pPr>
      <w:r>
        <w:rPr>
          <w:sz w:val="20"/>
        </w:rPr>
        <w:t>La </w:t>
      </w:r>
      <w:r>
        <w:rPr>
          <w:i/>
          <w:sz w:val="20"/>
        </w:rPr>
        <w:t>impermeabilización </w:t>
      </w:r>
      <w:r>
        <w:rPr>
          <w:sz w:val="20"/>
        </w:rPr>
        <w:t>debe colocarse en dirección perpendicular a la línea de máxima</w:t>
      </w:r>
      <w:r>
        <w:rPr>
          <w:spacing w:val="-23"/>
          <w:sz w:val="20"/>
        </w:rPr>
        <w:t> </w:t>
      </w:r>
      <w:r>
        <w:rPr>
          <w:sz w:val="20"/>
        </w:rPr>
        <w:t>pendiente.</w:t>
      </w:r>
    </w:p>
    <w:p>
      <w:pPr>
        <w:pStyle w:val="ListParagraph"/>
        <w:numPr>
          <w:ilvl w:val="0"/>
          <w:numId w:val="91"/>
        </w:numPr>
        <w:tabs>
          <w:tab w:pos="672" w:val="left" w:leader="none"/>
        </w:tabs>
        <w:spacing w:line="240" w:lineRule="auto" w:before="119" w:after="0"/>
        <w:ind w:left="672" w:right="393" w:hanging="454"/>
        <w:jc w:val="both"/>
        <w:rPr>
          <w:sz w:val="20"/>
        </w:rPr>
      </w:pPr>
      <w:r>
        <w:rPr>
          <w:sz w:val="20"/>
        </w:rPr>
        <w:t>Las distintas capas de la </w:t>
      </w:r>
      <w:r>
        <w:rPr>
          <w:i/>
          <w:sz w:val="20"/>
        </w:rPr>
        <w:t>impermeabilización </w:t>
      </w:r>
      <w:r>
        <w:rPr>
          <w:sz w:val="20"/>
        </w:rPr>
        <w:t>deben colocarse en la misma dirección y a cubrejuntas.</w:t>
      </w:r>
    </w:p>
    <w:p>
      <w:pPr>
        <w:spacing w:after="0" w:line="240" w:lineRule="auto"/>
        <w:jc w:val="both"/>
        <w:rPr>
          <w:sz w:val="20"/>
        </w:rPr>
        <w:sectPr>
          <w:pgSz w:w="11910" w:h="16840"/>
          <w:pgMar w:header="724" w:footer="636" w:top="1320" w:bottom="840" w:left="1200" w:right="738"/>
        </w:sectPr>
      </w:pPr>
    </w:p>
    <w:p>
      <w:pPr>
        <w:pStyle w:val="ListParagraph"/>
        <w:numPr>
          <w:ilvl w:val="0"/>
          <w:numId w:val="91"/>
        </w:numPr>
        <w:tabs>
          <w:tab w:pos="672" w:val="left" w:leader="none"/>
        </w:tabs>
        <w:spacing w:line="240" w:lineRule="auto" w:before="89" w:after="0"/>
        <w:ind w:left="671" w:right="391" w:hanging="454"/>
        <w:jc w:val="both"/>
        <w:rPr>
          <w:sz w:val="20"/>
        </w:rPr>
      </w:pPr>
      <w:r>
        <w:rPr>
          <w:sz w:val="20"/>
        </w:rPr>
        <w:t>Los solapos deben quedar a favor de la corriente de agua y no deben quedar alineados con los de las hileras</w:t>
      </w:r>
      <w:r>
        <w:rPr>
          <w:spacing w:val="-3"/>
          <w:sz w:val="20"/>
        </w:rPr>
        <w:t> </w:t>
      </w:r>
      <w:r>
        <w:rPr>
          <w:sz w:val="20"/>
        </w:rPr>
        <w:t>contiguas.</w:t>
      </w:r>
    </w:p>
    <w:p>
      <w:pPr>
        <w:pStyle w:val="BodyText"/>
        <w:spacing w:before="9"/>
        <w:rPr>
          <w:sz w:val="22"/>
        </w:rPr>
      </w:pPr>
    </w:p>
    <w:p>
      <w:pPr>
        <w:pStyle w:val="ListParagraph"/>
        <w:numPr>
          <w:ilvl w:val="3"/>
          <w:numId w:val="78"/>
        </w:numPr>
        <w:tabs>
          <w:tab w:pos="928" w:val="left" w:leader="none"/>
        </w:tabs>
        <w:spacing w:line="240" w:lineRule="auto" w:before="0" w:after="0"/>
        <w:ind w:left="927" w:right="0" w:hanging="710"/>
        <w:jc w:val="left"/>
        <w:rPr>
          <w:b/>
          <w:i/>
          <w:sz w:val="20"/>
        </w:rPr>
      </w:pPr>
      <w:r>
        <w:rPr>
          <w:b/>
          <w:sz w:val="20"/>
        </w:rPr>
        <w:t>Condiciones de la </w:t>
      </w:r>
      <w:r>
        <w:rPr>
          <w:b/>
          <w:i/>
          <w:sz w:val="20"/>
        </w:rPr>
        <w:t>cámara de aire</w:t>
      </w:r>
      <w:r>
        <w:rPr>
          <w:b/>
          <w:i/>
          <w:spacing w:val="-8"/>
          <w:sz w:val="20"/>
        </w:rPr>
        <w:t> </w:t>
      </w:r>
      <w:r>
        <w:rPr>
          <w:b/>
          <w:i/>
          <w:sz w:val="20"/>
        </w:rPr>
        <w:t>ventilada</w:t>
      </w:r>
    </w:p>
    <w:p>
      <w:pPr>
        <w:pStyle w:val="BodyText"/>
        <w:spacing w:before="159"/>
        <w:ind w:left="671" w:right="389" w:hanging="454"/>
        <w:jc w:val="both"/>
      </w:pPr>
      <w:r>
        <w:rPr/>
        <w:t>1 Durante la construcción de la cubierta debe evitarse que caigan cascotes, rebabas de mortero y suciedad en la cámara de aire.</w:t>
      </w:r>
    </w:p>
    <w:p>
      <w:pPr>
        <w:pStyle w:val="BodyText"/>
        <w:spacing w:before="7"/>
        <w:rPr>
          <w:sz w:val="29"/>
        </w:rPr>
      </w:pPr>
    </w:p>
    <w:p>
      <w:pPr>
        <w:pStyle w:val="Heading3"/>
        <w:numPr>
          <w:ilvl w:val="1"/>
          <w:numId w:val="78"/>
        </w:numPr>
        <w:tabs>
          <w:tab w:pos="785" w:val="left" w:leader="none"/>
          <w:tab w:pos="786" w:val="left" w:leader="none"/>
        </w:tabs>
        <w:spacing w:line="240" w:lineRule="auto" w:before="0" w:after="0"/>
        <w:ind w:left="785" w:right="0" w:hanging="568"/>
        <w:jc w:val="left"/>
      </w:pPr>
      <w:r>
        <w:rPr/>
        <w:t>Control de la</w:t>
      </w:r>
      <w:r>
        <w:rPr>
          <w:spacing w:val="-2"/>
        </w:rPr>
        <w:t> </w:t>
      </w:r>
      <w:r>
        <w:rPr/>
        <w:t>ejecución</w:t>
      </w:r>
    </w:p>
    <w:p>
      <w:pPr>
        <w:pStyle w:val="ListParagraph"/>
        <w:numPr>
          <w:ilvl w:val="0"/>
          <w:numId w:val="92"/>
        </w:numPr>
        <w:tabs>
          <w:tab w:pos="579" w:val="left" w:leader="none"/>
        </w:tabs>
        <w:spacing w:line="240" w:lineRule="auto" w:before="159" w:after="0"/>
        <w:ind w:left="575" w:right="391" w:hanging="358"/>
        <w:jc w:val="both"/>
        <w:rPr>
          <w:sz w:val="20"/>
        </w:rPr>
      </w:pPr>
      <w:r>
        <w:rPr>
          <w:sz w:val="20"/>
        </w:rPr>
        <w:t>El control de la ejecución de las obras se realizará de acuerdo con las especificaciones del proyecto, sus anejos y modificaciones autorizados por el director de obra y las instrucciones del director de la ejecución de la obra, conforme a lo indicado en el artículo 7.3 de la parte I del CTE y demás normativa vigente de</w:t>
      </w:r>
      <w:r>
        <w:rPr>
          <w:spacing w:val="-2"/>
          <w:sz w:val="20"/>
        </w:rPr>
        <w:t> </w:t>
      </w:r>
      <w:r>
        <w:rPr>
          <w:sz w:val="20"/>
        </w:rPr>
        <w:t>aplicación.</w:t>
      </w:r>
    </w:p>
    <w:p>
      <w:pPr>
        <w:pStyle w:val="ListParagraph"/>
        <w:numPr>
          <w:ilvl w:val="0"/>
          <w:numId w:val="92"/>
        </w:numPr>
        <w:tabs>
          <w:tab w:pos="579" w:val="left" w:leader="none"/>
        </w:tabs>
        <w:spacing w:line="240" w:lineRule="auto" w:before="119" w:after="0"/>
        <w:ind w:left="575" w:right="393" w:hanging="358"/>
        <w:jc w:val="both"/>
        <w:rPr>
          <w:sz w:val="20"/>
        </w:rPr>
      </w:pPr>
      <w:r>
        <w:rPr>
          <w:sz w:val="20"/>
        </w:rPr>
        <w:t>Se comprobará que la ejecución de la obra se realiza de acuerdo con los controles y con la frecuencia de los mismos establecida en el pliego de condiciones del</w:t>
      </w:r>
      <w:r>
        <w:rPr>
          <w:spacing w:val="-13"/>
          <w:sz w:val="20"/>
        </w:rPr>
        <w:t> </w:t>
      </w:r>
      <w:r>
        <w:rPr>
          <w:sz w:val="20"/>
        </w:rPr>
        <w:t>proyecto.</w:t>
      </w:r>
    </w:p>
    <w:p>
      <w:pPr>
        <w:pStyle w:val="ListParagraph"/>
        <w:numPr>
          <w:ilvl w:val="0"/>
          <w:numId w:val="92"/>
        </w:numPr>
        <w:tabs>
          <w:tab w:pos="579" w:val="left" w:leader="none"/>
        </w:tabs>
        <w:spacing w:line="240" w:lineRule="auto" w:before="120" w:after="0"/>
        <w:ind w:left="576" w:right="393" w:hanging="358"/>
        <w:jc w:val="both"/>
        <w:rPr>
          <w:sz w:val="20"/>
        </w:rPr>
      </w:pPr>
      <w:r>
        <w:rPr>
          <w:sz w:val="20"/>
        </w:rPr>
        <w:t>Cualquier modificación que pueda introducirse durante la ejecución de la obra quedará en la documentación de la obra ejecutada sin que en ningún caso dejen de cumplirse las condiciones mínimas señaladas en este Documento</w:t>
      </w:r>
      <w:r>
        <w:rPr>
          <w:spacing w:val="-4"/>
          <w:sz w:val="20"/>
        </w:rPr>
        <w:t> </w:t>
      </w:r>
      <w:r>
        <w:rPr>
          <w:sz w:val="20"/>
        </w:rPr>
        <w:t>Básico.</w:t>
      </w:r>
    </w:p>
    <w:p>
      <w:pPr>
        <w:pStyle w:val="BodyText"/>
        <w:spacing w:before="8"/>
        <w:rPr>
          <w:sz w:val="29"/>
        </w:rPr>
      </w:pPr>
    </w:p>
    <w:p>
      <w:pPr>
        <w:pStyle w:val="Heading3"/>
        <w:numPr>
          <w:ilvl w:val="1"/>
          <w:numId w:val="78"/>
        </w:numPr>
        <w:tabs>
          <w:tab w:pos="619" w:val="left" w:leader="none"/>
        </w:tabs>
        <w:spacing w:line="240" w:lineRule="auto" w:before="0" w:after="0"/>
        <w:ind w:left="618" w:right="0" w:hanging="401"/>
        <w:jc w:val="left"/>
      </w:pPr>
      <w:r>
        <w:rPr/>
        <w:t>Control de la obra</w:t>
      </w:r>
      <w:r>
        <w:rPr>
          <w:spacing w:val="-3"/>
        </w:rPr>
        <w:t> </w:t>
      </w:r>
      <w:r>
        <w:rPr/>
        <w:t>terminada</w:t>
      </w:r>
    </w:p>
    <w:p>
      <w:pPr>
        <w:pStyle w:val="BodyText"/>
        <w:spacing w:before="159"/>
        <w:ind w:left="576" w:right="391" w:hanging="358"/>
        <w:jc w:val="both"/>
      </w:pPr>
      <w:r>
        <w:rPr/>
        <w:t>1  En el control se seguirán los criterios indicados en el artículo 7.4 de la parte I del CTE. En esta  sección del DB no se prescriben pruebas</w:t>
      </w:r>
      <w:r>
        <w:rPr>
          <w:spacing w:val="-4"/>
        </w:rPr>
        <w:t> </w:t>
      </w:r>
      <w:r>
        <w:rPr/>
        <w:t>finales.</w:t>
      </w:r>
    </w:p>
    <w:p>
      <w:pPr>
        <w:pStyle w:val="BodyText"/>
        <w:rPr>
          <w:sz w:val="22"/>
        </w:rPr>
      </w:pPr>
    </w:p>
    <w:p>
      <w:pPr>
        <w:pStyle w:val="BodyText"/>
        <w:spacing w:before="1"/>
        <w:rPr>
          <w:sz w:val="25"/>
        </w:rPr>
      </w:pPr>
    </w:p>
    <w:p>
      <w:pPr>
        <w:pStyle w:val="Heading2"/>
      </w:pPr>
      <w:r>
        <w:rPr/>
        <w:t>6 Mantenimiento y conservación</w:t>
      </w:r>
    </w:p>
    <w:p>
      <w:pPr>
        <w:pStyle w:val="BodyText"/>
        <w:spacing w:before="219"/>
        <w:ind w:left="671" w:right="392" w:hanging="454"/>
        <w:jc w:val="both"/>
      </w:pPr>
      <w:r>
        <w:rPr/>
        <w:t>1    Deben realizarse las operaciones de mantenimiento que, junto con su periodicidad, se incluyen en   la tabla 6.1 y las correcciones pertinentes en el caso de que se detecten</w:t>
      </w:r>
      <w:r>
        <w:rPr>
          <w:spacing w:val="-14"/>
        </w:rPr>
        <w:t> </w:t>
      </w:r>
      <w:r>
        <w:rPr/>
        <w:t>defectos.</w:t>
      </w:r>
    </w:p>
    <w:p>
      <w:pPr>
        <w:pStyle w:val="BodyText"/>
        <w:rPr>
          <w:sz w:val="22"/>
        </w:rPr>
      </w:pPr>
    </w:p>
    <w:p>
      <w:pPr>
        <w:spacing w:before="156" w:after="3"/>
        <w:ind w:left="655" w:right="827" w:firstLine="0"/>
        <w:jc w:val="center"/>
        <w:rPr>
          <w:b/>
          <w:sz w:val="18"/>
        </w:rPr>
      </w:pPr>
      <w:r>
        <w:rPr>
          <w:b/>
          <w:sz w:val="18"/>
        </w:rPr>
        <w:t>Tabla 6.1 Operaciones de mantenimiento</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6772"/>
        <w:gridCol w:w="1565"/>
      </w:tblGrid>
      <w:tr>
        <w:trPr>
          <w:trHeight w:val="270" w:hRule="atLeast"/>
        </w:trPr>
        <w:tc>
          <w:tcPr>
            <w:tcW w:w="1234" w:type="dxa"/>
            <w:tcBorders>
              <w:top w:val="nil"/>
              <w:left w:val="nil"/>
            </w:tcBorders>
          </w:tcPr>
          <w:p>
            <w:pPr>
              <w:pStyle w:val="TableParagraph"/>
              <w:jc w:val="left"/>
              <w:rPr>
                <w:rFonts w:ascii="Times New Roman"/>
                <w:sz w:val="18"/>
              </w:rPr>
            </w:pPr>
          </w:p>
        </w:tc>
        <w:tc>
          <w:tcPr>
            <w:tcW w:w="6772" w:type="dxa"/>
            <w:tcBorders>
              <w:right w:val="nil"/>
            </w:tcBorders>
          </w:tcPr>
          <w:p>
            <w:pPr>
              <w:pStyle w:val="TableParagraph"/>
              <w:spacing w:before="29"/>
              <w:ind w:left="2876" w:right="2960"/>
              <w:rPr>
                <w:b/>
                <w:sz w:val="18"/>
              </w:rPr>
            </w:pPr>
            <w:r>
              <w:rPr>
                <w:b/>
                <w:sz w:val="18"/>
              </w:rPr>
              <w:t>Operación</w:t>
            </w:r>
          </w:p>
        </w:tc>
        <w:tc>
          <w:tcPr>
            <w:tcW w:w="1565" w:type="dxa"/>
            <w:tcBorders>
              <w:left w:val="nil"/>
              <w:right w:val="nil"/>
            </w:tcBorders>
          </w:tcPr>
          <w:p>
            <w:pPr>
              <w:pStyle w:val="TableParagraph"/>
              <w:spacing w:before="29"/>
              <w:ind w:left="201"/>
              <w:jc w:val="left"/>
              <w:rPr>
                <w:b/>
                <w:sz w:val="18"/>
              </w:rPr>
            </w:pPr>
            <w:r>
              <w:rPr>
                <w:b/>
                <w:sz w:val="18"/>
              </w:rPr>
              <w:t>Periodicidad</w:t>
            </w:r>
          </w:p>
        </w:tc>
      </w:tr>
      <w:tr>
        <w:trPr>
          <w:trHeight w:val="1294" w:hRule="atLeast"/>
        </w:trPr>
        <w:tc>
          <w:tcPr>
            <w:tcW w:w="1234" w:type="dxa"/>
            <w:tcBorders>
              <w:left w:val="nil"/>
            </w:tcBorders>
          </w:tcPr>
          <w:p>
            <w:pPr>
              <w:pStyle w:val="TableParagraph"/>
              <w:jc w:val="left"/>
              <w:rPr>
                <w:b/>
                <w:sz w:val="20"/>
              </w:rPr>
            </w:pPr>
          </w:p>
          <w:p>
            <w:pPr>
              <w:pStyle w:val="TableParagraph"/>
              <w:spacing w:before="11"/>
              <w:jc w:val="left"/>
              <w:rPr>
                <w:b/>
                <w:sz w:val="26"/>
              </w:rPr>
            </w:pPr>
          </w:p>
          <w:p>
            <w:pPr>
              <w:pStyle w:val="TableParagraph"/>
              <w:ind w:left="185" w:right="172"/>
              <w:rPr>
                <w:b/>
                <w:sz w:val="18"/>
              </w:rPr>
            </w:pPr>
            <w:r>
              <w:rPr>
                <w:b/>
                <w:sz w:val="18"/>
              </w:rPr>
              <w:t>Muros</w:t>
            </w:r>
          </w:p>
        </w:tc>
        <w:tc>
          <w:tcPr>
            <w:tcW w:w="6772" w:type="dxa"/>
            <w:tcBorders>
              <w:right w:val="nil"/>
            </w:tcBorders>
          </w:tcPr>
          <w:p>
            <w:pPr>
              <w:pStyle w:val="TableParagraph"/>
              <w:ind w:left="107"/>
              <w:jc w:val="left"/>
              <w:rPr>
                <w:i/>
                <w:sz w:val="18"/>
              </w:rPr>
            </w:pPr>
            <w:r>
              <w:rPr>
                <w:sz w:val="18"/>
              </w:rPr>
              <w:t>Comprobación del correcto funcionamiento de los canales y bajantes de eva- cuación de los </w:t>
            </w:r>
            <w:r>
              <w:rPr>
                <w:i/>
                <w:sz w:val="18"/>
              </w:rPr>
              <w:t>muros parcialmente estancos</w:t>
            </w:r>
          </w:p>
          <w:p>
            <w:pPr>
              <w:pStyle w:val="TableParagraph"/>
              <w:spacing w:before="87"/>
              <w:ind w:left="107"/>
              <w:jc w:val="left"/>
              <w:rPr>
                <w:sz w:val="18"/>
              </w:rPr>
            </w:pPr>
            <w:r>
              <w:rPr>
                <w:sz w:val="18"/>
              </w:rPr>
              <w:t>Comprobación de que las aberturas de ventilación de la cámara de los muros parcialmente estancos no están obstruidas</w:t>
            </w:r>
          </w:p>
          <w:p>
            <w:pPr>
              <w:pStyle w:val="TableParagraph"/>
              <w:spacing w:before="91"/>
              <w:ind w:left="107"/>
              <w:jc w:val="left"/>
              <w:rPr>
                <w:sz w:val="18"/>
              </w:rPr>
            </w:pPr>
            <w:r>
              <w:rPr>
                <w:sz w:val="18"/>
              </w:rPr>
              <w:t>Comprobación del estado de la </w:t>
            </w:r>
            <w:r>
              <w:rPr>
                <w:i/>
                <w:sz w:val="18"/>
              </w:rPr>
              <w:t>impermeabilización </w:t>
            </w:r>
            <w:r>
              <w:rPr>
                <w:sz w:val="18"/>
              </w:rPr>
              <w:t>interior</w:t>
            </w:r>
          </w:p>
        </w:tc>
        <w:tc>
          <w:tcPr>
            <w:tcW w:w="1565" w:type="dxa"/>
            <w:tcBorders>
              <w:left w:val="nil"/>
              <w:right w:val="nil"/>
            </w:tcBorders>
          </w:tcPr>
          <w:p>
            <w:pPr>
              <w:pStyle w:val="TableParagraph"/>
              <w:spacing w:before="138"/>
              <w:ind w:left="449"/>
              <w:jc w:val="left"/>
              <w:rPr>
                <w:sz w:val="12"/>
              </w:rPr>
            </w:pPr>
            <w:r>
              <w:rPr>
                <w:sz w:val="18"/>
              </w:rPr>
              <w:t>1 año </w:t>
            </w:r>
            <w:r>
              <w:rPr>
                <w:position w:val="6"/>
                <w:sz w:val="12"/>
              </w:rPr>
              <w:t>(1)</w:t>
            </w:r>
          </w:p>
          <w:p>
            <w:pPr>
              <w:pStyle w:val="TableParagraph"/>
              <w:spacing w:before="9"/>
              <w:jc w:val="left"/>
              <w:rPr>
                <w:b/>
                <w:sz w:val="25"/>
              </w:rPr>
            </w:pPr>
          </w:p>
          <w:p>
            <w:pPr>
              <w:pStyle w:val="TableParagraph"/>
              <w:ind w:left="449"/>
              <w:jc w:val="left"/>
              <w:rPr>
                <w:sz w:val="18"/>
              </w:rPr>
            </w:pPr>
            <w:r>
              <w:rPr>
                <w:sz w:val="18"/>
              </w:rPr>
              <w:t>1</w:t>
            </w:r>
            <w:r>
              <w:rPr>
                <w:spacing w:val="-8"/>
                <w:sz w:val="18"/>
              </w:rPr>
              <w:t> </w:t>
            </w:r>
            <w:r>
              <w:rPr>
                <w:sz w:val="18"/>
              </w:rPr>
              <w:t>año</w:t>
            </w:r>
          </w:p>
          <w:p>
            <w:pPr>
              <w:pStyle w:val="TableParagraph"/>
              <w:spacing w:before="9"/>
              <w:jc w:val="left"/>
              <w:rPr>
                <w:b/>
                <w:sz w:val="16"/>
              </w:rPr>
            </w:pPr>
          </w:p>
          <w:p>
            <w:pPr>
              <w:pStyle w:val="TableParagraph"/>
              <w:ind w:left="449"/>
              <w:jc w:val="left"/>
              <w:rPr>
                <w:sz w:val="18"/>
              </w:rPr>
            </w:pPr>
            <w:r>
              <w:rPr>
                <w:sz w:val="18"/>
              </w:rPr>
              <w:t>1</w:t>
            </w:r>
            <w:r>
              <w:rPr>
                <w:spacing w:val="-8"/>
                <w:sz w:val="18"/>
              </w:rPr>
              <w:t> </w:t>
            </w:r>
            <w:r>
              <w:rPr>
                <w:sz w:val="18"/>
              </w:rPr>
              <w:t>año</w:t>
            </w:r>
          </w:p>
        </w:tc>
      </w:tr>
      <w:tr>
        <w:trPr>
          <w:trHeight w:val="1385" w:hRule="atLeast"/>
        </w:trPr>
        <w:tc>
          <w:tcPr>
            <w:tcW w:w="1234" w:type="dxa"/>
            <w:tcBorders>
              <w:left w:val="nil"/>
            </w:tcBorders>
          </w:tcPr>
          <w:p>
            <w:pPr>
              <w:pStyle w:val="TableParagraph"/>
              <w:jc w:val="left"/>
              <w:rPr>
                <w:b/>
                <w:sz w:val="20"/>
              </w:rPr>
            </w:pPr>
          </w:p>
          <w:p>
            <w:pPr>
              <w:pStyle w:val="TableParagraph"/>
              <w:jc w:val="left"/>
              <w:rPr>
                <w:b/>
                <w:sz w:val="20"/>
              </w:rPr>
            </w:pPr>
          </w:p>
          <w:p>
            <w:pPr>
              <w:pStyle w:val="TableParagraph"/>
              <w:spacing w:before="125"/>
              <w:ind w:left="185" w:right="171"/>
              <w:rPr>
                <w:b/>
                <w:sz w:val="18"/>
              </w:rPr>
            </w:pPr>
            <w:r>
              <w:rPr>
                <w:b/>
                <w:sz w:val="18"/>
              </w:rPr>
              <w:t>Suelos</w:t>
            </w:r>
          </w:p>
        </w:tc>
        <w:tc>
          <w:tcPr>
            <w:tcW w:w="6772" w:type="dxa"/>
            <w:tcBorders>
              <w:right w:val="nil"/>
            </w:tcBorders>
          </w:tcPr>
          <w:p>
            <w:pPr>
              <w:pStyle w:val="TableParagraph"/>
              <w:spacing w:line="343" w:lineRule="auto"/>
              <w:ind w:left="107" w:right="626"/>
              <w:jc w:val="left"/>
              <w:rPr>
                <w:sz w:val="18"/>
              </w:rPr>
            </w:pPr>
            <w:r>
              <w:rPr>
                <w:sz w:val="18"/>
              </w:rPr>
              <w:t>Comprobación del estado de limpieza de la red de </w:t>
            </w:r>
            <w:r>
              <w:rPr>
                <w:i/>
                <w:sz w:val="18"/>
              </w:rPr>
              <w:t>drenaje </w:t>
            </w:r>
            <w:r>
              <w:rPr>
                <w:sz w:val="18"/>
              </w:rPr>
              <w:t>y de evacuación Limpieza de las arquetas</w:t>
            </w:r>
          </w:p>
          <w:p>
            <w:pPr>
              <w:pStyle w:val="TableParagraph"/>
              <w:spacing w:before="1"/>
              <w:ind w:left="107" w:right="192"/>
              <w:jc w:val="left"/>
              <w:rPr>
                <w:i/>
                <w:sz w:val="18"/>
              </w:rPr>
            </w:pPr>
            <w:r>
              <w:rPr>
                <w:sz w:val="18"/>
              </w:rPr>
              <w:t>Comprobación del estado de las bombas de achique, incluyendo las de reserva, si hubiera sido necesarias su implantación para poder garantizar el </w:t>
            </w:r>
            <w:r>
              <w:rPr>
                <w:i/>
                <w:sz w:val="18"/>
              </w:rPr>
              <w:t>drenaje</w:t>
            </w:r>
          </w:p>
          <w:p>
            <w:pPr>
              <w:pStyle w:val="TableParagraph"/>
              <w:spacing w:before="89"/>
              <w:ind w:left="107"/>
              <w:jc w:val="left"/>
              <w:rPr>
                <w:sz w:val="18"/>
              </w:rPr>
            </w:pPr>
            <w:r>
              <w:rPr>
                <w:sz w:val="18"/>
              </w:rPr>
              <w:t>Comprobación de la posible existencia de filtraciones por fisuras y grietas</w:t>
            </w:r>
          </w:p>
        </w:tc>
        <w:tc>
          <w:tcPr>
            <w:tcW w:w="1565" w:type="dxa"/>
            <w:tcBorders>
              <w:left w:val="nil"/>
              <w:right w:val="nil"/>
            </w:tcBorders>
          </w:tcPr>
          <w:p>
            <w:pPr>
              <w:pStyle w:val="TableParagraph"/>
              <w:spacing w:before="35"/>
              <w:ind w:left="449"/>
              <w:jc w:val="left"/>
              <w:rPr>
                <w:sz w:val="12"/>
              </w:rPr>
            </w:pPr>
            <w:r>
              <w:rPr>
                <w:sz w:val="18"/>
              </w:rPr>
              <w:t>1 año</w:t>
            </w:r>
            <w:r>
              <w:rPr>
                <w:spacing w:val="41"/>
                <w:sz w:val="18"/>
              </w:rPr>
              <w:t> </w:t>
            </w:r>
            <w:r>
              <w:rPr>
                <w:position w:val="6"/>
                <w:sz w:val="12"/>
              </w:rPr>
              <w:t>(2)</w:t>
            </w:r>
          </w:p>
          <w:p>
            <w:pPr>
              <w:pStyle w:val="TableParagraph"/>
              <w:spacing w:before="85"/>
              <w:ind w:left="449"/>
              <w:jc w:val="left"/>
              <w:rPr>
                <w:sz w:val="12"/>
              </w:rPr>
            </w:pPr>
            <w:r>
              <w:rPr>
                <w:sz w:val="18"/>
              </w:rPr>
              <w:t>1 año</w:t>
            </w:r>
            <w:r>
              <w:rPr>
                <w:spacing w:val="41"/>
                <w:sz w:val="18"/>
              </w:rPr>
              <w:t> </w:t>
            </w:r>
            <w:r>
              <w:rPr>
                <w:position w:val="6"/>
                <w:sz w:val="12"/>
              </w:rPr>
              <w:t>(2)</w:t>
            </w:r>
          </w:p>
          <w:p>
            <w:pPr>
              <w:pStyle w:val="TableParagraph"/>
              <w:spacing w:before="10"/>
              <w:jc w:val="left"/>
              <w:rPr>
                <w:b/>
                <w:sz w:val="16"/>
              </w:rPr>
            </w:pPr>
          </w:p>
          <w:p>
            <w:pPr>
              <w:pStyle w:val="TableParagraph"/>
              <w:ind w:left="449"/>
              <w:jc w:val="left"/>
              <w:rPr>
                <w:sz w:val="18"/>
              </w:rPr>
            </w:pPr>
            <w:r>
              <w:rPr>
                <w:sz w:val="18"/>
              </w:rPr>
              <w:t>1</w:t>
            </w:r>
            <w:r>
              <w:rPr>
                <w:spacing w:val="-8"/>
                <w:sz w:val="18"/>
              </w:rPr>
              <w:t> </w:t>
            </w:r>
            <w:r>
              <w:rPr>
                <w:sz w:val="18"/>
              </w:rPr>
              <w:t>año</w:t>
            </w:r>
          </w:p>
          <w:p>
            <w:pPr>
              <w:pStyle w:val="TableParagraph"/>
              <w:spacing w:before="10"/>
              <w:jc w:val="left"/>
              <w:rPr>
                <w:b/>
                <w:sz w:val="16"/>
              </w:rPr>
            </w:pPr>
          </w:p>
          <w:p>
            <w:pPr>
              <w:pStyle w:val="TableParagraph"/>
              <w:ind w:left="449"/>
              <w:jc w:val="left"/>
              <w:rPr>
                <w:sz w:val="18"/>
              </w:rPr>
            </w:pPr>
            <w:r>
              <w:rPr>
                <w:sz w:val="18"/>
              </w:rPr>
              <w:t>1</w:t>
            </w:r>
            <w:r>
              <w:rPr>
                <w:spacing w:val="-8"/>
                <w:sz w:val="18"/>
              </w:rPr>
              <w:t> </w:t>
            </w:r>
            <w:r>
              <w:rPr>
                <w:sz w:val="18"/>
              </w:rPr>
              <w:t>año</w:t>
            </w:r>
          </w:p>
        </w:tc>
      </w:tr>
      <w:tr>
        <w:trPr>
          <w:trHeight w:val="1824" w:hRule="atLeast"/>
        </w:trPr>
        <w:tc>
          <w:tcPr>
            <w:tcW w:w="1234" w:type="dxa"/>
            <w:tcBorders>
              <w:left w:val="nil"/>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15"/>
              <w:ind w:left="184" w:right="172"/>
              <w:rPr>
                <w:b/>
                <w:sz w:val="18"/>
              </w:rPr>
            </w:pPr>
            <w:r>
              <w:rPr>
                <w:b/>
                <w:sz w:val="18"/>
              </w:rPr>
              <w:t>Fachadas</w:t>
            </w:r>
          </w:p>
        </w:tc>
        <w:tc>
          <w:tcPr>
            <w:tcW w:w="6772" w:type="dxa"/>
            <w:tcBorders>
              <w:right w:val="nil"/>
            </w:tcBorders>
          </w:tcPr>
          <w:p>
            <w:pPr>
              <w:pStyle w:val="TableParagraph"/>
              <w:spacing w:before="25"/>
              <w:ind w:left="107" w:right="192"/>
              <w:jc w:val="left"/>
              <w:rPr>
                <w:sz w:val="18"/>
              </w:rPr>
            </w:pPr>
            <w:r>
              <w:rPr>
                <w:sz w:val="18"/>
              </w:rPr>
              <w:t>Comprobación del estado de conservación del revestimiento: posible aparición de fisuras, desprendimientos, humedades y manchas</w:t>
            </w:r>
          </w:p>
          <w:p>
            <w:pPr>
              <w:pStyle w:val="TableParagraph"/>
              <w:spacing w:before="108"/>
              <w:ind w:left="107"/>
              <w:jc w:val="left"/>
              <w:rPr>
                <w:sz w:val="18"/>
              </w:rPr>
            </w:pPr>
            <w:r>
              <w:rPr>
                <w:sz w:val="18"/>
              </w:rPr>
              <w:t>Comprobación del estado de conservación de los puntos singulares</w:t>
            </w:r>
          </w:p>
          <w:p>
            <w:pPr>
              <w:pStyle w:val="TableParagraph"/>
              <w:spacing w:before="80"/>
              <w:ind w:left="107" w:right="192"/>
              <w:jc w:val="left"/>
              <w:rPr>
                <w:i/>
                <w:sz w:val="18"/>
              </w:rPr>
            </w:pPr>
            <w:r>
              <w:rPr>
                <w:sz w:val="18"/>
              </w:rPr>
              <w:t>Comprobación de la posible existencia de grietas y fisuras, así como desplomes u otras deformaciones, en la </w:t>
            </w:r>
            <w:r>
              <w:rPr>
                <w:i/>
                <w:sz w:val="18"/>
              </w:rPr>
              <w:t>hoja principal</w:t>
            </w:r>
          </w:p>
          <w:p>
            <w:pPr>
              <w:pStyle w:val="TableParagraph"/>
              <w:spacing w:before="80"/>
              <w:ind w:left="107"/>
              <w:jc w:val="left"/>
              <w:rPr>
                <w:sz w:val="18"/>
              </w:rPr>
            </w:pPr>
            <w:r>
              <w:rPr>
                <w:sz w:val="18"/>
              </w:rPr>
              <w:t>Comprobación del estado de limpieza de las </w:t>
            </w:r>
            <w:r>
              <w:rPr>
                <w:i/>
                <w:sz w:val="18"/>
              </w:rPr>
              <w:t>llagas </w:t>
            </w:r>
            <w:r>
              <w:rPr>
                <w:sz w:val="18"/>
              </w:rPr>
              <w:t>o de las aberturas de ventila- ción de la cámara</w:t>
            </w:r>
          </w:p>
        </w:tc>
        <w:tc>
          <w:tcPr>
            <w:tcW w:w="1565" w:type="dxa"/>
            <w:tcBorders>
              <w:left w:val="nil"/>
              <w:right w:val="nil"/>
            </w:tcBorders>
          </w:tcPr>
          <w:p>
            <w:pPr>
              <w:pStyle w:val="TableParagraph"/>
              <w:spacing w:before="169"/>
              <w:ind w:right="580"/>
              <w:jc w:val="right"/>
              <w:rPr>
                <w:sz w:val="18"/>
              </w:rPr>
            </w:pPr>
            <w:r>
              <w:rPr>
                <w:sz w:val="18"/>
              </w:rPr>
              <w:t>3</w:t>
            </w:r>
            <w:r>
              <w:rPr>
                <w:spacing w:val="-9"/>
                <w:sz w:val="18"/>
              </w:rPr>
              <w:t> </w:t>
            </w:r>
            <w:r>
              <w:rPr>
                <w:sz w:val="18"/>
              </w:rPr>
              <w:t>años</w:t>
            </w:r>
          </w:p>
          <w:p>
            <w:pPr>
              <w:pStyle w:val="TableParagraph"/>
              <w:spacing w:before="5"/>
              <w:jc w:val="left"/>
              <w:rPr>
                <w:b/>
                <w:sz w:val="18"/>
              </w:rPr>
            </w:pPr>
          </w:p>
          <w:p>
            <w:pPr>
              <w:pStyle w:val="TableParagraph"/>
              <w:ind w:right="580"/>
              <w:jc w:val="right"/>
              <w:rPr>
                <w:sz w:val="18"/>
              </w:rPr>
            </w:pPr>
            <w:r>
              <w:rPr>
                <w:sz w:val="18"/>
              </w:rPr>
              <w:t>3</w:t>
            </w:r>
            <w:r>
              <w:rPr>
                <w:spacing w:val="-9"/>
                <w:sz w:val="18"/>
              </w:rPr>
              <w:t> </w:t>
            </w:r>
            <w:r>
              <w:rPr>
                <w:sz w:val="18"/>
              </w:rPr>
              <w:t>años</w:t>
            </w:r>
          </w:p>
          <w:p>
            <w:pPr>
              <w:pStyle w:val="TableParagraph"/>
              <w:spacing w:before="10"/>
              <w:jc w:val="left"/>
              <w:rPr>
                <w:b/>
                <w:sz w:val="15"/>
              </w:rPr>
            </w:pPr>
          </w:p>
          <w:p>
            <w:pPr>
              <w:pStyle w:val="TableParagraph"/>
              <w:ind w:right="580"/>
              <w:jc w:val="right"/>
              <w:rPr>
                <w:sz w:val="18"/>
              </w:rPr>
            </w:pPr>
            <w:r>
              <w:rPr>
                <w:sz w:val="18"/>
              </w:rPr>
              <w:t>5</w:t>
            </w:r>
            <w:r>
              <w:rPr>
                <w:spacing w:val="-9"/>
                <w:sz w:val="18"/>
              </w:rPr>
              <w:t> </w:t>
            </w:r>
            <w:r>
              <w:rPr>
                <w:sz w:val="18"/>
              </w:rPr>
              <w:t>años</w:t>
            </w:r>
          </w:p>
          <w:p>
            <w:pPr>
              <w:pStyle w:val="TableParagraph"/>
              <w:jc w:val="left"/>
              <w:rPr>
                <w:b/>
                <w:sz w:val="25"/>
              </w:rPr>
            </w:pPr>
          </w:p>
          <w:p>
            <w:pPr>
              <w:pStyle w:val="TableParagraph"/>
              <w:ind w:right="580"/>
              <w:jc w:val="right"/>
              <w:rPr>
                <w:sz w:val="18"/>
              </w:rPr>
            </w:pPr>
            <w:r>
              <w:rPr>
                <w:sz w:val="18"/>
              </w:rPr>
              <w:t>10</w:t>
            </w:r>
            <w:r>
              <w:rPr>
                <w:spacing w:val="-9"/>
                <w:sz w:val="18"/>
              </w:rPr>
              <w:t> </w:t>
            </w:r>
            <w:r>
              <w:rPr>
                <w:sz w:val="18"/>
              </w:rPr>
              <w:t>años</w:t>
            </w:r>
          </w:p>
        </w:tc>
      </w:tr>
      <w:tr>
        <w:trPr>
          <w:trHeight w:val="911" w:hRule="atLeast"/>
        </w:trPr>
        <w:tc>
          <w:tcPr>
            <w:tcW w:w="1234" w:type="dxa"/>
            <w:tcBorders>
              <w:left w:val="nil"/>
            </w:tcBorders>
          </w:tcPr>
          <w:p>
            <w:pPr>
              <w:pStyle w:val="TableParagraph"/>
              <w:jc w:val="left"/>
              <w:rPr>
                <w:b/>
                <w:sz w:val="20"/>
              </w:rPr>
            </w:pPr>
          </w:p>
          <w:p>
            <w:pPr>
              <w:pStyle w:val="TableParagraph"/>
              <w:spacing w:before="118"/>
              <w:ind w:left="185" w:right="172"/>
              <w:rPr>
                <w:b/>
                <w:sz w:val="18"/>
              </w:rPr>
            </w:pPr>
            <w:r>
              <w:rPr>
                <w:b/>
                <w:sz w:val="18"/>
              </w:rPr>
              <w:t>Cubiertas</w:t>
            </w:r>
          </w:p>
        </w:tc>
        <w:tc>
          <w:tcPr>
            <w:tcW w:w="6772" w:type="dxa"/>
            <w:tcBorders>
              <w:bottom w:val="nil"/>
              <w:right w:val="nil"/>
            </w:tcBorders>
          </w:tcPr>
          <w:p>
            <w:pPr>
              <w:pStyle w:val="TableParagraph"/>
              <w:spacing w:before="57"/>
              <w:ind w:left="107"/>
              <w:jc w:val="left"/>
              <w:rPr>
                <w:sz w:val="18"/>
              </w:rPr>
            </w:pPr>
            <w:r>
              <w:rPr>
                <w:sz w:val="18"/>
              </w:rPr>
              <w:t>Limpieza de los elementos de desagüe (sumideros, canalones y rebosaderos) y comprobación de su correcto funcionamiento</w:t>
            </w:r>
          </w:p>
          <w:p>
            <w:pPr>
              <w:pStyle w:val="TableParagraph"/>
              <w:spacing w:before="150"/>
              <w:ind w:left="107"/>
              <w:jc w:val="left"/>
              <w:rPr>
                <w:sz w:val="18"/>
              </w:rPr>
            </w:pPr>
            <w:r>
              <w:rPr>
                <w:sz w:val="18"/>
              </w:rPr>
              <w:t>Recolocación de la grava</w:t>
            </w:r>
          </w:p>
        </w:tc>
        <w:tc>
          <w:tcPr>
            <w:tcW w:w="1565" w:type="dxa"/>
            <w:tcBorders>
              <w:left w:val="nil"/>
              <w:bottom w:val="nil"/>
              <w:right w:val="nil"/>
            </w:tcBorders>
          </w:tcPr>
          <w:p>
            <w:pPr>
              <w:pStyle w:val="TableParagraph"/>
              <w:spacing w:before="2"/>
              <w:jc w:val="left"/>
              <w:rPr>
                <w:b/>
                <w:sz w:val="17"/>
              </w:rPr>
            </w:pPr>
          </w:p>
          <w:p>
            <w:pPr>
              <w:pStyle w:val="TableParagraph"/>
              <w:ind w:left="449"/>
              <w:jc w:val="left"/>
              <w:rPr>
                <w:sz w:val="12"/>
              </w:rPr>
            </w:pPr>
            <w:r>
              <w:rPr>
                <w:sz w:val="18"/>
              </w:rPr>
              <w:t>1 año </w:t>
            </w:r>
            <w:r>
              <w:rPr>
                <w:position w:val="6"/>
                <w:sz w:val="12"/>
              </w:rPr>
              <w:t>(1)</w:t>
            </w:r>
          </w:p>
          <w:p>
            <w:pPr>
              <w:pStyle w:val="TableParagraph"/>
              <w:jc w:val="left"/>
              <w:rPr>
                <w:b/>
                <w:sz w:val="22"/>
              </w:rPr>
            </w:pPr>
          </w:p>
          <w:p>
            <w:pPr>
              <w:pStyle w:val="TableParagraph"/>
              <w:ind w:left="449"/>
              <w:jc w:val="left"/>
              <w:rPr>
                <w:sz w:val="18"/>
              </w:rPr>
            </w:pPr>
            <w:r>
              <w:rPr>
                <w:sz w:val="18"/>
              </w:rPr>
              <w:t>1 año</w:t>
            </w:r>
          </w:p>
        </w:tc>
      </w:tr>
    </w:tbl>
    <w:p>
      <w:pPr>
        <w:spacing w:after="0"/>
        <w:jc w:val="left"/>
        <w:rPr>
          <w:sz w:val="18"/>
        </w:rPr>
        <w:sectPr>
          <w:pgSz w:w="11910" w:h="16840"/>
          <w:pgMar w:header="724" w:footer="636" w:top="1320" w:bottom="840" w:left="1200" w:right="738"/>
        </w:sectPr>
      </w:pPr>
    </w:p>
    <w:p>
      <w:pPr>
        <w:pStyle w:val="BodyText"/>
        <w:spacing w:before="7"/>
        <w:rPr>
          <w:b/>
          <w:sz w:val="7"/>
        </w:rPr>
      </w:pPr>
    </w:p>
    <w:p>
      <w:pPr>
        <w:pStyle w:val="BodyText"/>
        <w:ind w:left="105"/>
      </w:pPr>
      <w:r>
        <w:rPr/>
        <w:pict>
          <v:group style="width:478.5pt;height:29.7pt;mso-position-horizontal-relative:char;mso-position-vertical-relative:line" coordorigin="0,0" coordsize="9570,594">
            <v:line style="position:absolute" from="0,589" to="1229,589" stroked="true" strokeweight=".47998pt" strokecolor="#000000">
              <v:stroke dashstyle="solid"/>
            </v:line>
            <v:line style="position:absolute" from="1234,0" to="1234,594" stroked="true" strokeweight=".48pt" strokecolor="#000000">
              <v:stroke dashstyle="solid"/>
            </v:line>
            <v:line style="position:absolute" from="1238,589" to="9570,589" stroked="true" strokeweight=".47998pt" strokecolor="#000000">
              <v:stroke dashstyle="solid"/>
            </v:line>
            <v:shape style="position:absolute;left:1341;top:3;width:5441;height:498" type="#_x0000_t202" filled="false" stroked="false">
              <v:textbox inset="0,0,0,0">
                <w:txbxContent>
                  <w:p>
                    <w:pPr>
                      <w:spacing w:line="201" w:lineRule="exact" w:before="0"/>
                      <w:ind w:left="0" w:right="0" w:firstLine="0"/>
                      <w:jc w:val="left"/>
                      <w:rPr>
                        <w:sz w:val="18"/>
                      </w:rPr>
                    </w:pPr>
                    <w:r>
                      <w:rPr>
                        <w:sz w:val="18"/>
                      </w:rPr>
                      <w:t>Comprobación</w:t>
                    </w:r>
                    <w:r>
                      <w:rPr>
                        <w:spacing w:val="-4"/>
                        <w:sz w:val="18"/>
                      </w:rPr>
                      <w:t> </w:t>
                    </w:r>
                    <w:r>
                      <w:rPr>
                        <w:sz w:val="18"/>
                      </w:rPr>
                      <w:t>del</w:t>
                    </w:r>
                    <w:r>
                      <w:rPr>
                        <w:spacing w:val="-5"/>
                        <w:sz w:val="18"/>
                      </w:rPr>
                      <w:t> </w:t>
                    </w:r>
                    <w:r>
                      <w:rPr>
                        <w:sz w:val="18"/>
                      </w:rPr>
                      <w:t>estado</w:t>
                    </w:r>
                    <w:r>
                      <w:rPr>
                        <w:spacing w:val="-5"/>
                        <w:sz w:val="18"/>
                      </w:rPr>
                      <w:t> </w:t>
                    </w:r>
                    <w:r>
                      <w:rPr>
                        <w:sz w:val="18"/>
                      </w:rPr>
                      <w:t>de</w:t>
                    </w:r>
                    <w:r>
                      <w:rPr>
                        <w:spacing w:val="-5"/>
                        <w:sz w:val="18"/>
                      </w:rPr>
                      <w:t> </w:t>
                    </w:r>
                    <w:r>
                      <w:rPr>
                        <w:sz w:val="18"/>
                      </w:rPr>
                      <w:t>conservación</w:t>
                    </w:r>
                    <w:r>
                      <w:rPr>
                        <w:spacing w:val="-5"/>
                        <w:sz w:val="18"/>
                      </w:rPr>
                      <w:t> </w:t>
                    </w:r>
                    <w:r>
                      <w:rPr>
                        <w:sz w:val="18"/>
                      </w:rPr>
                      <w:t>de</w:t>
                    </w:r>
                    <w:r>
                      <w:rPr>
                        <w:spacing w:val="-3"/>
                        <w:sz w:val="18"/>
                      </w:rPr>
                      <w:t> </w:t>
                    </w:r>
                    <w:r>
                      <w:rPr>
                        <w:sz w:val="18"/>
                      </w:rPr>
                      <w:t>la</w:t>
                    </w:r>
                    <w:r>
                      <w:rPr>
                        <w:spacing w:val="-5"/>
                        <w:sz w:val="18"/>
                      </w:rPr>
                      <w:t> </w:t>
                    </w:r>
                    <w:r>
                      <w:rPr>
                        <w:sz w:val="18"/>
                      </w:rPr>
                      <w:t>protección</w:t>
                    </w:r>
                    <w:r>
                      <w:rPr>
                        <w:spacing w:val="-5"/>
                        <w:sz w:val="18"/>
                      </w:rPr>
                      <w:t> </w:t>
                    </w:r>
                    <w:r>
                      <w:rPr>
                        <w:sz w:val="18"/>
                      </w:rPr>
                      <w:t>o</w:t>
                    </w:r>
                    <w:r>
                      <w:rPr>
                        <w:spacing w:val="-4"/>
                        <w:sz w:val="18"/>
                      </w:rPr>
                      <w:t> </w:t>
                    </w:r>
                    <w:r>
                      <w:rPr>
                        <w:sz w:val="18"/>
                      </w:rPr>
                      <w:t>tejado</w:t>
                    </w:r>
                  </w:p>
                  <w:p>
                    <w:pPr>
                      <w:spacing w:before="89"/>
                      <w:ind w:left="0" w:right="0" w:firstLine="0"/>
                      <w:jc w:val="left"/>
                      <w:rPr>
                        <w:sz w:val="18"/>
                      </w:rPr>
                    </w:pPr>
                    <w:r>
                      <w:rPr>
                        <w:sz w:val="18"/>
                      </w:rPr>
                      <w:t>Comprobación</w:t>
                    </w:r>
                    <w:r>
                      <w:rPr>
                        <w:spacing w:val="-4"/>
                        <w:sz w:val="18"/>
                      </w:rPr>
                      <w:t> </w:t>
                    </w:r>
                    <w:r>
                      <w:rPr>
                        <w:sz w:val="18"/>
                      </w:rPr>
                      <w:t>del</w:t>
                    </w:r>
                    <w:r>
                      <w:rPr>
                        <w:spacing w:val="-5"/>
                        <w:sz w:val="18"/>
                      </w:rPr>
                      <w:t> </w:t>
                    </w:r>
                    <w:r>
                      <w:rPr>
                        <w:sz w:val="18"/>
                      </w:rPr>
                      <w:t>estado</w:t>
                    </w:r>
                    <w:r>
                      <w:rPr>
                        <w:spacing w:val="-5"/>
                        <w:sz w:val="18"/>
                      </w:rPr>
                      <w:t> </w:t>
                    </w:r>
                    <w:r>
                      <w:rPr>
                        <w:sz w:val="18"/>
                      </w:rPr>
                      <w:t>de</w:t>
                    </w:r>
                    <w:r>
                      <w:rPr>
                        <w:spacing w:val="-5"/>
                        <w:sz w:val="18"/>
                      </w:rPr>
                      <w:t> </w:t>
                    </w:r>
                    <w:r>
                      <w:rPr>
                        <w:sz w:val="18"/>
                      </w:rPr>
                      <w:t>conservación</w:t>
                    </w:r>
                    <w:r>
                      <w:rPr>
                        <w:spacing w:val="-5"/>
                        <w:sz w:val="18"/>
                      </w:rPr>
                      <w:t> </w:t>
                    </w:r>
                    <w:r>
                      <w:rPr>
                        <w:sz w:val="18"/>
                      </w:rPr>
                      <w:t>de</w:t>
                    </w:r>
                    <w:r>
                      <w:rPr>
                        <w:spacing w:val="-3"/>
                        <w:sz w:val="18"/>
                      </w:rPr>
                      <w:t> </w:t>
                    </w:r>
                    <w:r>
                      <w:rPr>
                        <w:sz w:val="18"/>
                      </w:rPr>
                      <w:t>los</w:t>
                    </w:r>
                    <w:r>
                      <w:rPr>
                        <w:spacing w:val="-5"/>
                        <w:sz w:val="18"/>
                      </w:rPr>
                      <w:t> </w:t>
                    </w:r>
                    <w:r>
                      <w:rPr>
                        <w:sz w:val="18"/>
                      </w:rPr>
                      <w:t>puntos</w:t>
                    </w:r>
                    <w:r>
                      <w:rPr>
                        <w:spacing w:val="-5"/>
                        <w:sz w:val="18"/>
                      </w:rPr>
                      <w:t> </w:t>
                    </w:r>
                    <w:r>
                      <w:rPr>
                        <w:sz w:val="18"/>
                      </w:rPr>
                      <w:t>singulares</w:t>
                    </w:r>
                  </w:p>
                </w:txbxContent>
              </v:textbox>
              <w10:wrap type="none"/>
            </v:shape>
            <v:shape style="position:absolute;left:8450;top:43;width:554;height:498" type="#_x0000_t202" filled="false" stroked="false">
              <v:textbox inset="0,0,0,0">
                <w:txbxContent>
                  <w:p>
                    <w:pPr>
                      <w:spacing w:line="201" w:lineRule="exact" w:before="0"/>
                      <w:ind w:left="0" w:right="0" w:firstLine="0"/>
                      <w:jc w:val="left"/>
                      <w:rPr>
                        <w:sz w:val="18"/>
                      </w:rPr>
                    </w:pPr>
                    <w:r>
                      <w:rPr>
                        <w:sz w:val="18"/>
                      </w:rPr>
                      <w:t>3</w:t>
                    </w:r>
                    <w:r>
                      <w:rPr>
                        <w:spacing w:val="-9"/>
                        <w:sz w:val="18"/>
                      </w:rPr>
                      <w:t> </w:t>
                    </w:r>
                    <w:r>
                      <w:rPr>
                        <w:sz w:val="18"/>
                      </w:rPr>
                      <w:t>años</w:t>
                    </w:r>
                  </w:p>
                  <w:p>
                    <w:pPr>
                      <w:spacing w:before="89"/>
                      <w:ind w:left="0" w:right="0" w:firstLine="0"/>
                      <w:jc w:val="left"/>
                      <w:rPr>
                        <w:sz w:val="18"/>
                      </w:rPr>
                    </w:pPr>
                    <w:r>
                      <w:rPr>
                        <w:sz w:val="18"/>
                      </w:rPr>
                      <w:t>3</w:t>
                    </w:r>
                    <w:r>
                      <w:rPr>
                        <w:spacing w:val="-9"/>
                        <w:sz w:val="18"/>
                      </w:rPr>
                      <w:t> </w:t>
                    </w:r>
                    <w:r>
                      <w:rPr>
                        <w:sz w:val="18"/>
                      </w:rPr>
                      <w:t>años</w:t>
                    </w:r>
                  </w:p>
                </w:txbxContent>
              </v:textbox>
              <w10:wrap type="none"/>
            </v:shape>
          </v:group>
        </w:pict>
      </w:r>
      <w:r>
        <w:rPr/>
      </w:r>
    </w:p>
    <w:p>
      <w:pPr>
        <w:spacing w:line="138" w:lineRule="exact" w:before="0"/>
        <w:ind w:left="1352" w:right="0" w:firstLine="0"/>
        <w:jc w:val="left"/>
        <w:rPr>
          <w:b/>
          <w:sz w:val="16"/>
        </w:rPr>
      </w:pPr>
      <w:r>
        <w:rPr>
          <w:b/>
          <w:position w:val="6"/>
          <w:sz w:val="10"/>
        </w:rPr>
        <w:t>(1) </w:t>
      </w:r>
      <w:r>
        <w:rPr>
          <w:b/>
          <w:sz w:val="16"/>
        </w:rPr>
        <w:t>Además debe realizarse cada vez que haya habido tormentas importantes.</w:t>
      </w:r>
    </w:p>
    <w:p>
      <w:pPr>
        <w:spacing w:line="186" w:lineRule="exact" w:before="0"/>
        <w:ind w:left="1352" w:right="0" w:firstLine="0"/>
        <w:jc w:val="left"/>
        <w:rPr>
          <w:b/>
          <w:sz w:val="16"/>
        </w:rPr>
      </w:pPr>
      <w:r>
        <w:rPr>
          <w:b/>
          <w:position w:val="6"/>
          <w:sz w:val="10"/>
        </w:rPr>
        <w:t>(2) </w:t>
      </w:r>
      <w:r>
        <w:rPr>
          <w:b/>
          <w:sz w:val="16"/>
        </w:rPr>
        <w:t>Debe realizarse cada año al final del verano.</w:t>
      </w:r>
    </w:p>
    <w:p>
      <w:pPr>
        <w:spacing w:after="0" w:line="186" w:lineRule="exact"/>
        <w:jc w:val="left"/>
        <w:rPr>
          <w:sz w:val="16"/>
        </w:rPr>
        <w:sectPr>
          <w:pgSz w:w="11910" w:h="16840"/>
          <w:pgMar w:header="724" w:footer="636" w:top="1320" w:bottom="840" w:left="1200" w:right="738"/>
        </w:sectPr>
      </w:pPr>
    </w:p>
    <w:p>
      <w:pPr>
        <w:pStyle w:val="BodyText"/>
        <w:rPr>
          <w:b/>
        </w:rPr>
      </w:pPr>
    </w:p>
    <w:p>
      <w:pPr>
        <w:pStyle w:val="BodyText"/>
        <w:spacing w:before="9"/>
        <w:rPr>
          <w:b/>
          <w:sz w:val="21"/>
        </w:rPr>
      </w:pPr>
    </w:p>
    <w:p>
      <w:pPr>
        <w:pStyle w:val="Heading2"/>
        <w:spacing w:before="91"/>
      </w:pPr>
      <w:r>
        <w:rPr/>
        <w:t>Apéndice A Terminología</w:t>
      </w:r>
    </w:p>
    <w:p>
      <w:pPr>
        <w:pStyle w:val="Heading5"/>
        <w:spacing w:before="158"/>
      </w:pPr>
      <w:r>
        <w:rPr/>
        <w:t>Absorción</w:t>
      </w:r>
    </w:p>
    <w:p>
      <w:pPr>
        <w:pStyle w:val="BodyText"/>
        <w:spacing w:before="60"/>
        <w:ind w:left="218"/>
      </w:pPr>
      <w:r>
        <w:rPr/>
        <w:t>Retención de un gas o vapor por un líquido o de un líquido por un sólido.</w:t>
      </w:r>
    </w:p>
    <w:p>
      <w:pPr>
        <w:pStyle w:val="BodyText"/>
      </w:pPr>
    </w:p>
    <w:p>
      <w:pPr>
        <w:pStyle w:val="Heading5"/>
        <w:jc w:val="both"/>
      </w:pPr>
      <w:r>
        <w:rPr/>
        <w:t>Aislante no hidrófilo</w:t>
      </w:r>
    </w:p>
    <w:p>
      <w:pPr>
        <w:pStyle w:val="BodyText"/>
        <w:spacing w:line="237" w:lineRule="auto" w:before="62"/>
        <w:ind w:left="218" w:right="391"/>
        <w:jc w:val="both"/>
      </w:pPr>
      <w:r>
        <w:rPr/>
        <w:t>Aislante que tiene una </w:t>
      </w:r>
      <w:r>
        <w:rPr>
          <w:i/>
        </w:rPr>
        <w:t>succión </w:t>
      </w:r>
      <w:r>
        <w:rPr/>
        <w:t>o </w:t>
      </w:r>
      <w:r>
        <w:rPr>
          <w:i/>
        </w:rPr>
        <w:t>absorción </w:t>
      </w:r>
      <w:r>
        <w:rPr/>
        <w:t>de agua a corto plazo por inmersión parcial menor que 1kg/m</w:t>
      </w:r>
      <w:r>
        <w:rPr>
          <w:position w:val="7"/>
          <w:sz w:val="13"/>
        </w:rPr>
        <w:t>2 </w:t>
      </w:r>
      <w:r>
        <w:rPr/>
        <w:t>según ensayo UNE EN 1609:1997 o una </w:t>
      </w:r>
      <w:r>
        <w:rPr>
          <w:i/>
        </w:rPr>
        <w:t>absorción </w:t>
      </w:r>
      <w:r>
        <w:rPr/>
        <w:t>de agua a largo plazo por inmersión total menor que el 5% según ensayo UNE EN</w:t>
      </w:r>
      <w:r>
        <w:rPr>
          <w:spacing w:val="-7"/>
        </w:rPr>
        <w:t> </w:t>
      </w:r>
      <w:r>
        <w:rPr/>
        <w:t>12087:1997.</w:t>
      </w:r>
    </w:p>
    <w:p>
      <w:pPr>
        <w:pStyle w:val="BodyText"/>
        <w:spacing w:before="2"/>
      </w:pPr>
    </w:p>
    <w:p>
      <w:pPr>
        <w:pStyle w:val="Heading5"/>
        <w:jc w:val="both"/>
      </w:pPr>
      <w:r>
        <w:rPr/>
        <w:t>Aislante térmico</w:t>
      </w:r>
    </w:p>
    <w:p>
      <w:pPr>
        <w:pStyle w:val="BodyText"/>
        <w:spacing w:line="235" w:lineRule="auto" w:before="62"/>
        <w:ind w:left="218" w:right="390"/>
        <w:jc w:val="both"/>
      </w:pPr>
      <w:r>
        <w:rPr/>
        <w:t>Elemento</w:t>
      </w:r>
      <w:r>
        <w:rPr>
          <w:spacing w:val="-9"/>
        </w:rPr>
        <w:t> </w:t>
      </w:r>
      <w:r>
        <w:rPr/>
        <w:t>que</w:t>
      </w:r>
      <w:r>
        <w:rPr>
          <w:spacing w:val="-9"/>
        </w:rPr>
        <w:t> </w:t>
      </w:r>
      <w:r>
        <w:rPr/>
        <w:t>tiene</w:t>
      </w:r>
      <w:r>
        <w:rPr>
          <w:spacing w:val="-8"/>
        </w:rPr>
        <w:t> </w:t>
      </w:r>
      <w:r>
        <w:rPr/>
        <w:t>una</w:t>
      </w:r>
      <w:r>
        <w:rPr>
          <w:spacing w:val="-9"/>
        </w:rPr>
        <w:t> </w:t>
      </w:r>
      <w:r>
        <w:rPr/>
        <w:t>conductividad</w:t>
      </w:r>
      <w:r>
        <w:rPr>
          <w:spacing w:val="-10"/>
        </w:rPr>
        <w:t> </w:t>
      </w:r>
      <w:r>
        <w:rPr/>
        <w:t>térmica</w:t>
      </w:r>
      <w:r>
        <w:rPr>
          <w:spacing w:val="-8"/>
        </w:rPr>
        <w:t> </w:t>
      </w:r>
      <w:r>
        <w:rPr/>
        <w:t>menor</w:t>
      </w:r>
      <w:r>
        <w:rPr>
          <w:spacing w:val="-8"/>
        </w:rPr>
        <w:t> </w:t>
      </w:r>
      <w:r>
        <w:rPr/>
        <w:t>que</w:t>
      </w:r>
      <w:r>
        <w:rPr>
          <w:spacing w:val="-9"/>
        </w:rPr>
        <w:t> </w:t>
      </w:r>
      <w:r>
        <w:rPr/>
        <w:t>0,060</w:t>
      </w:r>
      <w:r>
        <w:rPr>
          <w:spacing w:val="-9"/>
        </w:rPr>
        <w:t> </w:t>
      </w:r>
      <w:r>
        <w:rPr/>
        <w:t>W/(mꞏK)</w:t>
      </w:r>
      <w:r>
        <w:rPr>
          <w:spacing w:val="-9"/>
        </w:rPr>
        <w:t> </w:t>
      </w:r>
      <w:r>
        <w:rPr/>
        <w:t>y</w:t>
      </w:r>
      <w:r>
        <w:rPr>
          <w:spacing w:val="-8"/>
        </w:rPr>
        <w:t> </w:t>
      </w:r>
      <w:r>
        <w:rPr/>
        <w:t>una</w:t>
      </w:r>
      <w:r>
        <w:rPr>
          <w:spacing w:val="-8"/>
        </w:rPr>
        <w:t> </w:t>
      </w:r>
      <w:r>
        <w:rPr/>
        <w:t>resistencia</w:t>
      </w:r>
      <w:r>
        <w:rPr>
          <w:spacing w:val="-8"/>
        </w:rPr>
        <w:t> </w:t>
      </w:r>
      <w:r>
        <w:rPr/>
        <w:t>térmica</w:t>
      </w:r>
      <w:r>
        <w:rPr>
          <w:spacing w:val="-9"/>
        </w:rPr>
        <w:t> </w:t>
      </w:r>
      <w:r>
        <w:rPr>
          <w:spacing w:val="-4"/>
        </w:rPr>
        <w:t>mayor </w:t>
      </w:r>
      <w:r>
        <w:rPr/>
        <w:t>que 0,25</w:t>
      </w:r>
      <w:r>
        <w:rPr>
          <w:spacing w:val="-4"/>
        </w:rPr>
        <w:t> </w:t>
      </w:r>
      <w:r>
        <w:rPr/>
        <w:t>m</w:t>
      </w:r>
      <w:r>
        <w:rPr>
          <w:position w:val="7"/>
          <w:sz w:val="13"/>
          <w:szCs w:val="13"/>
        </w:rPr>
        <w:t>2</w:t>
      </w:r>
      <w:r>
        <w:rPr/>
        <w:t>ꞏK/W.</w:t>
      </w:r>
    </w:p>
    <w:p>
      <w:pPr>
        <w:pStyle w:val="BodyText"/>
        <w:spacing w:before="2"/>
      </w:pPr>
    </w:p>
    <w:p>
      <w:pPr>
        <w:pStyle w:val="Heading5"/>
        <w:jc w:val="both"/>
      </w:pPr>
      <w:r>
        <w:rPr/>
        <w:t>Aplicaciones líquidas</w:t>
      </w:r>
    </w:p>
    <w:p>
      <w:pPr>
        <w:spacing w:before="59"/>
        <w:ind w:left="218" w:right="0" w:firstLine="0"/>
        <w:jc w:val="left"/>
        <w:rPr>
          <w:sz w:val="20"/>
        </w:rPr>
      </w:pPr>
      <w:r>
        <w:rPr>
          <w:sz w:val="20"/>
        </w:rPr>
        <w:t>Sustancias líquidas de </w:t>
      </w:r>
      <w:r>
        <w:rPr>
          <w:i/>
          <w:sz w:val="20"/>
        </w:rPr>
        <w:t>impermeabilización</w:t>
      </w:r>
      <w:r>
        <w:rPr>
          <w:sz w:val="20"/>
        </w:rPr>
        <w:t>.</w:t>
      </w:r>
    </w:p>
    <w:p>
      <w:pPr>
        <w:pStyle w:val="BodyText"/>
        <w:spacing w:before="1"/>
      </w:pPr>
    </w:p>
    <w:p>
      <w:pPr>
        <w:pStyle w:val="Heading5"/>
      </w:pPr>
      <w:r>
        <w:rPr/>
        <w:t>Área efectiva (de una abertura)</w:t>
      </w:r>
    </w:p>
    <w:p>
      <w:pPr>
        <w:pStyle w:val="BodyText"/>
        <w:spacing w:before="59"/>
        <w:ind w:left="218"/>
      </w:pPr>
      <w:r>
        <w:rPr/>
        <w:t>Área de la sección perpendicular a la dirección del movimiento del aire que está libre de obstáculos.</w:t>
      </w:r>
    </w:p>
    <w:p>
      <w:pPr>
        <w:pStyle w:val="BodyText"/>
        <w:spacing w:before="1"/>
      </w:pPr>
    </w:p>
    <w:p>
      <w:pPr>
        <w:pStyle w:val="Heading5"/>
      </w:pPr>
      <w:r>
        <w:rPr/>
        <w:t>Barrera contra el vapor</w:t>
      </w:r>
    </w:p>
    <w:p>
      <w:pPr>
        <w:pStyle w:val="BodyText"/>
        <w:spacing w:line="235" w:lineRule="auto" w:before="63"/>
        <w:ind w:left="218" w:right="393"/>
        <w:jc w:val="both"/>
      </w:pPr>
      <w:r>
        <w:rPr>
          <w:w w:val="100"/>
        </w:rPr>
        <w:t>Elemento</w:t>
      </w:r>
      <w:r>
        <w:rPr/>
        <w:t> </w:t>
      </w:r>
      <w:r>
        <w:rPr>
          <w:spacing w:val="-18"/>
        </w:rPr>
        <w:t> </w:t>
      </w:r>
      <w:r>
        <w:rPr>
          <w:w w:val="100"/>
        </w:rPr>
        <w:t>q</w:t>
      </w:r>
      <w:r>
        <w:rPr>
          <w:spacing w:val="-2"/>
          <w:w w:val="100"/>
        </w:rPr>
        <w:t>u</w:t>
      </w:r>
      <w:r>
        <w:rPr>
          <w:w w:val="100"/>
        </w:rPr>
        <w:t>e</w:t>
      </w:r>
      <w:r>
        <w:rPr/>
        <w:t> </w:t>
      </w:r>
      <w:r>
        <w:rPr>
          <w:spacing w:val="-18"/>
        </w:rPr>
        <w:t> </w:t>
      </w:r>
      <w:r>
        <w:rPr>
          <w:w w:val="100"/>
        </w:rPr>
        <w:t>tiene</w:t>
      </w:r>
      <w:r>
        <w:rPr/>
        <w:t> </w:t>
      </w:r>
      <w:r>
        <w:rPr>
          <w:spacing w:val="-18"/>
        </w:rPr>
        <w:t> </w:t>
      </w:r>
      <w:r>
        <w:rPr>
          <w:w w:val="100"/>
        </w:rPr>
        <w:t>una</w:t>
      </w:r>
      <w:r>
        <w:rPr/>
        <w:t> </w:t>
      </w:r>
      <w:r>
        <w:rPr>
          <w:spacing w:val="-18"/>
        </w:rPr>
        <w:t> </w:t>
      </w:r>
      <w:r>
        <w:rPr>
          <w:w w:val="100"/>
        </w:rPr>
        <w:t>res</w:t>
      </w:r>
      <w:r>
        <w:rPr>
          <w:spacing w:val="-2"/>
          <w:w w:val="100"/>
        </w:rPr>
        <w:t>i</w:t>
      </w:r>
      <w:r>
        <w:rPr>
          <w:w w:val="100"/>
        </w:rPr>
        <w:t>ste</w:t>
      </w:r>
      <w:r>
        <w:rPr>
          <w:spacing w:val="-2"/>
          <w:w w:val="100"/>
        </w:rPr>
        <w:t>n</w:t>
      </w:r>
      <w:r>
        <w:rPr>
          <w:w w:val="100"/>
        </w:rPr>
        <w:t>cia</w:t>
      </w:r>
      <w:r>
        <w:rPr/>
        <w:t> </w:t>
      </w:r>
      <w:r>
        <w:rPr>
          <w:spacing w:val="-18"/>
        </w:rPr>
        <w:t> </w:t>
      </w:r>
      <w:r>
        <w:rPr>
          <w:w w:val="100"/>
        </w:rPr>
        <w:t>a</w:t>
      </w:r>
      <w:r>
        <w:rPr/>
        <w:t> </w:t>
      </w:r>
      <w:r>
        <w:rPr>
          <w:spacing w:val="-19"/>
        </w:rPr>
        <w:t> </w:t>
      </w:r>
      <w:r>
        <w:rPr>
          <w:w w:val="100"/>
        </w:rPr>
        <w:t>la</w:t>
      </w:r>
      <w:r>
        <w:rPr/>
        <w:t> </w:t>
      </w:r>
      <w:r>
        <w:rPr>
          <w:spacing w:val="-18"/>
        </w:rPr>
        <w:t> </w:t>
      </w:r>
      <w:r>
        <w:rPr>
          <w:w w:val="100"/>
        </w:rPr>
        <w:t>difusión</w:t>
      </w:r>
      <w:r>
        <w:rPr/>
        <w:t> </w:t>
      </w:r>
      <w:r>
        <w:rPr>
          <w:spacing w:val="-18"/>
        </w:rPr>
        <w:t> </w:t>
      </w:r>
      <w:r>
        <w:rPr>
          <w:w w:val="100"/>
        </w:rPr>
        <w:t>de</w:t>
      </w:r>
      <w:r>
        <w:rPr/>
        <w:t> </w:t>
      </w:r>
      <w:r>
        <w:rPr>
          <w:spacing w:val="-18"/>
        </w:rPr>
        <w:t> </w:t>
      </w:r>
      <w:r>
        <w:rPr>
          <w:w w:val="100"/>
        </w:rPr>
        <w:t>vapor</w:t>
      </w:r>
      <w:r>
        <w:rPr/>
        <w:t> </w:t>
      </w:r>
      <w:r>
        <w:rPr>
          <w:spacing w:val="-18"/>
        </w:rPr>
        <w:t> </w:t>
      </w:r>
      <w:r>
        <w:rPr>
          <w:spacing w:val="-1"/>
          <w:w w:val="100"/>
        </w:rPr>
        <w:t>m</w:t>
      </w:r>
      <w:r>
        <w:rPr>
          <w:spacing w:val="-2"/>
          <w:w w:val="100"/>
        </w:rPr>
        <w:t>a</w:t>
      </w:r>
      <w:r>
        <w:rPr>
          <w:spacing w:val="-1"/>
          <w:w w:val="100"/>
        </w:rPr>
        <w:t>y</w:t>
      </w:r>
      <w:r>
        <w:rPr>
          <w:w w:val="100"/>
        </w:rPr>
        <w:t>or</w:t>
      </w:r>
      <w:r>
        <w:rPr/>
        <w:t> </w:t>
      </w:r>
      <w:r>
        <w:rPr>
          <w:spacing w:val="-18"/>
        </w:rPr>
        <w:t> </w:t>
      </w:r>
      <w:r>
        <w:rPr>
          <w:w w:val="100"/>
        </w:rPr>
        <w:t>que</w:t>
      </w:r>
      <w:r>
        <w:rPr/>
        <w:t> </w:t>
      </w:r>
      <w:r>
        <w:rPr>
          <w:spacing w:val="-18"/>
        </w:rPr>
        <w:t> </w:t>
      </w:r>
      <w:r>
        <w:rPr>
          <w:w w:val="100"/>
        </w:rPr>
        <w:t>10</w:t>
      </w:r>
      <w:r>
        <w:rPr/>
        <w:t> </w:t>
      </w:r>
      <w:r>
        <w:rPr>
          <w:spacing w:val="-18"/>
        </w:rPr>
        <w:t> </w:t>
      </w:r>
      <w:r>
        <w:rPr>
          <w:w w:val="100"/>
        </w:rPr>
        <w:t>MN</w:t>
      </w:r>
      <w:r>
        <w:rPr/>
        <w:t> </w:t>
      </w:r>
      <w:r>
        <w:rPr>
          <w:spacing w:val="-18"/>
        </w:rPr>
        <w:t> </w:t>
      </w:r>
      <w:r>
        <w:rPr>
          <w:w w:val="44"/>
        </w:rPr>
        <w:t>ꞏ</w:t>
      </w:r>
      <w:r>
        <w:rPr>
          <w:w w:val="100"/>
        </w:rPr>
        <w:t>s/g</w:t>
      </w:r>
      <w:r>
        <w:rPr/>
        <w:t> </w:t>
      </w:r>
      <w:r>
        <w:rPr>
          <w:spacing w:val="-18"/>
        </w:rPr>
        <w:t> </w:t>
      </w:r>
      <w:r>
        <w:rPr>
          <w:w w:val="100"/>
        </w:rPr>
        <w:t>e</w:t>
      </w:r>
      <w:r>
        <w:rPr>
          <w:spacing w:val="-2"/>
          <w:w w:val="100"/>
        </w:rPr>
        <w:t>q</w:t>
      </w:r>
      <w:r>
        <w:rPr>
          <w:w w:val="100"/>
        </w:rPr>
        <w:t>u</w:t>
      </w:r>
      <w:r>
        <w:rPr>
          <w:spacing w:val="-2"/>
          <w:w w:val="100"/>
        </w:rPr>
        <w:t>i</w:t>
      </w:r>
      <w:r>
        <w:rPr>
          <w:w w:val="100"/>
        </w:rPr>
        <w:t>valente</w:t>
      </w:r>
      <w:r>
        <w:rPr/>
        <w:t> </w:t>
      </w:r>
      <w:r>
        <w:rPr>
          <w:spacing w:val="-18"/>
        </w:rPr>
        <w:t> </w:t>
      </w:r>
      <w:r>
        <w:rPr>
          <w:w w:val="100"/>
        </w:rPr>
        <w:t>a</w:t>
      </w:r>
      <w:r>
        <w:rPr/>
        <w:t> </w:t>
      </w:r>
      <w:r>
        <w:rPr>
          <w:spacing w:val="-18"/>
        </w:rPr>
        <w:t> </w:t>
      </w:r>
      <w:r>
        <w:rPr>
          <w:spacing w:val="-7"/>
          <w:w w:val="100"/>
        </w:rPr>
        <w:t>2,7</w:t>
      </w:r>
      <w:r>
        <w:rPr>
          <w:w w:val="100"/>
        </w:rPr>
        <w:t> </w:t>
      </w:r>
      <w:r>
        <w:rPr/>
        <w:t>m</w:t>
      </w:r>
      <w:r>
        <w:rPr>
          <w:position w:val="7"/>
          <w:sz w:val="13"/>
          <w:szCs w:val="13"/>
        </w:rPr>
        <w:t>2</w:t>
      </w:r>
      <w:r>
        <w:rPr/>
        <w:t>ꞏhꞏPa/mg.</w:t>
      </w:r>
    </w:p>
    <w:p>
      <w:pPr>
        <w:pStyle w:val="BodyText"/>
        <w:spacing w:before="2"/>
      </w:pPr>
    </w:p>
    <w:p>
      <w:pPr>
        <w:pStyle w:val="Heading5"/>
        <w:spacing w:before="1"/>
        <w:jc w:val="both"/>
      </w:pPr>
      <w:r>
        <w:rPr/>
        <w:t>Cámara de aire ventilada</w:t>
      </w:r>
    </w:p>
    <w:p>
      <w:pPr>
        <w:pStyle w:val="BodyText"/>
        <w:spacing w:before="58"/>
        <w:ind w:left="218" w:right="390"/>
        <w:jc w:val="both"/>
      </w:pPr>
      <w:r>
        <w:rPr/>
        <w:t>Espacio de separación en la sección constructiva de una fachada o de una cubierta que permite la difusión del vapor de agua a través de aberturas al exterior dispuestas de forma que se garantiza la ventilación cruzada.</w:t>
      </w:r>
    </w:p>
    <w:p>
      <w:pPr>
        <w:pStyle w:val="BodyText"/>
        <w:spacing w:before="1"/>
      </w:pPr>
    </w:p>
    <w:p>
      <w:pPr>
        <w:pStyle w:val="Heading5"/>
        <w:jc w:val="both"/>
      </w:pPr>
      <w:r>
        <w:rPr/>
        <w:t>Cámara de bombeo</w:t>
      </w:r>
    </w:p>
    <w:p>
      <w:pPr>
        <w:pStyle w:val="BodyText"/>
        <w:spacing w:before="59"/>
        <w:ind w:left="218" w:right="391"/>
        <w:jc w:val="both"/>
      </w:pPr>
      <w:r>
        <w:rPr/>
        <w:t>Depósito o arqueta donde se acumula provisionalmente el agua drenada antes de su bombeo y donde están alojadas las bombas de achique, incluyendo las de reserva.</w:t>
      </w:r>
    </w:p>
    <w:p>
      <w:pPr>
        <w:pStyle w:val="BodyText"/>
      </w:pPr>
    </w:p>
    <w:p>
      <w:pPr>
        <w:pStyle w:val="Heading5"/>
        <w:spacing w:before="1"/>
        <w:jc w:val="both"/>
      </w:pPr>
      <w:r>
        <w:rPr/>
        <w:t>Capa antipunzonamiento</w:t>
      </w:r>
    </w:p>
    <w:p>
      <w:pPr>
        <w:pStyle w:val="BodyText"/>
        <w:spacing w:before="59"/>
        <w:ind w:left="218" w:right="393"/>
        <w:jc w:val="both"/>
      </w:pPr>
      <w:r>
        <w:rPr>
          <w:i/>
        </w:rPr>
        <w:t>Capa separadora </w:t>
      </w:r>
      <w:r>
        <w:rPr/>
        <w:t>que se interpone entre dos capas sometidas a presión y que sirve para proteger a la menos resistente y evitar con ello su rotura.</w:t>
      </w:r>
    </w:p>
    <w:p>
      <w:pPr>
        <w:pStyle w:val="BodyText"/>
        <w:spacing w:before="1"/>
      </w:pPr>
    </w:p>
    <w:p>
      <w:pPr>
        <w:pStyle w:val="Heading5"/>
        <w:jc w:val="both"/>
      </w:pPr>
      <w:r>
        <w:rPr/>
        <w:t>Capa de protección</w:t>
      </w:r>
    </w:p>
    <w:p>
      <w:pPr>
        <w:pStyle w:val="BodyText"/>
        <w:spacing w:before="59"/>
        <w:ind w:left="218" w:right="392"/>
        <w:jc w:val="both"/>
      </w:pPr>
      <w:r>
        <w:rPr/>
        <w:t>Producto que se dispone sobre la capa de </w:t>
      </w:r>
      <w:r>
        <w:rPr>
          <w:i/>
        </w:rPr>
        <w:t>impermeabilización </w:t>
      </w:r>
      <w:r>
        <w:rPr/>
        <w:t>para protegerla de las radiaciones ultravioletas y del impacto térmico directo del sol y además favorece la escorrentía y la evacuación del agua hacia los sumideros.</w:t>
      </w:r>
    </w:p>
    <w:p>
      <w:pPr>
        <w:pStyle w:val="BodyText"/>
      </w:pPr>
    </w:p>
    <w:p>
      <w:pPr>
        <w:pStyle w:val="Heading5"/>
        <w:spacing w:before="1"/>
        <w:jc w:val="both"/>
      </w:pPr>
      <w:r>
        <w:rPr/>
        <w:t>Capa de regulación</w:t>
      </w:r>
    </w:p>
    <w:p>
      <w:pPr>
        <w:pStyle w:val="BodyText"/>
        <w:spacing w:before="59"/>
        <w:ind w:left="218" w:right="393"/>
        <w:jc w:val="both"/>
      </w:pPr>
      <w:r>
        <w:rPr/>
        <w:t>Capa que se dispone sobre la capa drenante o el terreno para eliminar las posibles irregularidades y desniveles y así recibir de forma homogénea el hormigón de la </w:t>
      </w:r>
      <w:r>
        <w:rPr>
          <w:i/>
        </w:rPr>
        <w:t>solera </w:t>
      </w:r>
      <w:r>
        <w:rPr/>
        <w:t>o la </w:t>
      </w:r>
      <w:r>
        <w:rPr>
          <w:i/>
        </w:rPr>
        <w:t>placa</w:t>
      </w:r>
      <w:r>
        <w:rPr/>
        <w:t>.</w:t>
      </w:r>
    </w:p>
    <w:p>
      <w:pPr>
        <w:pStyle w:val="BodyText"/>
        <w:spacing w:before="1"/>
      </w:pPr>
    </w:p>
    <w:p>
      <w:pPr>
        <w:pStyle w:val="Heading5"/>
        <w:jc w:val="both"/>
      </w:pPr>
      <w:r>
        <w:rPr/>
        <w:t>Capa separadora</w:t>
      </w:r>
    </w:p>
    <w:p>
      <w:pPr>
        <w:pStyle w:val="BodyText"/>
        <w:spacing w:before="119"/>
        <w:ind w:left="218" w:right="392"/>
        <w:jc w:val="both"/>
      </w:pPr>
      <w:r>
        <w:rPr/>
        <w:t>Capa que se intercala entre elementos del sistema de </w:t>
      </w:r>
      <w:r>
        <w:rPr>
          <w:i/>
        </w:rPr>
        <w:t>impermeabilización </w:t>
      </w:r>
      <w:r>
        <w:rPr/>
        <w:t>para todas o algunas de las finalidades siguientes:</w:t>
      </w:r>
    </w:p>
    <w:p>
      <w:pPr>
        <w:pStyle w:val="ListParagraph"/>
        <w:numPr>
          <w:ilvl w:val="0"/>
          <w:numId w:val="93"/>
        </w:numPr>
        <w:tabs>
          <w:tab w:pos="1126" w:val="left" w:leader="none"/>
          <w:tab w:pos="1127" w:val="left" w:leader="none"/>
        </w:tabs>
        <w:spacing w:line="240" w:lineRule="auto" w:before="120" w:after="0"/>
        <w:ind w:left="1126" w:right="0" w:hanging="455"/>
        <w:jc w:val="left"/>
        <w:rPr>
          <w:sz w:val="20"/>
        </w:rPr>
      </w:pPr>
      <w:r>
        <w:rPr>
          <w:sz w:val="20"/>
        </w:rPr>
        <w:t>evitar la adherencia entre</w:t>
      </w:r>
      <w:r>
        <w:rPr>
          <w:spacing w:val="-1"/>
          <w:sz w:val="20"/>
        </w:rPr>
        <w:t> </w:t>
      </w:r>
      <w:r>
        <w:rPr>
          <w:sz w:val="20"/>
        </w:rPr>
        <w:t>ellos;</w:t>
      </w:r>
    </w:p>
    <w:p>
      <w:pPr>
        <w:pStyle w:val="ListParagraph"/>
        <w:numPr>
          <w:ilvl w:val="0"/>
          <w:numId w:val="93"/>
        </w:numPr>
        <w:tabs>
          <w:tab w:pos="1125" w:val="left" w:leader="none"/>
          <w:tab w:pos="1126" w:val="left" w:leader="none"/>
        </w:tabs>
        <w:spacing w:line="240" w:lineRule="auto" w:before="120" w:after="0"/>
        <w:ind w:left="1125" w:right="0" w:hanging="454"/>
        <w:jc w:val="left"/>
        <w:rPr>
          <w:sz w:val="20"/>
        </w:rPr>
      </w:pPr>
      <w:r>
        <w:rPr>
          <w:sz w:val="20"/>
        </w:rPr>
        <w:t>proporcionar protección física o química a la</w:t>
      </w:r>
      <w:r>
        <w:rPr>
          <w:spacing w:val="-12"/>
          <w:sz w:val="20"/>
        </w:rPr>
        <w:t> </w:t>
      </w:r>
      <w:r>
        <w:rPr>
          <w:sz w:val="20"/>
        </w:rPr>
        <w:t>membrana;</w:t>
      </w:r>
    </w:p>
    <w:p>
      <w:pPr>
        <w:pStyle w:val="ListParagraph"/>
        <w:numPr>
          <w:ilvl w:val="0"/>
          <w:numId w:val="93"/>
        </w:numPr>
        <w:tabs>
          <w:tab w:pos="1125" w:val="left" w:leader="none"/>
          <w:tab w:pos="1126" w:val="left" w:leader="none"/>
        </w:tabs>
        <w:spacing w:line="240" w:lineRule="auto" w:before="120" w:after="0"/>
        <w:ind w:left="1125" w:right="0" w:hanging="454"/>
        <w:jc w:val="left"/>
        <w:rPr>
          <w:sz w:val="20"/>
        </w:rPr>
      </w:pPr>
      <w:r>
        <w:rPr>
          <w:sz w:val="20"/>
        </w:rPr>
        <w:t>permitir los movimientos diferenciales entre los </w:t>
      </w:r>
      <w:r>
        <w:rPr>
          <w:i/>
          <w:sz w:val="20"/>
        </w:rPr>
        <w:t>componentes </w:t>
      </w:r>
      <w:r>
        <w:rPr>
          <w:sz w:val="20"/>
        </w:rPr>
        <w:t>de la</w:t>
      </w:r>
      <w:r>
        <w:rPr>
          <w:spacing w:val="-10"/>
          <w:sz w:val="20"/>
        </w:rPr>
        <w:t> </w:t>
      </w:r>
      <w:r>
        <w:rPr>
          <w:sz w:val="20"/>
        </w:rPr>
        <w:t>cubierta;</w:t>
      </w:r>
    </w:p>
    <w:p>
      <w:pPr>
        <w:pStyle w:val="ListParagraph"/>
        <w:numPr>
          <w:ilvl w:val="0"/>
          <w:numId w:val="93"/>
        </w:numPr>
        <w:tabs>
          <w:tab w:pos="1126" w:val="left" w:leader="none"/>
          <w:tab w:pos="1127" w:val="left" w:leader="none"/>
        </w:tabs>
        <w:spacing w:line="240" w:lineRule="auto" w:before="120" w:after="0"/>
        <w:ind w:left="1126" w:right="0" w:hanging="455"/>
        <w:jc w:val="left"/>
        <w:rPr>
          <w:sz w:val="20"/>
        </w:rPr>
      </w:pPr>
      <w:r>
        <w:rPr>
          <w:sz w:val="20"/>
        </w:rPr>
        <w:t>actuar como capa</w:t>
      </w:r>
      <w:r>
        <w:rPr>
          <w:spacing w:val="-3"/>
          <w:sz w:val="20"/>
        </w:rPr>
        <w:t> </w:t>
      </w:r>
      <w:r>
        <w:rPr>
          <w:sz w:val="20"/>
        </w:rPr>
        <w:t>antipunzonante;</w:t>
      </w:r>
    </w:p>
    <w:p>
      <w:pPr>
        <w:spacing w:after="0" w:line="240" w:lineRule="auto"/>
        <w:jc w:val="left"/>
        <w:rPr>
          <w:sz w:val="20"/>
        </w:rPr>
        <w:sectPr>
          <w:pgSz w:w="11910" w:h="16840"/>
          <w:pgMar w:header="724" w:footer="636" w:top="1320" w:bottom="840" w:left="1200" w:right="738"/>
        </w:sectPr>
      </w:pPr>
    </w:p>
    <w:p>
      <w:pPr>
        <w:pStyle w:val="ListParagraph"/>
        <w:numPr>
          <w:ilvl w:val="0"/>
          <w:numId w:val="93"/>
        </w:numPr>
        <w:tabs>
          <w:tab w:pos="1125" w:val="left" w:leader="none"/>
          <w:tab w:pos="1127" w:val="left" w:leader="none"/>
        </w:tabs>
        <w:spacing w:line="240" w:lineRule="auto" w:before="89" w:after="0"/>
        <w:ind w:left="1126" w:right="0" w:hanging="456"/>
        <w:jc w:val="left"/>
        <w:rPr>
          <w:sz w:val="20"/>
        </w:rPr>
      </w:pPr>
      <w:r>
        <w:rPr>
          <w:sz w:val="20"/>
        </w:rPr>
        <w:t>actuar como capa</w:t>
      </w:r>
      <w:r>
        <w:rPr>
          <w:spacing w:val="-3"/>
          <w:sz w:val="20"/>
        </w:rPr>
        <w:t> </w:t>
      </w:r>
      <w:r>
        <w:rPr>
          <w:sz w:val="20"/>
        </w:rPr>
        <w:t>filtrante;</w:t>
      </w:r>
    </w:p>
    <w:p>
      <w:pPr>
        <w:pStyle w:val="ListParagraph"/>
        <w:numPr>
          <w:ilvl w:val="0"/>
          <w:numId w:val="93"/>
        </w:numPr>
        <w:tabs>
          <w:tab w:pos="1125" w:val="left" w:leader="none"/>
          <w:tab w:pos="1126" w:val="left" w:leader="none"/>
        </w:tabs>
        <w:spacing w:line="240" w:lineRule="auto" w:before="120" w:after="0"/>
        <w:ind w:left="1125" w:right="0" w:hanging="455"/>
        <w:jc w:val="left"/>
        <w:rPr>
          <w:sz w:val="20"/>
        </w:rPr>
      </w:pPr>
      <w:r>
        <w:rPr>
          <w:sz w:val="20"/>
        </w:rPr>
        <w:t>actuar como capa</w:t>
      </w:r>
      <w:r>
        <w:rPr>
          <w:spacing w:val="-3"/>
          <w:sz w:val="20"/>
        </w:rPr>
        <w:t> </w:t>
      </w:r>
      <w:r>
        <w:rPr>
          <w:sz w:val="20"/>
        </w:rPr>
        <w:t>ignífuga.</w:t>
      </w:r>
    </w:p>
    <w:p>
      <w:pPr>
        <w:pStyle w:val="BodyText"/>
        <w:spacing w:before="7"/>
        <w:rPr>
          <w:sz w:val="30"/>
        </w:rPr>
      </w:pPr>
    </w:p>
    <w:p>
      <w:pPr>
        <w:pStyle w:val="Heading5"/>
      </w:pPr>
      <w:r>
        <w:rPr/>
        <w:t>Capilaridad</w:t>
      </w:r>
    </w:p>
    <w:p>
      <w:pPr>
        <w:pStyle w:val="BodyText"/>
        <w:spacing w:before="58"/>
        <w:ind w:left="218" w:right="391"/>
        <w:jc w:val="both"/>
      </w:pPr>
      <w:r>
        <w:rPr/>
        <w:t>Fenómeno según el cual la superficie de un líquido en contacto con un sólido se eleva o se deprime debido a la fuerza resultante de atracciones entre las moléculas del líquido (cohesión) y las de éste con las del sólido (adhesión).</w:t>
      </w:r>
    </w:p>
    <w:p>
      <w:pPr>
        <w:pStyle w:val="BodyText"/>
        <w:spacing w:before="1"/>
      </w:pPr>
    </w:p>
    <w:p>
      <w:pPr>
        <w:pStyle w:val="Heading5"/>
        <w:jc w:val="both"/>
      </w:pPr>
      <w:r>
        <w:rPr/>
        <w:t>Coeficiente de permeabilidad</w:t>
      </w:r>
    </w:p>
    <w:p>
      <w:pPr>
        <w:pStyle w:val="BodyText"/>
        <w:spacing w:before="60"/>
        <w:ind w:left="218" w:right="390"/>
        <w:jc w:val="both"/>
      </w:pPr>
      <w:r>
        <w:rPr/>
        <w:t>Parámetro indicador del grado de permeabilidad de un suelo medido por la velocidad de paso del agua a través de él. Se expresa en m/s o cm/s. Puede determinarse directamente mediante ensayo en permeámetro o mediante ensayo in situ, o indirectamente a partir de la granulometría y la porosidad del terreno.</w:t>
      </w:r>
    </w:p>
    <w:p>
      <w:pPr>
        <w:pStyle w:val="BodyText"/>
      </w:pPr>
    </w:p>
    <w:p>
      <w:pPr>
        <w:pStyle w:val="Heading5"/>
        <w:spacing w:before="1"/>
      </w:pPr>
      <w:r>
        <w:rPr/>
        <w:t>Componente</w:t>
      </w:r>
    </w:p>
    <w:p>
      <w:pPr>
        <w:spacing w:before="58"/>
        <w:ind w:left="218" w:right="0" w:firstLine="0"/>
        <w:jc w:val="left"/>
        <w:rPr>
          <w:sz w:val="20"/>
        </w:rPr>
      </w:pPr>
      <w:r>
        <w:rPr>
          <w:sz w:val="20"/>
        </w:rPr>
        <w:t>Cada una de las partes de las que consta un </w:t>
      </w:r>
      <w:r>
        <w:rPr>
          <w:i/>
          <w:sz w:val="20"/>
        </w:rPr>
        <w:t>elemento constructivo</w:t>
      </w:r>
      <w:r>
        <w:rPr>
          <w:sz w:val="20"/>
        </w:rPr>
        <w:t>.</w:t>
      </w:r>
    </w:p>
    <w:p>
      <w:pPr>
        <w:pStyle w:val="BodyText"/>
        <w:spacing w:before="1"/>
      </w:pPr>
    </w:p>
    <w:p>
      <w:pPr>
        <w:pStyle w:val="Heading5"/>
        <w:spacing w:before="1"/>
      </w:pPr>
      <w:r>
        <w:rPr/>
        <w:t>Cubrejunta</w:t>
      </w:r>
    </w:p>
    <w:p>
      <w:pPr>
        <w:pStyle w:val="BodyText"/>
        <w:spacing w:before="58"/>
        <w:ind w:left="218"/>
      </w:pPr>
      <w:r>
        <w:rPr/>
        <w:t>Pequeña pieza de madera o metal que se utiliza para fijar una junta a tope.</w:t>
      </w:r>
    </w:p>
    <w:p>
      <w:pPr>
        <w:pStyle w:val="BodyText"/>
        <w:spacing w:before="1"/>
      </w:pPr>
    </w:p>
    <w:p>
      <w:pPr>
        <w:pStyle w:val="Heading5"/>
        <w:spacing w:before="1"/>
      </w:pPr>
      <w:r>
        <w:rPr/>
        <w:t>Drenaje</w:t>
      </w:r>
    </w:p>
    <w:p>
      <w:pPr>
        <w:pStyle w:val="BodyText"/>
        <w:spacing w:before="58"/>
        <w:ind w:left="218" w:right="418"/>
      </w:pPr>
      <w:r>
        <w:rPr/>
        <w:t>Operación de dar salida a las aguas muertas o a la excesiva humedad de los terrenos por medio de zanjas o cañerías.</w:t>
      </w:r>
    </w:p>
    <w:p>
      <w:pPr>
        <w:pStyle w:val="BodyText"/>
        <w:spacing w:before="1"/>
      </w:pPr>
    </w:p>
    <w:p>
      <w:pPr>
        <w:pStyle w:val="Heading5"/>
        <w:jc w:val="both"/>
      </w:pPr>
      <w:r>
        <w:rPr/>
        <w:t>Elemento constructivo</w:t>
      </w:r>
    </w:p>
    <w:p>
      <w:pPr>
        <w:pStyle w:val="BodyText"/>
        <w:spacing w:before="59"/>
        <w:ind w:left="218" w:right="391"/>
        <w:jc w:val="both"/>
      </w:pPr>
      <w:r>
        <w:rPr/>
        <w:t>Parte del edificio con una función independiente. Se entienden como tales los suelos, los muros, las fachadas y las cubiertas.</w:t>
      </w:r>
    </w:p>
    <w:p>
      <w:pPr>
        <w:pStyle w:val="BodyText"/>
        <w:spacing w:before="1"/>
      </w:pPr>
    </w:p>
    <w:p>
      <w:pPr>
        <w:pStyle w:val="Heading5"/>
        <w:jc w:val="both"/>
      </w:pPr>
      <w:r>
        <w:rPr/>
        <w:t>Elemento pasante</w:t>
      </w:r>
    </w:p>
    <w:p>
      <w:pPr>
        <w:pStyle w:val="BodyText"/>
        <w:spacing w:before="60"/>
        <w:ind w:left="218" w:right="392"/>
        <w:jc w:val="both"/>
      </w:pPr>
      <w:r>
        <w:rPr/>
        <w:t>Elemento que atraviesa un </w:t>
      </w:r>
      <w:r>
        <w:rPr>
          <w:i/>
        </w:rPr>
        <w:t>elemento constructivo</w:t>
      </w:r>
      <w:r>
        <w:rPr/>
        <w:t>. Se entienden como tales las bajantes y las chimeneas que atraviesan las cubiertas.</w:t>
      </w:r>
    </w:p>
    <w:p>
      <w:pPr>
        <w:pStyle w:val="BodyText"/>
        <w:spacing w:before="11"/>
        <w:rPr>
          <w:sz w:val="19"/>
        </w:rPr>
      </w:pPr>
    </w:p>
    <w:p>
      <w:pPr>
        <w:pStyle w:val="Heading5"/>
      </w:pPr>
      <w:r>
        <w:rPr/>
        <w:t>Encachado</w:t>
      </w:r>
    </w:p>
    <w:p>
      <w:pPr>
        <w:pStyle w:val="BodyText"/>
        <w:spacing w:before="59"/>
        <w:ind w:left="218" w:right="418" w:hanging="1"/>
      </w:pPr>
      <w:r>
        <w:rPr/>
        <w:t>Capa de grava de diámetro grande que sirve de base a una </w:t>
      </w:r>
      <w:r>
        <w:rPr>
          <w:i/>
        </w:rPr>
        <w:t>solera </w:t>
      </w:r>
      <w:r>
        <w:rPr/>
        <w:t>apoyada en el terreno con el fin de dificultar la ascensión del agua del terreno por </w:t>
      </w:r>
      <w:r>
        <w:rPr>
          <w:i/>
        </w:rPr>
        <w:t>capilaridad </w:t>
      </w:r>
      <w:r>
        <w:rPr/>
        <w:t>a ésta.</w:t>
      </w:r>
    </w:p>
    <w:p>
      <w:pPr>
        <w:pStyle w:val="BodyText"/>
        <w:spacing w:before="1"/>
      </w:pPr>
    </w:p>
    <w:p>
      <w:pPr>
        <w:pStyle w:val="Heading5"/>
        <w:spacing w:before="1"/>
      </w:pPr>
      <w:r>
        <w:rPr/>
        <w:t>Enjarje</w:t>
      </w:r>
    </w:p>
    <w:p>
      <w:pPr>
        <w:pStyle w:val="BodyText"/>
        <w:spacing w:before="59"/>
        <w:ind w:left="218"/>
      </w:pPr>
      <w:r>
        <w:rPr/>
        <w:t>Cada uno de los dentellones que se forman en la interrupción lateral de un muro para su trabazón al proseguirlo.</w:t>
      </w:r>
    </w:p>
    <w:p>
      <w:pPr>
        <w:pStyle w:val="BodyText"/>
        <w:spacing w:before="1"/>
      </w:pPr>
    </w:p>
    <w:p>
      <w:pPr>
        <w:pStyle w:val="Heading5"/>
        <w:jc w:val="both"/>
      </w:pPr>
      <w:r>
        <w:rPr/>
        <w:t>Formación de pendientes (sistema de)</w:t>
      </w:r>
    </w:p>
    <w:p>
      <w:pPr>
        <w:pStyle w:val="BodyText"/>
        <w:spacing w:before="58"/>
        <w:ind w:left="218" w:right="392"/>
        <w:jc w:val="both"/>
      </w:pPr>
      <w:r>
        <w:rPr/>
        <w:t>Sistema constructivo situado sobre el soporte resistente de una cubierta y que tiene una inclinación para facilitar la evacuación de agua.</w:t>
      </w:r>
    </w:p>
    <w:p>
      <w:pPr>
        <w:pStyle w:val="BodyText"/>
        <w:spacing w:before="1"/>
      </w:pPr>
    </w:p>
    <w:p>
      <w:pPr>
        <w:pStyle w:val="Heading5"/>
      </w:pPr>
      <w:r>
        <w:rPr/>
        <w:t>Geotextil</w:t>
      </w:r>
    </w:p>
    <w:p>
      <w:pPr>
        <w:pStyle w:val="BodyText"/>
        <w:spacing w:before="60"/>
        <w:ind w:left="218" w:right="418"/>
      </w:pPr>
      <w:r>
        <w:rPr/>
        <w:t>Tipo de lámina plástica que contiene un tejido de refuerzo y cuyas principales funciones son filtrar, proteger químicamente y desolidarizar capas en contacto.</w:t>
      </w:r>
    </w:p>
    <w:p>
      <w:pPr>
        <w:pStyle w:val="BodyText"/>
        <w:spacing w:before="1"/>
      </w:pPr>
    </w:p>
    <w:p>
      <w:pPr>
        <w:pStyle w:val="Heading5"/>
        <w:jc w:val="both"/>
      </w:pPr>
      <w:r>
        <w:rPr/>
        <w:t>Grado de impermeabilidad</w:t>
      </w:r>
    </w:p>
    <w:p>
      <w:pPr>
        <w:pStyle w:val="BodyText"/>
        <w:spacing w:before="59"/>
        <w:ind w:left="218" w:right="389"/>
        <w:jc w:val="both"/>
      </w:pPr>
      <w:r>
        <w:rPr/>
        <w:t>Número indicador de la resistencia al paso del agua característica de una </w:t>
      </w:r>
      <w:r>
        <w:rPr>
          <w:i/>
        </w:rPr>
        <w:t>solución constructiva </w:t>
      </w:r>
      <w:r>
        <w:rPr/>
        <w:t>definido de tal manera que crece al crecer dicha resistencia y, en consecuencia, cuanto mayor sea la solicitación de humedad mayor debe ser el </w:t>
      </w:r>
      <w:r>
        <w:rPr>
          <w:i/>
        </w:rPr>
        <w:t>grado de impermeabilidad </w:t>
      </w:r>
      <w:r>
        <w:rPr/>
        <w:t>de dicha solución para alcanzar el mismo resultado. La gradación se aplica a las soluciones de cada </w:t>
      </w:r>
      <w:r>
        <w:rPr>
          <w:i/>
        </w:rPr>
        <w:t>elemento constructivo </w:t>
      </w:r>
      <w:r>
        <w:rPr/>
        <w:t>de forma independiente a las de los demás elementos. Por lo tanto, las gradaciones de los distintos elementos no son necesariamente equivalentes: así, el grado 3 de un muro no tiene por qué equivaler al grado 3 de una fachada.</w:t>
      </w:r>
    </w:p>
    <w:p>
      <w:pPr>
        <w:spacing w:after="0"/>
        <w:jc w:val="both"/>
        <w:sectPr>
          <w:pgSz w:w="11910" w:h="16840"/>
          <w:pgMar w:header="724" w:footer="636" w:top="1320" w:bottom="840" w:left="1200" w:right="738"/>
        </w:sectPr>
      </w:pPr>
    </w:p>
    <w:p>
      <w:pPr>
        <w:pStyle w:val="Heading5"/>
        <w:spacing w:line="229" w:lineRule="exact" w:before="91"/>
      </w:pPr>
      <w:r>
        <w:rPr/>
        <w:t>Higroscopicidad</w:t>
      </w:r>
    </w:p>
    <w:p>
      <w:pPr>
        <w:pStyle w:val="BodyText"/>
        <w:ind w:left="218" w:right="418"/>
      </w:pPr>
      <w:r>
        <w:rPr/>
        <w:t>Propiedad de un material de absorber o ceder agua en función de la humedad relativa del ambiente en que se</w:t>
      </w:r>
      <w:r>
        <w:rPr>
          <w:spacing w:val="-1"/>
        </w:rPr>
        <w:t> </w:t>
      </w:r>
      <w:r>
        <w:rPr/>
        <w:t>encuentra.</w:t>
      </w:r>
    </w:p>
    <w:p>
      <w:pPr>
        <w:pStyle w:val="BodyText"/>
      </w:pPr>
    </w:p>
    <w:p>
      <w:pPr>
        <w:pStyle w:val="Heading5"/>
      </w:pPr>
      <w:r>
        <w:rPr/>
        <w:t>Hoja principal</w:t>
      </w:r>
    </w:p>
    <w:p>
      <w:pPr>
        <w:pStyle w:val="BodyText"/>
        <w:spacing w:before="59"/>
        <w:ind w:left="218" w:right="418"/>
      </w:pPr>
      <w:r>
        <w:rPr/>
        <w:t>Hoja de una fachada cuya función es la de soportar el resto de las hojas y </w:t>
      </w:r>
      <w:r>
        <w:rPr>
          <w:i/>
        </w:rPr>
        <w:t>componentes </w:t>
      </w:r>
      <w:r>
        <w:rPr/>
        <w:t>de la fachada, así como, en su caso desempeñar la función estructural.</w:t>
      </w:r>
    </w:p>
    <w:p>
      <w:pPr>
        <w:pStyle w:val="BodyText"/>
        <w:spacing w:before="1"/>
      </w:pPr>
    </w:p>
    <w:p>
      <w:pPr>
        <w:pStyle w:val="Heading5"/>
      </w:pPr>
      <w:r>
        <w:rPr/>
        <w:t>Hormigón de consistencia fluida</w:t>
      </w:r>
    </w:p>
    <w:p>
      <w:pPr>
        <w:pStyle w:val="BodyText"/>
        <w:spacing w:before="60"/>
        <w:ind w:left="218" w:right="417"/>
      </w:pPr>
      <w:r>
        <w:rPr/>
        <w:t>Hormigón que, ensayado en la mesa de sacudidas, presenta un asentamiento comprendido entre el 70% y el 100%, que equivale aproximadamente a un asiento superior mayor que 20 cm en el cono de  Abrams.</w:t>
      </w:r>
    </w:p>
    <w:p>
      <w:pPr>
        <w:pStyle w:val="BodyText"/>
      </w:pPr>
    </w:p>
    <w:p>
      <w:pPr>
        <w:pStyle w:val="Heading5"/>
      </w:pPr>
      <w:r>
        <w:rPr/>
        <w:t>Hormigón de elevada compacidad</w:t>
      </w:r>
    </w:p>
    <w:p>
      <w:pPr>
        <w:pStyle w:val="BodyText"/>
        <w:spacing w:before="59"/>
        <w:ind w:left="218"/>
      </w:pPr>
      <w:r>
        <w:rPr/>
        <w:t>Hormigón con un índice muy reducido de huecos en su granulometría.</w:t>
      </w:r>
    </w:p>
    <w:p>
      <w:pPr>
        <w:pStyle w:val="BodyText"/>
        <w:spacing w:before="1"/>
      </w:pPr>
    </w:p>
    <w:p>
      <w:pPr>
        <w:pStyle w:val="Heading5"/>
      </w:pPr>
      <w:r>
        <w:rPr/>
        <w:t>Hormigón</w:t>
      </w:r>
      <w:r>
        <w:rPr>
          <w:spacing w:val="-8"/>
        </w:rPr>
        <w:t> </w:t>
      </w:r>
      <w:r>
        <w:rPr/>
        <w:t>hidrófugo</w:t>
      </w:r>
    </w:p>
    <w:p>
      <w:pPr>
        <w:pStyle w:val="BodyText"/>
        <w:spacing w:before="59"/>
        <w:ind w:left="218" w:right="418"/>
      </w:pPr>
      <w:r>
        <w:rPr/>
        <w:t>Hormigón que, por contener sustancias de carácter químico hidrófobo, evita o disminuye sensiblemente la </w:t>
      </w:r>
      <w:r>
        <w:rPr>
          <w:i/>
        </w:rPr>
        <w:t>absorción </w:t>
      </w:r>
      <w:r>
        <w:rPr/>
        <w:t>de</w:t>
      </w:r>
      <w:r>
        <w:rPr>
          <w:spacing w:val="-4"/>
        </w:rPr>
        <w:t> </w:t>
      </w:r>
      <w:r>
        <w:rPr/>
        <w:t>agua.</w:t>
      </w:r>
    </w:p>
    <w:p>
      <w:pPr>
        <w:pStyle w:val="BodyText"/>
        <w:spacing w:before="1"/>
      </w:pPr>
    </w:p>
    <w:p>
      <w:pPr>
        <w:pStyle w:val="Heading5"/>
        <w:spacing w:before="1"/>
      </w:pPr>
      <w:r>
        <w:rPr/>
        <w:t>Hormigón de retracción moderada</w:t>
      </w:r>
    </w:p>
    <w:p>
      <w:pPr>
        <w:pStyle w:val="BodyText"/>
        <w:spacing w:before="58"/>
        <w:ind w:left="218" w:right="418"/>
      </w:pPr>
      <w:r>
        <w:rPr/>
        <w:t>Hormigón que sufre poca reducción de volumen como consecuencia del proceso físico-químico del fraguado, endurecimiento o desecación.</w:t>
      </w:r>
    </w:p>
    <w:p>
      <w:pPr>
        <w:pStyle w:val="BodyText"/>
        <w:spacing w:before="1"/>
      </w:pPr>
    </w:p>
    <w:p>
      <w:pPr>
        <w:pStyle w:val="Heading5"/>
      </w:pPr>
      <w:r>
        <w:rPr/>
        <w:t>Impermeabilización</w:t>
      </w:r>
    </w:p>
    <w:p>
      <w:pPr>
        <w:pStyle w:val="BodyText"/>
        <w:spacing w:before="59"/>
        <w:ind w:left="218" w:right="418"/>
      </w:pPr>
      <w:r>
        <w:rPr/>
        <w:t>Procedimiento destinado a evitar el mojado o la </w:t>
      </w:r>
      <w:r>
        <w:rPr>
          <w:i/>
        </w:rPr>
        <w:t>absorción </w:t>
      </w:r>
      <w:r>
        <w:rPr/>
        <w:t>de agua por un material o </w:t>
      </w:r>
      <w:r>
        <w:rPr>
          <w:i/>
        </w:rPr>
        <w:t>elemento </w:t>
      </w:r>
      <w:r>
        <w:rPr>
          <w:i/>
        </w:rPr>
        <w:t>constructivo</w:t>
      </w:r>
      <w:r>
        <w:rPr/>
        <w:t>. Puede hacerse durante su fabricación o mediante la posterior aplicación de un tratamiento.</w:t>
      </w:r>
    </w:p>
    <w:p>
      <w:pPr>
        <w:pStyle w:val="BodyText"/>
        <w:spacing w:before="1"/>
      </w:pPr>
    </w:p>
    <w:p>
      <w:pPr>
        <w:pStyle w:val="Heading5"/>
      </w:pPr>
      <w:r>
        <w:rPr/>
        <w:t>Impermeabilizante</w:t>
      </w:r>
    </w:p>
    <w:p>
      <w:pPr>
        <w:pStyle w:val="BodyText"/>
        <w:spacing w:before="60"/>
        <w:ind w:left="218"/>
      </w:pPr>
      <w:r>
        <w:rPr/>
        <w:t>Producto que evita el paso de agua a través de los materiales tratados con él.</w:t>
      </w:r>
    </w:p>
    <w:p>
      <w:pPr>
        <w:pStyle w:val="BodyText"/>
      </w:pPr>
    </w:p>
    <w:p>
      <w:pPr>
        <w:pStyle w:val="Heading5"/>
      </w:pPr>
      <w:r>
        <w:rPr/>
        <w:t>Índice pluviométrico anual</w:t>
      </w:r>
    </w:p>
    <w:p>
      <w:pPr>
        <w:pStyle w:val="BodyText"/>
        <w:spacing w:before="58"/>
        <w:ind w:left="218"/>
      </w:pPr>
      <w:r>
        <w:rPr/>
        <w:t>Para un año dado, es el cociente entre la precipitación media y la precipitación media anual de la serie.</w:t>
      </w:r>
    </w:p>
    <w:p>
      <w:pPr>
        <w:pStyle w:val="BodyText"/>
        <w:spacing w:before="2"/>
      </w:pPr>
    </w:p>
    <w:p>
      <w:pPr>
        <w:pStyle w:val="Heading5"/>
      </w:pPr>
      <w:r>
        <w:rPr/>
        <w:t>Inyección</w:t>
      </w:r>
    </w:p>
    <w:p>
      <w:pPr>
        <w:pStyle w:val="BodyText"/>
        <w:spacing w:before="59"/>
        <w:ind w:left="218" w:right="391"/>
        <w:jc w:val="both"/>
      </w:pPr>
      <w:r>
        <w:rPr/>
        <w:t>Técnica de recalce consistente en el refuerzo o consolidación de un terreno de cimentación mediante la introducción en él a presión de un mortero de cemento fluido con el fin de que rellene los huecos existentes.</w:t>
      </w:r>
    </w:p>
    <w:p>
      <w:pPr>
        <w:pStyle w:val="BodyText"/>
        <w:spacing w:before="1"/>
      </w:pPr>
    </w:p>
    <w:p>
      <w:pPr>
        <w:pStyle w:val="Heading5"/>
      </w:pPr>
      <w:r>
        <w:rPr/>
        <w:t>Intradós</w:t>
      </w:r>
    </w:p>
    <w:p>
      <w:pPr>
        <w:pStyle w:val="BodyText"/>
        <w:spacing w:before="59"/>
        <w:ind w:left="218"/>
      </w:pPr>
      <w:r>
        <w:rPr/>
        <w:t>Superficie interior del muro.</w:t>
      </w:r>
    </w:p>
    <w:p>
      <w:pPr>
        <w:pStyle w:val="BodyText"/>
        <w:spacing w:before="1"/>
      </w:pPr>
    </w:p>
    <w:p>
      <w:pPr>
        <w:pStyle w:val="Heading5"/>
        <w:jc w:val="both"/>
      </w:pPr>
      <w:r>
        <w:rPr/>
        <w:t>Lámina drenante</w:t>
      </w:r>
    </w:p>
    <w:p>
      <w:pPr>
        <w:pStyle w:val="BodyText"/>
        <w:spacing w:before="59"/>
        <w:ind w:left="218" w:right="392"/>
        <w:jc w:val="both"/>
      </w:pPr>
      <w:r>
        <w:rPr/>
        <w:t>Lámina que contiene nodos o algún tipo de pliegue superficial para formar canales por donde pueda discurrir el</w:t>
      </w:r>
      <w:r>
        <w:rPr>
          <w:spacing w:val="-3"/>
        </w:rPr>
        <w:t> </w:t>
      </w:r>
      <w:r>
        <w:rPr/>
        <w:t>agua.</w:t>
      </w:r>
    </w:p>
    <w:p>
      <w:pPr>
        <w:pStyle w:val="BodyText"/>
        <w:spacing w:before="2"/>
      </w:pPr>
    </w:p>
    <w:p>
      <w:pPr>
        <w:pStyle w:val="Heading5"/>
        <w:jc w:val="both"/>
      </w:pPr>
      <w:r>
        <w:rPr/>
        <w:t>Lámina</w:t>
      </w:r>
      <w:r>
        <w:rPr>
          <w:spacing w:val="-8"/>
        </w:rPr>
        <w:t> </w:t>
      </w:r>
      <w:r>
        <w:rPr/>
        <w:t>filtrante</w:t>
      </w:r>
    </w:p>
    <w:p>
      <w:pPr>
        <w:pStyle w:val="BodyText"/>
        <w:spacing w:before="58"/>
        <w:ind w:left="218" w:right="392"/>
        <w:jc w:val="both"/>
      </w:pPr>
      <w:r>
        <w:rPr/>
        <w:t>Lámina que se interpone entre el terreno y un </w:t>
      </w:r>
      <w:r>
        <w:rPr>
          <w:i/>
        </w:rPr>
        <w:t>elemento constructivo </w:t>
      </w:r>
      <w:r>
        <w:rPr/>
        <w:t>y cuya característica principal es permitir el paso del agua a través de ella e impedir el paso de las partículas del terreno.</w:t>
      </w:r>
    </w:p>
    <w:p>
      <w:pPr>
        <w:pStyle w:val="BodyText"/>
        <w:spacing w:before="1"/>
      </w:pPr>
    </w:p>
    <w:p>
      <w:pPr>
        <w:pStyle w:val="Heading5"/>
      </w:pPr>
      <w:r>
        <w:rPr/>
        <w:t>Limahoya</w:t>
      </w:r>
    </w:p>
    <w:p>
      <w:pPr>
        <w:pStyle w:val="BodyText"/>
        <w:spacing w:before="59"/>
        <w:ind w:left="218"/>
      </w:pPr>
      <w:r>
        <w:rPr/>
        <w:t>Línea de intersección de dos vertientes de cubierta que se juntan formando un ángulo cóncavo.</w:t>
      </w:r>
    </w:p>
    <w:p>
      <w:pPr>
        <w:pStyle w:val="BodyText"/>
        <w:spacing w:before="1"/>
      </w:pPr>
    </w:p>
    <w:p>
      <w:pPr>
        <w:pStyle w:val="Heading5"/>
      </w:pPr>
      <w:r>
        <w:rPr/>
        <w:t>Limatesa</w:t>
      </w:r>
    </w:p>
    <w:p>
      <w:pPr>
        <w:pStyle w:val="BodyText"/>
        <w:spacing w:before="59"/>
        <w:ind w:left="218"/>
      </w:pPr>
      <w:r>
        <w:rPr/>
        <w:t>Línea de intersección de dos vertientes de cubierta que se juntan formando un ángulo convexo.</w:t>
      </w:r>
    </w:p>
    <w:p>
      <w:pPr>
        <w:spacing w:after="0"/>
        <w:sectPr>
          <w:pgSz w:w="11910" w:h="16840"/>
          <w:pgMar w:header="724" w:footer="636" w:top="1320" w:bottom="840" w:left="1200" w:right="738"/>
        </w:sectPr>
      </w:pPr>
    </w:p>
    <w:p>
      <w:pPr>
        <w:pStyle w:val="Heading5"/>
        <w:spacing w:before="91"/>
      </w:pPr>
      <w:r>
        <w:rPr/>
        <w:t>Llaga</w:t>
      </w:r>
    </w:p>
    <w:p>
      <w:pPr>
        <w:pStyle w:val="BodyText"/>
        <w:spacing w:before="58"/>
        <w:ind w:left="218"/>
      </w:pPr>
      <w:r>
        <w:rPr/>
        <w:t>Junta vertical entre dos ladrillos de una misma hilada.</w:t>
      </w:r>
    </w:p>
    <w:p>
      <w:pPr>
        <w:pStyle w:val="BodyText"/>
        <w:spacing w:before="2"/>
      </w:pPr>
    </w:p>
    <w:p>
      <w:pPr>
        <w:pStyle w:val="Heading5"/>
        <w:jc w:val="both"/>
      </w:pPr>
      <w:r>
        <w:rPr/>
        <w:t>Lodo de bentonita</w:t>
      </w:r>
    </w:p>
    <w:p>
      <w:pPr>
        <w:pStyle w:val="BodyText"/>
        <w:spacing w:before="58"/>
        <w:ind w:left="218" w:right="392"/>
        <w:jc w:val="both"/>
      </w:pPr>
      <w:r>
        <w:rPr/>
        <w:t>Suspensión en agua de bentonita que tiene la cualidad de formar sobre una superficie porosa una película prácticamente impermeable y que es tixotrópica, es decir, tiene la facultad de adquirir en estado de reposo una cierta rigidez.</w:t>
      </w:r>
    </w:p>
    <w:p>
      <w:pPr>
        <w:pStyle w:val="BodyText"/>
        <w:spacing w:before="1"/>
      </w:pPr>
    </w:p>
    <w:p>
      <w:pPr>
        <w:pStyle w:val="Heading5"/>
      </w:pPr>
      <w:r>
        <w:rPr/>
        <w:t>Mortero hidrófugo</w:t>
      </w:r>
    </w:p>
    <w:p>
      <w:pPr>
        <w:pStyle w:val="BodyText"/>
        <w:spacing w:line="230" w:lineRule="exact" w:before="60"/>
        <w:ind w:left="218"/>
      </w:pPr>
      <w:r>
        <w:rPr/>
        <w:t>Mortero que, por contener sustancias de carácter químico hidrófobo, evita o disminuye sensiblemente la</w:t>
      </w:r>
    </w:p>
    <w:p>
      <w:pPr>
        <w:spacing w:line="230" w:lineRule="exact" w:before="0"/>
        <w:ind w:left="218" w:right="0" w:firstLine="0"/>
        <w:jc w:val="left"/>
        <w:rPr>
          <w:sz w:val="20"/>
        </w:rPr>
      </w:pPr>
      <w:r>
        <w:rPr>
          <w:i/>
          <w:sz w:val="20"/>
        </w:rPr>
        <w:t>absorción </w:t>
      </w:r>
      <w:r>
        <w:rPr>
          <w:sz w:val="20"/>
        </w:rPr>
        <w:t>de agua.</w:t>
      </w:r>
    </w:p>
    <w:p>
      <w:pPr>
        <w:pStyle w:val="BodyText"/>
      </w:pPr>
    </w:p>
    <w:p>
      <w:pPr>
        <w:pStyle w:val="Heading5"/>
      </w:pPr>
      <w:r>
        <w:rPr/>
        <w:t>Mortero hidrófugo de baja retracción</w:t>
      </w:r>
    </w:p>
    <w:p>
      <w:pPr>
        <w:pStyle w:val="BodyText"/>
        <w:spacing w:before="60"/>
        <w:ind w:left="218"/>
      </w:pPr>
      <w:r>
        <w:rPr/>
        <w:t>Mortero que reúne las siguientes características:</w:t>
      </w:r>
    </w:p>
    <w:p>
      <w:pPr>
        <w:pStyle w:val="ListParagraph"/>
        <w:numPr>
          <w:ilvl w:val="0"/>
          <w:numId w:val="94"/>
        </w:numPr>
        <w:tabs>
          <w:tab w:pos="1126" w:val="left" w:leader="none"/>
          <w:tab w:pos="1127" w:val="left" w:leader="none"/>
        </w:tabs>
        <w:spacing w:line="230" w:lineRule="exact" w:before="0" w:after="0"/>
        <w:ind w:left="1126" w:right="0" w:hanging="455"/>
        <w:jc w:val="left"/>
        <w:rPr>
          <w:sz w:val="20"/>
        </w:rPr>
      </w:pPr>
      <w:r>
        <w:rPr>
          <w:sz w:val="20"/>
        </w:rPr>
        <w:t>contiene</w:t>
      </w:r>
      <w:r>
        <w:rPr>
          <w:spacing w:val="16"/>
          <w:sz w:val="20"/>
        </w:rPr>
        <w:t> </w:t>
      </w:r>
      <w:r>
        <w:rPr>
          <w:sz w:val="20"/>
        </w:rPr>
        <w:t>sustancias</w:t>
      </w:r>
      <w:r>
        <w:rPr>
          <w:spacing w:val="17"/>
          <w:sz w:val="20"/>
        </w:rPr>
        <w:t> </w:t>
      </w:r>
      <w:r>
        <w:rPr>
          <w:sz w:val="20"/>
        </w:rPr>
        <w:t>de</w:t>
      </w:r>
      <w:r>
        <w:rPr>
          <w:spacing w:val="16"/>
          <w:sz w:val="20"/>
        </w:rPr>
        <w:t> </w:t>
      </w:r>
      <w:r>
        <w:rPr>
          <w:sz w:val="20"/>
        </w:rPr>
        <w:t>carácter</w:t>
      </w:r>
      <w:r>
        <w:rPr>
          <w:spacing w:val="18"/>
          <w:sz w:val="20"/>
        </w:rPr>
        <w:t> </w:t>
      </w:r>
      <w:r>
        <w:rPr>
          <w:sz w:val="20"/>
        </w:rPr>
        <w:t>químico</w:t>
      </w:r>
      <w:r>
        <w:rPr>
          <w:spacing w:val="17"/>
          <w:sz w:val="20"/>
        </w:rPr>
        <w:t> </w:t>
      </w:r>
      <w:r>
        <w:rPr>
          <w:sz w:val="20"/>
        </w:rPr>
        <w:t>hidrófobo</w:t>
      </w:r>
      <w:r>
        <w:rPr>
          <w:spacing w:val="16"/>
          <w:sz w:val="20"/>
        </w:rPr>
        <w:t> </w:t>
      </w:r>
      <w:r>
        <w:rPr>
          <w:sz w:val="20"/>
        </w:rPr>
        <w:t>que</w:t>
      </w:r>
      <w:r>
        <w:rPr>
          <w:spacing w:val="17"/>
          <w:sz w:val="20"/>
        </w:rPr>
        <w:t> </w:t>
      </w:r>
      <w:r>
        <w:rPr>
          <w:sz w:val="20"/>
        </w:rPr>
        <w:t>evitan</w:t>
      </w:r>
      <w:r>
        <w:rPr>
          <w:spacing w:val="18"/>
          <w:sz w:val="20"/>
        </w:rPr>
        <w:t> </w:t>
      </w:r>
      <w:r>
        <w:rPr>
          <w:sz w:val="20"/>
        </w:rPr>
        <w:t>o</w:t>
      </w:r>
      <w:r>
        <w:rPr>
          <w:spacing w:val="16"/>
          <w:sz w:val="20"/>
        </w:rPr>
        <w:t> </w:t>
      </w:r>
      <w:r>
        <w:rPr>
          <w:sz w:val="20"/>
        </w:rPr>
        <w:t>disminuyen</w:t>
      </w:r>
      <w:r>
        <w:rPr>
          <w:spacing w:val="18"/>
          <w:sz w:val="20"/>
        </w:rPr>
        <w:t> </w:t>
      </w:r>
      <w:r>
        <w:rPr>
          <w:sz w:val="20"/>
        </w:rPr>
        <w:t>sensiblemente</w:t>
      </w:r>
      <w:r>
        <w:rPr>
          <w:spacing w:val="18"/>
          <w:sz w:val="20"/>
        </w:rPr>
        <w:t> </w:t>
      </w:r>
      <w:r>
        <w:rPr>
          <w:sz w:val="20"/>
        </w:rPr>
        <w:t>la</w:t>
      </w:r>
    </w:p>
    <w:p>
      <w:pPr>
        <w:spacing w:line="230" w:lineRule="exact" w:before="0"/>
        <w:ind w:left="1125" w:right="0" w:firstLine="0"/>
        <w:jc w:val="left"/>
        <w:rPr>
          <w:sz w:val="20"/>
        </w:rPr>
      </w:pPr>
      <w:r>
        <w:rPr>
          <w:i/>
          <w:sz w:val="20"/>
        </w:rPr>
        <w:t>absorción </w:t>
      </w:r>
      <w:r>
        <w:rPr>
          <w:sz w:val="20"/>
        </w:rPr>
        <w:t>de agua;</w:t>
      </w:r>
    </w:p>
    <w:p>
      <w:pPr>
        <w:pStyle w:val="ListParagraph"/>
        <w:numPr>
          <w:ilvl w:val="0"/>
          <w:numId w:val="94"/>
        </w:numPr>
        <w:tabs>
          <w:tab w:pos="1126" w:val="left" w:leader="none"/>
          <w:tab w:pos="1127" w:val="left" w:leader="none"/>
        </w:tabs>
        <w:spacing w:line="240" w:lineRule="auto" w:before="1" w:after="0"/>
        <w:ind w:left="1125" w:right="391" w:hanging="454"/>
        <w:jc w:val="left"/>
        <w:rPr>
          <w:sz w:val="20"/>
        </w:rPr>
      </w:pPr>
      <w:r>
        <w:rPr>
          <w:sz w:val="20"/>
        </w:rPr>
        <w:t>experimenta poca reducción de volumen como consecuencia del proceso físico-químico del fraguado, endurecimiento o</w:t>
      </w:r>
      <w:r>
        <w:rPr>
          <w:spacing w:val="-3"/>
          <w:sz w:val="20"/>
        </w:rPr>
        <w:t> </w:t>
      </w:r>
      <w:r>
        <w:rPr>
          <w:sz w:val="20"/>
        </w:rPr>
        <w:t>desecación.</w:t>
      </w:r>
    </w:p>
    <w:p>
      <w:pPr>
        <w:pStyle w:val="BodyText"/>
        <w:spacing w:before="1"/>
      </w:pPr>
    </w:p>
    <w:p>
      <w:pPr>
        <w:pStyle w:val="Heading5"/>
        <w:jc w:val="both"/>
      </w:pPr>
      <w:r>
        <w:rPr/>
        <w:t>Mortero pobre</w:t>
      </w:r>
    </w:p>
    <w:p>
      <w:pPr>
        <w:pStyle w:val="BodyText"/>
        <w:spacing w:before="55"/>
        <w:ind w:left="218" w:right="392"/>
        <w:jc w:val="both"/>
      </w:pPr>
      <w:r>
        <w:rPr/>
        <w:t>Mortero que tiene una dosificación, expresada en Kg de cemento por m</w:t>
      </w:r>
      <w:r>
        <w:rPr>
          <w:position w:val="7"/>
          <w:sz w:val="13"/>
        </w:rPr>
        <w:t>3 </w:t>
      </w:r>
      <w:r>
        <w:rPr/>
        <w:t>de arena, menor o igual que  1/8.</w:t>
      </w:r>
    </w:p>
    <w:p>
      <w:pPr>
        <w:pStyle w:val="BodyText"/>
        <w:spacing w:before="1"/>
      </w:pPr>
    </w:p>
    <w:p>
      <w:pPr>
        <w:pStyle w:val="Heading5"/>
        <w:jc w:val="both"/>
      </w:pPr>
      <w:r>
        <w:rPr/>
        <w:t>Muro flexorresistente</w:t>
      </w:r>
    </w:p>
    <w:p>
      <w:pPr>
        <w:pStyle w:val="BodyText"/>
        <w:spacing w:before="58"/>
        <w:ind w:left="218" w:right="392"/>
        <w:jc w:val="both"/>
      </w:pPr>
      <w:r>
        <w:rPr/>
        <w:t>Muro armado que resiste esfuerzos de compresión y de flexión. Este tipo de muro se construye después de realizado el vaciado del terreno del sótano.</w:t>
      </w:r>
    </w:p>
    <w:p>
      <w:pPr>
        <w:pStyle w:val="BodyText"/>
        <w:spacing w:before="1"/>
      </w:pPr>
    </w:p>
    <w:p>
      <w:pPr>
        <w:pStyle w:val="Heading5"/>
        <w:jc w:val="both"/>
      </w:pPr>
      <w:r>
        <w:rPr/>
        <w:t>Muro de gravedad</w:t>
      </w:r>
    </w:p>
    <w:p>
      <w:pPr>
        <w:pStyle w:val="BodyText"/>
        <w:spacing w:before="59"/>
        <w:ind w:left="218" w:right="391"/>
        <w:jc w:val="both"/>
      </w:pPr>
      <w:r>
        <w:rPr/>
        <w:t>Muro no armado que resiste esfuerzos principalmente de compresión. Este tipo de muro se construye después de realizado el vaciado del terreno del sótano.</w:t>
      </w:r>
    </w:p>
    <w:p>
      <w:pPr>
        <w:pStyle w:val="BodyText"/>
        <w:spacing w:before="1"/>
      </w:pPr>
    </w:p>
    <w:p>
      <w:pPr>
        <w:pStyle w:val="Heading5"/>
        <w:spacing w:before="1"/>
        <w:jc w:val="both"/>
      </w:pPr>
      <w:r>
        <w:rPr/>
        <w:t>Muro pantalla</w:t>
      </w:r>
    </w:p>
    <w:p>
      <w:pPr>
        <w:pStyle w:val="BodyText"/>
        <w:spacing w:before="58"/>
        <w:ind w:left="218" w:right="390"/>
        <w:jc w:val="both"/>
      </w:pPr>
      <w:r>
        <w:rPr/>
        <w:t>Muro armado que resiste esfuerzos de compresión y de flexión. Este tipo de muro se construye en el terreno mediante el vaciado del terreno exclusivo del muro y el consiguiente hormigonado in situ o mediante el hincado en el terreno de piezas prefabricadas. El vaciado del terreno del sótano se realiza una vez construido el muro.</w:t>
      </w:r>
    </w:p>
    <w:p>
      <w:pPr>
        <w:pStyle w:val="BodyText"/>
        <w:spacing w:before="2"/>
      </w:pPr>
    </w:p>
    <w:p>
      <w:pPr>
        <w:pStyle w:val="Heading5"/>
        <w:jc w:val="both"/>
      </w:pPr>
      <w:r>
        <w:rPr/>
        <w:t>Muro parcialmente estanco</w:t>
      </w:r>
    </w:p>
    <w:p>
      <w:pPr>
        <w:pStyle w:val="BodyText"/>
        <w:spacing w:before="58"/>
        <w:ind w:left="218" w:right="392"/>
        <w:jc w:val="both"/>
      </w:pPr>
      <w:r>
        <w:rPr/>
        <w:t>Muro compuesto por una hoja exterior resistente, una cámara de aire y una hoja interior. El muro no se impermeabiliza sino que se permite el paso del agua del terreno hasta la cámara donde se recoge y se evacua.</w:t>
      </w:r>
    </w:p>
    <w:p>
      <w:pPr>
        <w:pStyle w:val="BodyText"/>
        <w:spacing w:before="1"/>
      </w:pPr>
    </w:p>
    <w:p>
      <w:pPr>
        <w:pStyle w:val="Heading5"/>
        <w:jc w:val="both"/>
      </w:pPr>
      <w:r>
        <w:rPr/>
        <w:t>Nivel freático</w:t>
      </w:r>
    </w:p>
    <w:p>
      <w:pPr>
        <w:pStyle w:val="BodyText"/>
        <w:spacing w:before="60"/>
        <w:ind w:left="218" w:right="392"/>
        <w:jc w:val="both"/>
      </w:pPr>
      <w:r>
        <w:rPr/>
        <w:t>Valor medio anual de la profundidad con respecto a la superficie del terreno de la cara superior de la capa</w:t>
      </w:r>
      <w:r>
        <w:rPr>
          <w:spacing w:val="-1"/>
        </w:rPr>
        <w:t> </w:t>
      </w:r>
      <w:r>
        <w:rPr/>
        <w:t>freática.</w:t>
      </w:r>
    </w:p>
    <w:p>
      <w:pPr>
        <w:pStyle w:val="BodyText"/>
        <w:spacing w:before="1"/>
      </w:pPr>
    </w:p>
    <w:p>
      <w:pPr>
        <w:pStyle w:val="Heading5"/>
        <w:jc w:val="both"/>
      </w:pPr>
      <w:r>
        <w:rPr/>
        <w:t>Permeabilidad al vapor de agua</w:t>
      </w:r>
    </w:p>
    <w:p>
      <w:pPr>
        <w:pStyle w:val="BodyText"/>
        <w:spacing w:line="237" w:lineRule="auto" w:before="60"/>
        <w:ind w:left="218" w:right="391"/>
        <w:jc w:val="both"/>
      </w:pPr>
      <w:r>
        <w:rPr/>
        <w:t>Cantidad de vapor de agua que se transmite a través de un material de espesor unidad por unidad de área, unidad de tiempo y de diferencia de presiones parciales de vapor de agua. La permeabilidad se </w:t>
      </w:r>
      <w:r>
        <w:rPr>
          <w:w w:val="100"/>
        </w:rPr>
        <w:t>expresa</w:t>
      </w:r>
      <w:r>
        <w:rPr/>
        <w:t> </w:t>
      </w:r>
      <w:r>
        <w:rPr>
          <w:w w:val="100"/>
        </w:rPr>
        <w:t>en</w:t>
      </w:r>
      <w:r>
        <w:rPr/>
        <w:t> </w:t>
      </w:r>
      <w:r>
        <w:rPr>
          <w:w w:val="100"/>
        </w:rPr>
        <w:t>g</w:t>
      </w:r>
      <w:r>
        <w:rPr>
          <w:w w:val="44"/>
        </w:rPr>
        <w:t>ꞏ</w:t>
      </w:r>
      <w:r>
        <w:rPr>
          <w:w w:val="100"/>
        </w:rPr>
        <w:t>m</w:t>
      </w:r>
      <w:r>
        <w:rPr/>
        <w:t> </w:t>
      </w:r>
      <w:r>
        <w:rPr>
          <w:w w:val="89"/>
        </w:rPr>
        <w:t>/(MNꞏs)</w:t>
      </w:r>
      <w:r>
        <w:rPr/>
        <w:t> </w:t>
      </w:r>
      <w:r>
        <w:rPr>
          <w:w w:val="100"/>
        </w:rPr>
        <w:t>o</w:t>
      </w:r>
      <w:r>
        <w:rPr/>
        <w:t> </w:t>
      </w:r>
      <w:r>
        <w:rPr>
          <w:w w:val="100"/>
        </w:rPr>
        <w:t>en</w:t>
      </w:r>
      <w:r>
        <w:rPr/>
        <w:t> </w:t>
      </w:r>
      <w:r>
        <w:rPr>
          <w:w w:val="84"/>
        </w:rPr>
        <w:t>gꞏcm</w:t>
      </w:r>
      <w:r>
        <w:rPr/>
        <w:t> </w:t>
      </w:r>
      <w:r>
        <w:rPr>
          <w:w w:val="100"/>
        </w:rPr>
        <w:t>/(mmHG</w:t>
      </w:r>
      <w:r>
        <w:rPr>
          <w:w w:val="73"/>
        </w:rPr>
        <w:t>ꞏm</w:t>
      </w:r>
      <w:r>
        <w:rPr>
          <w:w w:val="99"/>
          <w:position w:val="7"/>
          <w:sz w:val="13"/>
          <w:szCs w:val="13"/>
        </w:rPr>
        <w:t>2</w:t>
      </w:r>
      <w:r>
        <w:rPr>
          <w:w w:val="80"/>
        </w:rPr>
        <w:t>ꞏdía</w:t>
      </w:r>
      <w:r>
        <w:rPr>
          <w:w w:val="100"/>
        </w:rPr>
        <w:t>).</w:t>
      </w:r>
    </w:p>
    <w:p>
      <w:pPr>
        <w:pStyle w:val="BodyText"/>
        <w:spacing w:before="2"/>
      </w:pPr>
    </w:p>
    <w:p>
      <w:pPr>
        <w:pStyle w:val="Heading5"/>
        <w:jc w:val="both"/>
      </w:pPr>
      <w:r>
        <w:rPr/>
        <w:t>Pintura impermeabilizante</w:t>
      </w:r>
    </w:p>
    <w:p>
      <w:pPr>
        <w:pStyle w:val="BodyText"/>
        <w:spacing w:before="58"/>
        <w:ind w:left="218" w:right="391"/>
        <w:jc w:val="both"/>
      </w:pPr>
      <w:r>
        <w:rPr/>
        <w:t>Compuesto líquido pigmentado que se convierte en película sólida después de su aplicación y que impide la filtración y la </w:t>
      </w:r>
      <w:r>
        <w:rPr>
          <w:i/>
        </w:rPr>
        <w:t>absorción </w:t>
      </w:r>
      <w:r>
        <w:rPr/>
        <w:t>de agua a través de</w:t>
      </w:r>
      <w:r>
        <w:rPr>
          <w:spacing w:val="-12"/>
        </w:rPr>
        <w:t> </w:t>
      </w:r>
      <w:r>
        <w:rPr/>
        <w:t>él.</w:t>
      </w:r>
    </w:p>
    <w:p>
      <w:pPr>
        <w:spacing w:after="0"/>
        <w:jc w:val="both"/>
        <w:sectPr>
          <w:pgSz w:w="11910" w:h="16840"/>
          <w:pgMar w:header="724" w:footer="636" w:top="1320" w:bottom="840" w:left="1200" w:right="738"/>
        </w:sectPr>
      </w:pPr>
    </w:p>
    <w:p>
      <w:pPr>
        <w:pStyle w:val="Heading5"/>
        <w:spacing w:before="91"/>
      </w:pPr>
      <w:r>
        <w:rPr/>
        <w:t>Placa</w:t>
      </w:r>
    </w:p>
    <w:p>
      <w:pPr>
        <w:pStyle w:val="BodyText"/>
        <w:spacing w:before="58"/>
        <w:ind w:left="218" w:right="418"/>
      </w:pPr>
      <w:r>
        <w:rPr>
          <w:i/>
        </w:rPr>
        <w:t>Solera </w:t>
      </w:r>
      <w:r>
        <w:rPr/>
        <w:t>armada para resistir mayores esfuerzos de flexión como consecuencia, entre otros, del empuje vertical del agua freática.</w:t>
      </w:r>
    </w:p>
    <w:p>
      <w:pPr>
        <w:pStyle w:val="BodyText"/>
        <w:spacing w:before="1"/>
      </w:pPr>
    </w:p>
    <w:p>
      <w:pPr>
        <w:pStyle w:val="Heading5"/>
      </w:pPr>
      <w:r>
        <w:rPr/>
        <w:t>Pozo drenante</w:t>
      </w:r>
    </w:p>
    <w:p>
      <w:pPr>
        <w:pStyle w:val="BodyText"/>
        <w:spacing w:before="59"/>
        <w:ind w:left="218"/>
      </w:pPr>
      <w:r>
        <w:rPr/>
        <w:t>Pozo efectuado en el terreno con entibación perforada para permitir la llegada del agua del terreno circundante a su interior. El agua se extrae por bombeo.</w:t>
      </w:r>
    </w:p>
    <w:p>
      <w:pPr>
        <w:pStyle w:val="BodyText"/>
        <w:spacing w:before="1"/>
      </w:pPr>
    </w:p>
    <w:p>
      <w:pPr>
        <w:pStyle w:val="Heading5"/>
      </w:pPr>
      <w:r>
        <w:rPr/>
        <w:t>Revestimiento continuo</w:t>
      </w:r>
    </w:p>
    <w:p>
      <w:pPr>
        <w:pStyle w:val="BodyText"/>
        <w:spacing w:before="60"/>
        <w:ind w:left="218" w:right="418"/>
      </w:pPr>
      <w:r>
        <w:rPr/>
        <w:t>Revestimiento que se aplica en forma de pasta fluida directamente sobre la superficie que se reviste. Puede ser a base de morteros hidráulicos, plástico o pintura.</w:t>
      </w:r>
    </w:p>
    <w:p>
      <w:pPr>
        <w:pStyle w:val="BodyText"/>
        <w:spacing w:before="11"/>
        <w:rPr>
          <w:sz w:val="19"/>
        </w:rPr>
      </w:pPr>
    </w:p>
    <w:p>
      <w:pPr>
        <w:pStyle w:val="Heading5"/>
        <w:jc w:val="both"/>
      </w:pPr>
      <w:r>
        <w:rPr/>
        <w:t>Revestimiento discontinuo</w:t>
      </w:r>
    </w:p>
    <w:p>
      <w:pPr>
        <w:pStyle w:val="BodyText"/>
        <w:spacing w:before="59"/>
        <w:ind w:left="218" w:right="392"/>
        <w:jc w:val="both"/>
      </w:pPr>
      <w:r>
        <w:rPr/>
        <w:t>Revestimiento conformado a partir de piezas (baldosas, lamas, placas, etc.) de materiales naturales o artificiales que se fijan a las superficies mediante sistemas de agarre o anclaje. Según sea este sistema de fijación el revestimiento se considera pegado o fijado mecánicamente.</w:t>
      </w:r>
    </w:p>
    <w:p>
      <w:pPr>
        <w:pStyle w:val="BodyText"/>
        <w:spacing w:before="2"/>
      </w:pPr>
    </w:p>
    <w:p>
      <w:pPr>
        <w:pStyle w:val="Heading5"/>
        <w:jc w:val="both"/>
      </w:pPr>
      <w:r>
        <w:rPr/>
        <w:t>Revestimiento exterior</w:t>
      </w:r>
    </w:p>
    <w:p>
      <w:pPr>
        <w:pStyle w:val="BodyText"/>
        <w:spacing w:before="58"/>
        <w:ind w:left="218"/>
        <w:jc w:val="both"/>
      </w:pPr>
      <w:r>
        <w:rPr/>
        <w:t>Revestimiento de la fachada dispuesto en la cara exterior de la misma.</w:t>
      </w:r>
    </w:p>
    <w:p>
      <w:pPr>
        <w:pStyle w:val="BodyText"/>
        <w:spacing w:before="2"/>
      </w:pPr>
    </w:p>
    <w:p>
      <w:pPr>
        <w:pStyle w:val="Heading5"/>
        <w:jc w:val="both"/>
      </w:pPr>
      <w:r>
        <w:rPr/>
        <w:t>Sistema adherido</w:t>
      </w:r>
    </w:p>
    <w:p>
      <w:pPr>
        <w:pStyle w:val="BodyText"/>
        <w:spacing w:before="58"/>
        <w:ind w:left="218" w:right="391"/>
        <w:jc w:val="both"/>
      </w:pPr>
      <w:r>
        <w:rPr/>
        <w:t>Sistema de fijación en el que la </w:t>
      </w:r>
      <w:r>
        <w:rPr>
          <w:i/>
        </w:rPr>
        <w:t>impermeabilización </w:t>
      </w:r>
      <w:r>
        <w:rPr/>
        <w:t>se adhiere al elemento que sirve de soporte en toda su superficie.</w:t>
      </w:r>
    </w:p>
    <w:p>
      <w:pPr>
        <w:pStyle w:val="BodyText"/>
        <w:spacing w:before="1"/>
      </w:pPr>
    </w:p>
    <w:p>
      <w:pPr>
        <w:pStyle w:val="Heading5"/>
        <w:jc w:val="both"/>
      </w:pPr>
      <w:r>
        <w:rPr/>
        <w:t>Sistema fijado mecánicamente</w:t>
      </w:r>
    </w:p>
    <w:p>
      <w:pPr>
        <w:pStyle w:val="BodyText"/>
        <w:spacing w:before="60"/>
        <w:ind w:left="218" w:right="391"/>
        <w:jc w:val="both"/>
      </w:pPr>
      <w:r>
        <w:rPr/>
        <w:t>Sistema de fijación en el que la </w:t>
      </w:r>
      <w:r>
        <w:rPr>
          <w:i/>
        </w:rPr>
        <w:t>impermeabilización </w:t>
      </w:r>
      <w:r>
        <w:rPr/>
        <w:t>se sujeta al elemento que sirve de soporte mediante fijaciones mecánicas.</w:t>
      </w:r>
    </w:p>
    <w:p>
      <w:pPr>
        <w:pStyle w:val="BodyText"/>
        <w:spacing w:before="1"/>
      </w:pPr>
    </w:p>
    <w:p>
      <w:pPr>
        <w:pStyle w:val="Heading5"/>
        <w:jc w:val="both"/>
      </w:pPr>
      <w:r>
        <w:rPr/>
        <w:t>Sistema no adherido</w:t>
      </w:r>
    </w:p>
    <w:p>
      <w:pPr>
        <w:pStyle w:val="BodyText"/>
        <w:spacing w:before="59"/>
        <w:ind w:left="218" w:right="391"/>
        <w:jc w:val="both"/>
      </w:pPr>
      <w:r>
        <w:rPr/>
        <w:t>Sistema de fijación en el que la </w:t>
      </w:r>
      <w:r>
        <w:rPr>
          <w:i/>
        </w:rPr>
        <w:t>impermeabilización </w:t>
      </w:r>
      <w:r>
        <w:rPr/>
        <w:t>se coloca sobre el soporte sin adherirse al mismo salvo en elementos singulares tales como juntas, desagües, petos, bordes, etc. y en el perímetro de elementos sobresalientes de la cubierta, tales como chimeneas, claraboyas, mástiles, etc.</w:t>
      </w:r>
    </w:p>
    <w:p>
      <w:pPr>
        <w:pStyle w:val="BodyText"/>
      </w:pPr>
    </w:p>
    <w:p>
      <w:pPr>
        <w:pStyle w:val="Heading5"/>
        <w:spacing w:before="1"/>
        <w:jc w:val="both"/>
      </w:pPr>
      <w:r>
        <w:rPr/>
        <w:t>Sistema semiadherido</w:t>
      </w:r>
    </w:p>
    <w:p>
      <w:pPr>
        <w:pStyle w:val="BodyText"/>
        <w:spacing w:before="59"/>
        <w:ind w:left="218" w:right="392"/>
        <w:jc w:val="both"/>
      </w:pPr>
      <w:r>
        <w:rPr/>
        <w:t>Sistema de fijación en el que la </w:t>
      </w:r>
      <w:r>
        <w:rPr>
          <w:i/>
        </w:rPr>
        <w:t>impermeabilización </w:t>
      </w:r>
      <w:r>
        <w:rPr/>
        <w:t>se adhiere al elemento que sirve de soporte en una extensión comprendida entre el 15 y el 50 %.</w:t>
      </w:r>
    </w:p>
    <w:p>
      <w:pPr>
        <w:pStyle w:val="BodyText"/>
        <w:spacing w:before="1"/>
      </w:pPr>
    </w:p>
    <w:p>
      <w:pPr>
        <w:pStyle w:val="Heading5"/>
      </w:pPr>
      <w:r>
        <w:rPr/>
        <w:t>Solera</w:t>
      </w:r>
    </w:p>
    <w:p>
      <w:pPr>
        <w:pStyle w:val="BodyText"/>
        <w:spacing w:before="58"/>
        <w:ind w:left="218" w:right="418"/>
      </w:pPr>
      <w:r>
        <w:rPr>
          <w:b/>
        </w:rPr>
        <w:t>C</w:t>
      </w:r>
      <w:r>
        <w:rPr/>
        <w:t>apa gruesa de hormigón apoyada sobre el terreno, que se dispone como pavimento o como base para un solado.</w:t>
      </w:r>
    </w:p>
    <w:p>
      <w:pPr>
        <w:pStyle w:val="BodyText"/>
        <w:spacing w:before="1"/>
      </w:pPr>
    </w:p>
    <w:p>
      <w:pPr>
        <w:pStyle w:val="Heading5"/>
        <w:jc w:val="both"/>
      </w:pPr>
      <w:r>
        <w:rPr/>
        <w:t>Solución constructiva</w:t>
      </w:r>
    </w:p>
    <w:p>
      <w:pPr>
        <w:spacing w:before="60"/>
        <w:ind w:left="218" w:right="392" w:firstLine="0"/>
        <w:jc w:val="both"/>
        <w:rPr>
          <w:sz w:val="20"/>
        </w:rPr>
      </w:pPr>
      <w:r>
        <w:rPr>
          <w:sz w:val="20"/>
        </w:rPr>
        <w:t>E</w:t>
      </w:r>
      <w:r>
        <w:rPr>
          <w:i/>
          <w:sz w:val="20"/>
        </w:rPr>
        <w:t>lemento constructivo </w:t>
      </w:r>
      <w:r>
        <w:rPr>
          <w:sz w:val="20"/>
        </w:rPr>
        <w:t>caracterizado por los </w:t>
      </w:r>
      <w:r>
        <w:rPr>
          <w:i/>
          <w:sz w:val="20"/>
        </w:rPr>
        <w:t>componentes </w:t>
      </w:r>
      <w:r>
        <w:rPr>
          <w:sz w:val="20"/>
        </w:rPr>
        <w:t>concretos que lo forman junto con otros elementos del contorno ajenos al </w:t>
      </w:r>
      <w:r>
        <w:rPr>
          <w:i/>
          <w:sz w:val="20"/>
        </w:rPr>
        <w:t>elemento constructivo </w:t>
      </w:r>
      <w:r>
        <w:rPr>
          <w:sz w:val="20"/>
        </w:rPr>
        <w:t>cuyas características influyen en el nivel de prestación proporcionado.</w:t>
      </w:r>
    </w:p>
    <w:p>
      <w:pPr>
        <w:pStyle w:val="BodyText"/>
        <w:spacing w:before="1"/>
      </w:pPr>
    </w:p>
    <w:p>
      <w:pPr>
        <w:pStyle w:val="Heading5"/>
      </w:pPr>
      <w:r>
        <w:rPr/>
        <w:t>Sub-base</w:t>
      </w:r>
    </w:p>
    <w:p>
      <w:pPr>
        <w:pStyle w:val="BodyText"/>
        <w:spacing w:before="58"/>
        <w:ind w:left="218"/>
      </w:pPr>
      <w:r>
        <w:rPr/>
        <w:t>Capa de bentonita de sodio sobre hormigón de limpieza dispuesta debajo del suelo.</w:t>
      </w:r>
    </w:p>
    <w:p>
      <w:pPr>
        <w:pStyle w:val="BodyText"/>
        <w:spacing w:before="2"/>
      </w:pPr>
    </w:p>
    <w:p>
      <w:pPr>
        <w:pStyle w:val="Heading5"/>
      </w:pPr>
      <w:r>
        <w:rPr/>
        <w:t>Succión</w:t>
      </w:r>
    </w:p>
    <w:p>
      <w:pPr>
        <w:pStyle w:val="BodyText"/>
        <w:spacing w:before="58"/>
        <w:ind w:left="218" w:right="418"/>
      </w:pPr>
      <w:r>
        <w:rPr/>
        <w:t>Capacidad de imbibición de agua por </w:t>
      </w:r>
      <w:r>
        <w:rPr>
          <w:i/>
        </w:rPr>
        <w:t>capilaridad </w:t>
      </w:r>
      <w:r>
        <w:rPr/>
        <w:t>de un producto mediante inmersión parcial en un período corto de tiempo.</w:t>
      </w:r>
    </w:p>
    <w:p>
      <w:pPr>
        <w:pStyle w:val="BodyText"/>
        <w:spacing w:before="1"/>
      </w:pPr>
    </w:p>
    <w:p>
      <w:pPr>
        <w:pStyle w:val="Heading5"/>
        <w:spacing w:before="1"/>
        <w:jc w:val="both"/>
      </w:pPr>
      <w:r>
        <w:rPr/>
        <w:t>Suelo elevado</w:t>
      </w:r>
    </w:p>
    <w:p>
      <w:pPr>
        <w:pStyle w:val="BodyText"/>
        <w:spacing w:before="59"/>
        <w:ind w:left="218" w:right="391"/>
        <w:jc w:val="both"/>
      </w:pPr>
      <w:r>
        <w:rPr/>
        <w:t>Suelo situado en la base del edificio en el que la relación entre la suma de la superficie de contacto con el terreno y la de apoyo, y la superficie del suelo es inferior a</w:t>
      </w:r>
      <w:r>
        <w:rPr>
          <w:spacing w:val="-14"/>
        </w:rPr>
        <w:t> </w:t>
      </w:r>
      <w:r>
        <w:rPr/>
        <w:t>1/7.</w:t>
      </w:r>
    </w:p>
    <w:p>
      <w:pPr>
        <w:spacing w:after="0"/>
        <w:jc w:val="both"/>
        <w:sectPr>
          <w:pgSz w:w="11910" w:h="16840"/>
          <w:pgMar w:header="724" w:footer="636" w:top="1320" w:bottom="840" w:left="1200" w:right="738"/>
        </w:sectPr>
      </w:pPr>
    </w:p>
    <w:p>
      <w:pPr>
        <w:pStyle w:val="Heading5"/>
        <w:spacing w:before="91"/>
      </w:pPr>
      <w:r>
        <w:rPr/>
        <w:t>Trasdós</w:t>
      </w:r>
    </w:p>
    <w:p>
      <w:pPr>
        <w:pStyle w:val="BodyText"/>
        <w:spacing w:before="58"/>
        <w:ind w:left="218"/>
      </w:pPr>
      <w:r>
        <w:rPr/>
        <w:t>Superficie exterior de un muro.</w:t>
      </w:r>
    </w:p>
    <w:p>
      <w:pPr>
        <w:pStyle w:val="BodyText"/>
        <w:spacing w:before="2"/>
      </w:pPr>
    </w:p>
    <w:p>
      <w:pPr>
        <w:pStyle w:val="Heading5"/>
      </w:pPr>
      <w:r>
        <w:rPr/>
        <w:t>Tubo drenante</w:t>
      </w:r>
    </w:p>
    <w:p>
      <w:pPr>
        <w:pStyle w:val="BodyText"/>
        <w:spacing w:before="58"/>
        <w:ind w:left="218" w:right="418"/>
      </w:pPr>
      <w:r>
        <w:rPr/>
        <w:t>Tubo enterrado cuyas paredes están perforadas para permitir la llegada del agua del terreno circundante a su interior.</w:t>
      </w:r>
    </w:p>
    <w:p>
      <w:pPr>
        <w:pStyle w:val="BodyText"/>
        <w:spacing w:before="1"/>
      </w:pPr>
    </w:p>
    <w:p>
      <w:pPr>
        <w:pStyle w:val="Heading5"/>
        <w:jc w:val="both"/>
      </w:pPr>
      <w:r>
        <w:rPr/>
        <w:t>Valor básico de la velocidad del viento</w:t>
      </w:r>
    </w:p>
    <w:p>
      <w:pPr>
        <w:pStyle w:val="BodyText"/>
        <w:spacing w:before="59"/>
        <w:ind w:left="218" w:right="390"/>
        <w:jc w:val="both"/>
      </w:pPr>
      <w:r>
        <w:rPr/>
        <w:t>Corresponde al valor característico de la velocidad media del viento a lo largo de un periodo de 10 minutos, tomada en zona plana y desprotegida frente al viento a una altura de 10 m sobre el suelo. Dicho valor característico es el valor cuya probabilidad anual de ser sobrepasado es de 0,02 (período de retorno de 50</w:t>
      </w:r>
      <w:r>
        <w:rPr>
          <w:spacing w:val="-3"/>
        </w:rPr>
        <w:t> </w:t>
      </w:r>
      <w:r>
        <w:rPr/>
        <w:t>años).</w:t>
      </w:r>
    </w:p>
    <w:p>
      <w:pPr>
        <w:pStyle w:val="BodyText"/>
        <w:spacing w:before="1"/>
      </w:pPr>
    </w:p>
    <w:p>
      <w:pPr>
        <w:pStyle w:val="Heading5"/>
        <w:jc w:val="both"/>
      </w:pPr>
      <w:r>
        <w:rPr/>
        <w:t>Zanja drenante</w:t>
      </w:r>
    </w:p>
    <w:p>
      <w:pPr>
        <w:pStyle w:val="BodyText"/>
        <w:spacing w:before="59"/>
        <w:ind w:left="218" w:right="392"/>
        <w:jc w:val="both"/>
      </w:pPr>
      <w:r>
        <w:rPr/>
        <w:t>Zanja que recoge el agua del terreno circundante y la conduce a la red de alcantarillado o de saneamiento.</w:t>
      </w:r>
    </w:p>
    <w:p>
      <w:pPr>
        <w:pStyle w:val="BodyText"/>
        <w:spacing w:before="1"/>
      </w:pPr>
    </w:p>
    <w:p>
      <w:pPr>
        <w:pStyle w:val="Heading5"/>
        <w:spacing w:before="1"/>
        <w:jc w:val="both"/>
      </w:pPr>
      <w:r>
        <w:rPr/>
        <w:t>Zona eólica</w:t>
      </w:r>
    </w:p>
    <w:p>
      <w:pPr>
        <w:spacing w:before="118"/>
        <w:ind w:left="218" w:right="391" w:firstLine="0"/>
        <w:jc w:val="both"/>
        <w:rPr>
          <w:sz w:val="20"/>
        </w:rPr>
      </w:pPr>
      <w:r>
        <w:rPr>
          <w:sz w:val="20"/>
        </w:rPr>
        <w:t>Zona geográfica que engloba todos los puntos que tienen un </w:t>
      </w:r>
      <w:r>
        <w:rPr>
          <w:i/>
          <w:sz w:val="20"/>
        </w:rPr>
        <w:t>valor básico de la velocidad del viento</w:t>
      </w:r>
      <w:r>
        <w:rPr>
          <w:sz w:val="20"/>
        </w:rPr>
        <w:t>, V, comprendido dentro del mismo intervalo de los siguientes:</w:t>
      </w:r>
    </w:p>
    <w:p>
      <w:pPr>
        <w:pStyle w:val="BodyText"/>
        <w:spacing w:line="364" w:lineRule="auto" w:before="120"/>
        <w:ind w:left="218" w:right="7383"/>
        <w:jc w:val="both"/>
      </w:pPr>
      <w:r>
        <w:rPr/>
        <w:t>zona A cuando V = 26 m/s zona B cuando V = 27 m/s zona C cuando V = 29 m/s</w:t>
      </w:r>
    </w:p>
    <w:p>
      <w:pPr>
        <w:pStyle w:val="Heading5"/>
        <w:spacing w:before="112"/>
        <w:jc w:val="both"/>
      </w:pPr>
      <w:r>
        <w:rPr/>
        <w:t>Zona pluviométrica de promedios</w:t>
      </w:r>
    </w:p>
    <w:p>
      <w:pPr>
        <w:pStyle w:val="BodyText"/>
        <w:spacing w:before="119"/>
        <w:ind w:left="218" w:right="392"/>
        <w:jc w:val="both"/>
      </w:pPr>
      <w:r>
        <w:rPr/>
        <w:t>Zona geográfica que engloba todos los puntos que tienen un </w:t>
      </w:r>
      <w:r>
        <w:rPr>
          <w:i/>
        </w:rPr>
        <w:t>índice pluviométrico anual</w:t>
      </w:r>
      <w:r>
        <w:rPr/>
        <w:t>, p, comprendido dentro del mismo intervalo de los siguientes:</w:t>
      </w:r>
    </w:p>
    <w:p>
      <w:pPr>
        <w:pStyle w:val="BodyText"/>
        <w:spacing w:before="120"/>
        <w:ind w:left="218"/>
      </w:pPr>
      <w:r>
        <w:rPr/>
        <w:t>zona I cuando p &gt; 2000</w:t>
      </w:r>
      <w:r>
        <w:rPr>
          <w:spacing w:val="-11"/>
        </w:rPr>
        <w:t> </w:t>
      </w:r>
      <w:r>
        <w:rPr/>
        <w:t>mm</w:t>
      </w:r>
    </w:p>
    <w:p>
      <w:pPr>
        <w:pStyle w:val="BodyText"/>
        <w:spacing w:line="357" w:lineRule="auto" w:before="123"/>
        <w:ind w:left="218" w:right="5907"/>
      </w:pPr>
      <w:r>
        <w:rPr/>
        <w:t>zona II cuando 1000 mm </w:t>
      </w:r>
      <w:r>
        <w:rPr>
          <w:rFonts w:ascii="Symbol" w:hAnsi="Symbol"/>
        </w:rPr>
        <w:t></w:t>
      </w:r>
      <w:r>
        <w:rPr>
          <w:rFonts w:ascii="Times New Roman" w:hAnsi="Times New Roman"/>
        </w:rPr>
        <w:t> </w:t>
      </w:r>
      <w:r>
        <w:rPr/>
        <w:t>p </w:t>
      </w:r>
      <w:r>
        <w:rPr>
          <w:rFonts w:ascii="Symbol" w:hAnsi="Symbol"/>
        </w:rPr>
        <w:t></w:t>
      </w:r>
      <w:r>
        <w:rPr>
          <w:rFonts w:ascii="Times New Roman" w:hAnsi="Times New Roman"/>
        </w:rPr>
        <w:t> </w:t>
      </w:r>
      <w:r>
        <w:rPr/>
        <w:t>2000 mm zona III cuando 500 mm </w:t>
      </w:r>
      <w:r>
        <w:rPr>
          <w:rFonts w:ascii="Symbol" w:hAnsi="Symbol"/>
        </w:rPr>
        <w:t></w:t>
      </w:r>
      <w:r>
        <w:rPr>
          <w:rFonts w:ascii="Times New Roman" w:hAnsi="Times New Roman"/>
        </w:rPr>
        <w:t> </w:t>
      </w:r>
      <w:r>
        <w:rPr/>
        <w:t>p </w:t>
      </w:r>
      <w:r>
        <w:rPr>
          <w:rFonts w:ascii="Symbol" w:hAnsi="Symbol"/>
        </w:rPr>
        <w:t></w:t>
      </w:r>
      <w:r>
        <w:rPr>
          <w:rFonts w:ascii="Times New Roman" w:hAnsi="Times New Roman"/>
        </w:rPr>
        <w:t> </w:t>
      </w:r>
      <w:r>
        <w:rPr/>
        <w:t>1000 mm zona IV cuando 300 mm </w:t>
      </w:r>
      <w:r>
        <w:rPr>
          <w:rFonts w:ascii="Symbol" w:hAnsi="Symbol"/>
        </w:rPr>
        <w:t></w:t>
      </w:r>
      <w:r>
        <w:rPr>
          <w:rFonts w:ascii="Times New Roman" w:hAnsi="Times New Roman"/>
        </w:rPr>
        <w:t> </w:t>
      </w:r>
      <w:r>
        <w:rPr/>
        <w:t>p </w:t>
      </w:r>
      <w:r>
        <w:rPr>
          <w:rFonts w:ascii="Symbol" w:hAnsi="Symbol"/>
        </w:rPr>
        <w:t></w:t>
      </w:r>
      <w:r>
        <w:rPr>
          <w:rFonts w:ascii="Times New Roman" w:hAnsi="Times New Roman"/>
        </w:rPr>
        <w:t> </w:t>
      </w:r>
      <w:r>
        <w:rPr/>
        <w:t>500 mm zona V cuando p &lt; 300</w:t>
      </w:r>
      <w:r>
        <w:rPr>
          <w:spacing w:val="-3"/>
        </w:rPr>
        <w:t> </w:t>
      </w:r>
      <w:r>
        <w:rPr/>
        <w:t>mm</w:t>
      </w:r>
    </w:p>
    <w:p>
      <w:pPr>
        <w:spacing w:after="0" w:line="357" w:lineRule="auto"/>
        <w:sectPr>
          <w:pgSz w:w="11910" w:h="16840"/>
          <w:pgMar w:header="724" w:footer="636" w:top="1320" w:bottom="840" w:left="1200" w:right="738"/>
        </w:sectPr>
      </w:pPr>
    </w:p>
    <w:p>
      <w:pPr>
        <w:pStyle w:val="BodyText"/>
      </w:pPr>
    </w:p>
    <w:p>
      <w:pPr>
        <w:pStyle w:val="BodyText"/>
        <w:spacing w:before="9"/>
        <w:rPr>
          <w:sz w:val="21"/>
        </w:rPr>
      </w:pPr>
    </w:p>
    <w:p>
      <w:pPr>
        <w:pStyle w:val="Heading2"/>
        <w:spacing w:before="91"/>
      </w:pPr>
      <w:r>
        <w:rPr/>
        <w:t>Apéndice B Notación</w:t>
      </w:r>
    </w:p>
    <w:p>
      <w:pPr>
        <w:pStyle w:val="BodyText"/>
        <w:tabs>
          <w:tab w:pos="671" w:val="left" w:leader="none"/>
        </w:tabs>
        <w:spacing w:before="217"/>
        <w:ind w:left="671" w:right="418" w:hanging="454"/>
      </w:pPr>
      <w:r>
        <w:rPr/>
        <w:t>1</w:t>
        <w:tab/>
        <w:t>En este apéndice se recogen, ordenados alfabéticamente, los símbolos que se utilizan en esta sección del DB junto con las correspondientes magnitudes y</w:t>
      </w:r>
      <w:r>
        <w:rPr>
          <w:spacing w:val="-6"/>
        </w:rPr>
        <w:t> </w:t>
      </w:r>
      <w:r>
        <w:rPr/>
        <w:t>unidades.</w:t>
      </w:r>
    </w:p>
    <w:p>
      <w:pPr>
        <w:spacing w:line="290" w:lineRule="auto" w:before="61"/>
        <w:ind w:left="674" w:right="2760" w:firstLine="0"/>
        <w:jc w:val="left"/>
        <w:rPr>
          <w:sz w:val="20"/>
        </w:rPr>
      </w:pPr>
      <w:r>
        <w:rPr>
          <w:position w:val="1"/>
          <w:sz w:val="20"/>
        </w:rPr>
        <w:t>A</w:t>
      </w:r>
      <w:r>
        <w:rPr>
          <w:sz w:val="13"/>
        </w:rPr>
        <w:t>h</w:t>
      </w:r>
      <w:r>
        <w:rPr>
          <w:position w:val="1"/>
          <w:sz w:val="20"/>
        </w:rPr>
        <w:t>: superficie de la hoja interior de un </w:t>
      </w:r>
      <w:r>
        <w:rPr>
          <w:i/>
          <w:position w:val="1"/>
          <w:sz w:val="20"/>
        </w:rPr>
        <w:t>muro parcialmente estanco</w:t>
      </w:r>
      <w:r>
        <w:rPr>
          <w:position w:val="1"/>
          <w:sz w:val="20"/>
        </w:rPr>
        <w:t>, [m</w:t>
      </w:r>
      <w:r>
        <w:rPr>
          <w:position w:val="1"/>
          <w:sz w:val="20"/>
          <w:vertAlign w:val="superscript"/>
        </w:rPr>
        <w:t>2</w:t>
      </w:r>
      <w:r>
        <w:rPr>
          <w:position w:val="1"/>
          <w:sz w:val="20"/>
          <w:vertAlign w:val="baseline"/>
        </w:rPr>
        <w:t>]. A</w:t>
      </w:r>
      <w:r>
        <w:rPr>
          <w:sz w:val="13"/>
          <w:vertAlign w:val="baseline"/>
        </w:rPr>
        <w:t>s</w:t>
      </w:r>
      <w:r>
        <w:rPr>
          <w:position w:val="1"/>
          <w:sz w:val="20"/>
          <w:vertAlign w:val="baseline"/>
        </w:rPr>
        <w:t>: superficie del </w:t>
      </w:r>
      <w:r>
        <w:rPr>
          <w:i/>
          <w:position w:val="1"/>
          <w:sz w:val="20"/>
          <w:vertAlign w:val="baseline"/>
        </w:rPr>
        <w:t>suelo elevado</w:t>
      </w:r>
      <w:r>
        <w:rPr>
          <w:position w:val="1"/>
          <w:sz w:val="20"/>
          <w:vertAlign w:val="baseline"/>
        </w:rPr>
        <w:t>, [m</w:t>
      </w:r>
      <w:r>
        <w:rPr>
          <w:position w:val="1"/>
          <w:sz w:val="20"/>
          <w:vertAlign w:val="superscript"/>
        </w:rPr>
        <w:t>2</w:t>
      </w:r>
      <w:r>
        <w:rPr>
          <w:position w:val="1"/>
          <w:sz w:val="20"/>
          <w:vertAlign w:val="baseline"/>
        </w:rPr>
        <w:t>].</w:t>
      </w:r>
    </w:p>
    <w:p>
      <w:pPr>
        <w:pStyle w:val="BodyText"/>
        <w:spacing w:before="3"/>
        <w:ind w:left="674"/>
      </w:pPr>
      <w:r>
        <w:rPr>
          <w:position w:val="1"/>
        </w:rPr>
        <w:t>A</w:t>
      </w:r>
      <w:r>
        <w:rPr>
          <w:sz w:val="13"/>
        </w:rPr>
        <w:t>c</w:t>
      </w:r>
      <w:r>
        <w:rPr>
          <w:position w:val="1"/>
        </w:rPr>
        <w:t>: superficie de la cubierta, [m</w:t>
      </w:r>
      <w:r>
        <w:rPr>
          <w:position w:val="1"/>
          <w:vertAlign w:val="superscript"/>
        </w:rPr>
        <w:t>2</w:t>
      </w:r>
      <w:r>
        <w:rPr>
          <w:position w:val="1"/>
          <w:vertAlign w:val="baseline"/>
        </w:rPr>
        <w:t>].</w:t>
      </w:r>
    </w:p>
    <w:p>
      <w:pPr>
        <w:pStyle w:val="BodyText"/>
        <w:spacing w:before="51"/>
        <w:ind w:left="1074" w:right="418" w:hanging="400"/>
      </w:pPr>
      <w:r>
        <w:rPr/>
        <w:t>H: diferencia entre la profundidad de la cara superior de la capa impermeable y el </w:t>
      </w:r>
      <w:r>
        <w:rPr>
          <w:i/>
        </w:rPr>
        <w:t>nivel freático </w:t>
      </w:r>
      <w:r>
        <w:rPr/>
        <w:t>an- tes de la intervención, [m].</w:t>
      </w:r>
    </w:p>
    <w:p>
      <w:pPr>
        <w:pStyle w:val="BodyText"/>
        <w:spacing w:before="59"/>
        <w:ind w:left="1070" w:right="514" w:hanging="396"/>
      </w:pPr>
      <w:r>
        <w:rPr>
          <w:position w:val="1"/>
        </w:rPr>
        <w:t>h</w:t>
      </w:r>
      <w:r>
        <w:rPr>
          <w:sz w:val="13"/>
        </w:rPr>
        <w:t>o</w:t>
      </w:r>
      <w:r>
        <w:rPr>
          <w:position w:val="1"/>
        </w:rPr>
        <w:t>: diferencia entre la profundidad de la cara superior de la capa impermeable y el </w:t>
      </w:r>
      <w:r>
        <w:rPr>
          <w:i/>
          <w:position w:val="1"/>
        </w:rPr>
        <w:t>nivel freático </w:t>
      </w:r>
      <w:r>
        <w:rPr>
          <w:position w:val="1"/>
        </w:rPr>
        <w:t>en </w:t>
      </w:r>
      <w:r>
        <w:rPr/>
        <w:t>el punto del terreno donde está situado el </w:t>
      </w:r>
      <w:r>
        <w:rPr>
          <w:i/>
        </w:rPr>
        <w:t>tubo drenante</w:t>
      </w:r>
      <w:r>
        <w:rPr/>
        <w:t>,</w:t>
      </w:r>
      <w:r>
        <w:rPr>
          <w:spacing w:val="-11"/>
        </w:rPr>
        <w:t> </w:t>
      </w:r>
      <w:r>
        <w:rPr/>
        <w:t>[m].</w:t>
      </w:r>
    </w:p>
    <w:p>
      <w:pPr>
        <w:spacing w:line="302" w:lineRule="auto" w:before="59"/>
        <w:ind w:left="674" w:right="3884" w:hanging="1"/>
        <w:jc w:val="left"/>
        <w:rPr>
          <w:sz w:val="20"/>
        </w:rPr>
      </w:pPr>
      <w:r>
        <w:rPr>
          <w:position w:val="1"/>
          <w:sz w:val="20"/>
        </w:rPr>
        <w:t>K</w:t>
      </w:r>
      <w:r>
        <w:rPr>
          <w:sz w:val="13"/>
        </w:rPr>
        <w:t>s</w:t>
      </w:r>
      <w:r>
        <w:rPr>
          <w:position w:val="1"/>
          <w:sz w:val="20"/>
        </w:rPr>
        <w:t>: </w:t>
      </w:r>
      <w:r>
        <w:rPr>
          <w:i/>
          <w:position w:val="1"/>
          <w:sz w:val="20"/>
        </w:rPr>
        <w:t>coeficiente de permeabilidad </w:t>
      </w:r>
      <w:r>
        <w:rPr>
          <w:position w:val="1"/>
          <w:sz w:val="20"/>
        </w:rPr>
        <w:t>del terreno, [m/s ó cm/s]. </w:t>
      </w:r>
      <w:r>
        <w:rPr>
          <w:sz w:val="20"/>
        </w:rPr>
        <w:t>NF: </w:t>
      </w:r>
      <w:r>
        <w:rPr>
          <w:i/>
          <w:sz w:val="20"/>
        </w:rPr>
        <w:t>nivel freático</w:t>
      </w:r>
      <w:r>
        <w:rPr>
          <w:sz w:val="20"/>
        </w:rPr>
        <w:t>, [m].</w:t>
      </w:r>
    </w:p>
    <w:p>
      <w:pPr>
        <w:tabs>
          <w:tab w:pos="1070" w:val="left" w:leader="none"/>
        </w:tabs>
        <w:spacing w:line="302" w:lineRule="auto" w:before="1"/>
        <w:ind w:left="674" w:right="1879" w:firstLine="0"/>
        <w:jc w:val="left"/>
        <w:rPr>
          <w:sz w:val="20"/>
        </w:rPr>
      </w:pPr>
      <w:r>
        <w:rPr>
          <w:sz w:val="20"/>
        </w:rPr>
        <w:t>P:</w:t>
        <w:tab/>
        <w:t>profundidad del arranque del muro con respecto a la superficie del terreno, [m]; p:</w:t>
        <w:tab/>
      </w:r>
      <w:r>
        <w:rPr>
          <w:i/>
          <w:sz w:val="20"/>
        </w:rPr>
        <w:t>índice pluviométrico anual</w:t>
      </w:r>
      <w:r>
        <w:rPr>
          <w:sz w:val="20"/>
        </w:rPr>
        <w:t>,</w:t>
      </w:r>
      <w:r>
        <w:rPr>
          <w:spacing w:val="-4"/>
          <w:sz w:val="20"/>
        </w:rPr>
        <w:t> </w:t>
      </w:r>
      <w:r>
        <w:rPr>
          <w:sz w:val="20"/>
        </w:rPr>
        <w:t>[mm].</w:t>
      </w:r>
    </w:p>
    <w:p>
      <w:pPr>
        <w:pStyle w:val="BodyText"/>
        <w:tabs>
          <w:tab w:pos="1070" w:val="left" w:leader="none"/>
        </w:tabs>
        <w:spacing w:line="231" w:lineRule="exact"/>
        <w:ind w:left="674"/>
      </w:pPr>
      <w:r>
        <w:rPr/>
        <w:t>q:</w:t>
        <w:tab/>
        <w:t>caudal de </w:t>
      </w:r>
      <w:r>
        <w:rPr>
          <w:i/>
        </w:rPr>
        <w:t>drenaje </w:t>
      </w:r>
      <w:r>
        <w:rPr/>
        <w:t>por metro lineal de muro,</w:t>
      </w:r>
      <w:r>
        <w:rPr>
          <w:spacing w:val="-9"/>
        </w:rPr>
        <w:t> </w:t>
      </w:r>
      <w:r>
        <w:rPr/>
        <w:t>[m</w:t>
      </w:r>
      <w:r>
        <w:rPr>
          <w:position w:val="7"/>
          <w:sz w:val="13"/>
        </w:rPr>
        <w:t>3</w:t>
      </w:r>
      <w:r>
        <w:rPr/>
        <w:t>/(s.m)].</w:t>
      </w:r>
    </w:p>
    <w:p>
      <w:pPr>
        <w:pStyle w:val="BodyText"/>
        <w:spacing w:line="302" w:lineRule="auto" w:before="59"/>
        <w:ind w:left="674" w:right="514"/>
      </w:pPr>
      <w:r>
        <w:rPr/>
        <w:t>R: radio de acción del </w:t>
      </w:r>
      <w:r>
        <w:rPr>
          <w:i/>
        </w:rPr>
        <w:t>drenaje</w:t>
      </w:r>
      <w:r>
        <w:rPr/>
        <w:t>, equivalente a la distancia de la zona de recarga del acuífero, [m]. </w:t>
      </w:r>
      <w:r>
        <w:rPr>
          <w:position w:val="1"/>
        </w:rPr>
        <w:t>S</w:t>
      </w:r>
      <w:r>
        <w:rPr>
          <w:sz w:val="13"/>
        </w:rPr>
        <w:t>s</w:t>
      </w:r>
      <w:r>
        <w:rPr>
          <w:position w:val="1"/>
        </w:rPr>
        <w:t>: </w:t>
      </w:r>
      <w:r>
        <w:rPr>
          <w:i/>
          <w:position w:val="1"/>
        </w:rPr>
        <w:t>área efectiva </w:t>
      </w:r>
      <w:r>
        <w:rPr>
          <w:position w:val="1"/>
        </w:rPr>
        <w:t>total de las aberturas de ventilación de una cámara, [cm</w:t>
      </w:r>
      <w:r>
        <w:rPr>
          <w:position w:val="1"/>
          <w:vertAlign w:val="superscript"/>
        </w:rPr>
        <w:t>2</w:t>
      </w:r>
      <w:r>
        <w:rPr>
          <w:position w:val="1"/>
          <w:vertAlign w:val="baseline"/>
        </w:rPr>
        <w:t>].</w:t>
      </w:r>
    </w:p>
    <w:p>
      <w:pPr>
        <w:tabs>
          <w:tab w:pos="1070" w:val="left" w:leader="none"/>
        </w:tabs>
        <w:spacing w:line="221" w:lineRule="exact" w:before="0"/>
        <w:ind w:left="674" w:right="0" w:firstLine="0"/>
        <w:jc w:val="left"/>
        <w:rPr>
          <w:sz w:val="20"/>
        </w:rPr>
      </w:pPr>
      <w:r>
        <w:rPr>
          <w:sz w:val="20"/>
        </w:rPr>
        <w:t>V:</w:t>
        <w:tab/>
      </w:r>
      <w:r>
        <w:rPr>
          <w:i/>
          <w:sz w:val="20"/>
        </w:rPr>
        <w:t>valor básico de la velocidad del viento</w:t>
      </w:r>
      <w:r>
        <w:rPr>
          <w:sz w:val="20"/>
        </w:rPr>
        <w:t>,</w:t>
      </w:r>
      <w:r>
        <w:rPr>
          <w:spacing w:val="-8"/>
          <w:sz w:val="20"/>
        </w:rPr>
        <w:t> </w:t>
      </w:r>
      <w:r>
        <w:rPr>
          <w:sz w:val="20"/>
        </w:rPr>
        <w:t>[m/s].</w:t>
      </w:r>
    </w:p>
    <w:p>
      <w:pPr>
        <w:spacing w:after="0" w:line="221" w:lineRule="exact"/>
        <w:jc w:val="left"/>
        <w:rPr>
          <w:sz w:val="20"/>
        </w:rPr>
        <w:sectPr>
          <w:pgSz w:w="11910" w:h="16840"/>
          <w:pgMar w:header="724" w:footer="636" w:top="1320" w:bottom="840" w:left="1200" w:right="738"/>
        </w:sectPr>
      </w:pPr>
    </w:p>
    <w:p>
      <w:pPr>
        <w:pStyle w:val="BodyText"/>
      </w:pPr>
    </w:p>
    <w:p>
      <w:pPr>
        <w:pStyle w:val="BodyText"/>
        <w:spacing w:before="9"/>
        <w:rPr>
          <w:sz w:val="21"/>
        </w:rPr>
      </w:pPr>
    </w:p>
    <w:p>
      <w:pPr>
        <w:pStyle w:val="Heading2"/>
        <w:spacing w:before="91"/>
        <w:rPr>
          <w:i/>
        </w:rPr>
      </w:pPr>
      <w:r>
        <w:rPr/>
        <w:t>Apéndice C Cálculo del caudal de </w:t>
      </w:r>
      <w:r>
        <w:rPr>
          <w:i/>
        </w:rPr>
        <w:t>drenaje</w:t>
      </w:r>
    </w:p>
    <w:p>
      <w:pPr>
        <w:pStyle w:val="BodyText"/>
        <w:tabs>
          <w:tab w:pos="671" w:val="left" w:leader="none"/>
        </w:tabs>
        <w:spacing w:before="213"/>
        <w:ind w:left="672" w:right="418" w:hanging="454"/>
      </w:pPr>
      <w:r>
        <w:rPr/>
        <w:t>1</w:t>
        <w:tab/>
        <w:t>El caudal de </w:t>
      </w:r>
      <w:r>
        <w:rPr>
          <w:i/>
        </w:rPr>
        <w:t>drenaje </w:t>
      </w:r>
      <w:r>
        <w:rPr/>
        <w:t>por metro lineal de muro en m</w:t>
      </w:r>
      <w:r>
        <w:rPr>
          <w:position w:val="7"/>
          <w:sz w:val="13"/>
        </w:rPr>
        <w:t>3</w:t>
      </w:r>
      <w:r>
        <w:rPr/>
        <w:t>/(s.m) debido al encuentro con una capa freática,</w:t>
      </w:r>
      <w:r>
        <w:rPr>
          <w:spacing w:val="-2"/>
        </w:rPr>
        <w:t> </w:t>
      </w:r>
      <w:r>
        <w:rPr/>
        <w:t>q,</w:t>
      </w:r>
      <w:r>
        <w:rPr>
          <w:spacing w:val="-3"/>
        </w:rPr>
        <w:t> </w:t>
      </w:r>
      <w:r>
        <w:rPr/>
        <w:t>se</w:t>
      </w:r>
      <w:r>
        <w:rPr>
          <w:spacing w:val="-4"/>
        </w:rPr>
        <w:t> </w:t>
      </w:r>
      <w:r>
        <w:rPr/>
        <w:t>obtiene</w:t>
      </w:r>
      <w:r>
        <w:rPr>
          <w:spacing w:val="-3"/>
        </w:rPr>
        <w:t> </w:t>
      </w:r>
      <w:r>
        <w:rPr/>
        <w:t>por</w:t>
      </w:r>
      <w:r>
        <w:rPr>
          <w:spacing w:val="-3"/>
        </w:rPr>
        <w:t> </w:t>
      </w:r>
      <w:r>
        <w:rPr/>
        <w:t>el</w:t>
      </w:r>
      <w:r>
        <w:rPr>
          <w:spacing w:val="-3"/>
        </w:rPr>
        <w:t> </w:t>
      </w:r>
      <w:r>
        <w:rPr/>
        <w:t>procedimiento</w:t>
      </w:r>
      <w:r>
        <w:rPr>
          <w:spacing w:val="-2"/>
        </w:rPr>
        <w:t> </w:t>
      </w:r>
      <w:r>
        <w:rPr/>
        <w:t>que</w:t>
      </w:r>
      <w:r>
        <w:rPr>
          <w:spacing w:val="-3"/>
        </w:rPr>
        <w:t> </w:t>
      </w:r>
      <w:r>
        <w:rPr/>
        <w:t>se</w:t>
      </w:r>
      <w:r>
        <w:rPr>
          <w:spacing w:val="-3"/>
        </w:rPr>
        <w:t> </w:t>
      </w:r>
      <w:r>
        <w:rPr/>
        <w:t>expone</w:t>
      </w:r>
      <w:r>
        <w:rPr>
          <w:spacing w:val="-3"/>
        </w:rPr>
        <w:t> </w:t>
      </w:r>
      <w:r>
        <w:rPr/>
        <w:t>a</w:t>
      </w:r>
      <w:r>
        <w:rPr>
          <w:spacing w:val="-3"/>
        </w:rPr>
        <w:t> </w:t>
      </w:r>
      <w:r>
        <w:rPr/>
        <w:t>continuación</w:t>
      </w:r>
      <w:r>
        <w:rPr>
          <w:spacing w:val="-2"/>
        </w:rPr>
        <w:t> </w:t>
      </w:r>
      <w:r>
        <w:rPr/>
        <w:t>(Véase</w:t>
      </w:r>
      <w:r>
        <w:rPr>
          <w:spacing w:val="-4"/>
        </w:rPr>
        <w:t> </w:t>
      </w:r>
      <w:r>
        <w:rPr/>
        <w:t>la</w:t>
      </w:r>
      <w:r>
        <w:rPr>
          <w:spacing w:val="-2"/>
        </w:rPr>
        <w:t> </w:t>
      </w:r>
      <w:r>
        <w:rPr/>
        <w:t>figura</w:t>
      </w:r>
      <w:r>
        <w:rPr>
          <w:spacing w:val="-2"/>
        </w:rPr>
        <w:t> </w:t>
      </w:r>
      <w:r>
        <w:rPr/>
        <w:t>C.1).</w:t>
      </w:r>
    </w:p>
    <w:p>
      <w:pPr>
        <w:pStyle w:val="ListParagraph"/>
        <w:numPr>
          <w:ilvl w:val="0"/>
          <w:numId w:val="95"/>
        </w:numPr>
        <w:tabs>
          <w:tab w:pos="940" w:val="left" w:leader="none"/>
        </w:tabs>
        <w:spacing w:line="240" w:lineRule="auto" w:before="121" w:after="0"/>
        <w:ind w:left="938" w:right="391" w:hanging="363"/>
        <w:jc w:val="left"/>
        <w:rPr>
          <w:sz w:val="20"/>
        </w:rPr>
      </w:pPr>
      <w:r>
        <w:rPr>
          <w:sz w:val="20"/>
        </w:rPr>
        <w:t>Cuando el arranque del muro coincide o está por debajo de la cara superior de una capa impermeable el caudal se obtiene mediante la fórmula C.1 o la fórmula</w:t>
      </w:r>
      <w:r>
        <w:rPr>
          <w:spacing w:val="-17"/>
          <w:sz w:val="20"/>
        </w:rPr>
        <w:t> </w:t>
      </w:r>
      <w:r>
        <w:rPr>
          <w:sz w:val="20"/>
        </w:rPr>
        <w:t>C.2</w:t>
      </w:r>
    </w:p>
    <w:p>
      <w:pPr>
        <w:spacing w:after="0" w:line="240" w:lineRule="auto"/>
        <w:jc w:val="left"/>
        <w:rPr>
          <w:sz w:val="20"/>
        </w:rPr>
        <w:sectPr>
          <w:pgSz w:w="11910" w:h="16840"/>
          <w:pgMar w:header="724" w:footer="636" w:top="1320" w:bottom="840" w:left="1200" w:right="738"/>
        </w:sectPr>
      </w:pPr>
    </w:p>
    <w:p>
      <w:pPr>
        <w:pStyle w:val="BodyText"/>
        <w:spacing w:line="189" w:lineRule="auto" w:before="141"/>
        <w:ind w:left="966"/>
      </w:pPr>
      <w:r>
        <w:rPr/>
        <w:pict>
          <v:line style="position:absolute;mso-position-horizontal-relative:page;mso-position-vertical-relative:paragraph;z-index:-267187200" from="124.739998pt,20.65296pt" to="173.279998pt,20.65296pt" stroked="true" strokeweight=".499pt" strokecolor="#000000">
            <v:stroke dashstyle="solid"/>
            <w10:wrap type="none"/>
          </v:line>
        </w:pict>
      </w:r>
      <w:r>
        <w:rPr>
          <w:position w:val="-12"/>
        </w:rPr>
        <w:t>q </w:t>
      </w:r>
      <w:r>
        <w:rPr>
          <w:rFonts w:ascii="Symbol" w:hAnsi="Symbol"/>
          <w:position w:val="-12"/>
        </w:rPr>
        <w:t></w:t>
      </w:r>
      <w:r>
        <w:rPr>
          <w:rFonts w:ascii="Times New Roman" w:hAnsi="Times New Roman"/>
          <w:position w:val="-12"/>
        </w:rPr>
        <w:t> </w:t>
      </w:r>
      <w:r>
        <w:rPr/>
        <w:t>K</w:t>
      </w:r>
      <w:r>
        <w:rPr>
          <w:position w:val="-4"/>
          <w:sz w:val="14"/>
        </w:rPr>
        <w:t>s </w:t>
      </w:r>
      <w:r>
        <w:rPr/>
        <w:t>(P </w:t>
      </w:r>
      <w:r>
        <w:rPr>
          <w:rFonts w:ascii="Symbol" w:hAnsi="Symbol"/>
        </w:rPr>
        <w:t></w:t>
      </w:r>
      <w:r>
        <w:rPr>
          <w:rFonts w:ascii="Times New Roman" w:hAnsi="Times New Roman"/>
        </w:rPr>
        <w:t> </w:t>
      </w:r>
      <w:r>
        <w:rPr/>
        <w:t>NF)</w:t>
      </w:r>
    </w:p>
    <w:p>
      <w:pPr>
        <w:pStyle w:val="BodyText"/>
        <w:spacing w:line="185" w:lineRule="exact"/>
        <w:ind w:right="495"/>
        <w:jc w:val="right"/>
      </w:pPr>
      <w:r>
        <w:rPr/>
        <w:t>10</w:t>
      </w:r>
    </w:p>
    <w:p>
      <w:pPr>
        <w:spacing w:line="309" w:lineRule="exact" w:before="0"/>
        <w:ind w:left="1294" w:right="0" w:firstLine="0"/>
        <w:jc w:val="left"/>
        <w:rPr>
          <w:rFonts w:ascii="Symbol" w:hAnsi="Symbol"/>
          <w:sz w:val="39"/>
        </w:rPr>
      </w:pPr>
      <w:r>
        <w:rPr>
          <w:spacing w:val="17"/>
          <w:sz w:val="20"/>
        </w:rPr>
        <w:t>K</w:t>
      </w:r>
      <w:r>
        <w:rPr>
          <w:position w:val="-4"/>
          <w:sz w:val="14"/>
        </w:rPr>
        <w:t>s</w:t>
      </w:r>
      <w:r>
        <w:rPr>
          <w:spacing w:val="-13"/>
          <w:position w:val="-4"/>
          <w:sz w:val="14"/>
        </w:rPr>
        <w:t> </w:t>
      </w:r>
      <w:r>
        <w:rPr>
          <w:rFonts w:ascii="Symbol" w:hAnsi="Symbol"/>
          <w:spacing w:val="-34"/>
          <w:w w:val="50"/>
          <w:sz w:val="39"/>
        </w:rPr>
        <w:t></w:t>
      </w:r>
      <w:r>
        <w:rPr>
          <w:sz w:val="20"/>
        </w:rPr>
        <w:t>H</w:t>
      </w:r>
      <w:r>
        <w:rPr>
          <w:position w:val="9"/>
          <w:sz w:val="14"/>
        </w:rPr>
        <w:t>2 </w:t>
      </w:r>
      <w:r>
        <w:rPr>
          <w:spacing w:val="-16"/>
          <w:position w:val="9"/>
          <w:sz w:val="14"/>
        </w:rPr>
        <w:t> </w:t>
      </w:r>
      <w:r>
        <w:rPr>
          <w:rFonts w:ascii="Symbol" w:hAnsi="Symbol"/>
          <w:sz w:val="20"/>
        </w:rPr>
        <w:t></w:t>
      </w:r>
      <w:r>
        <w:rPr>
          <w:rFonts w:ascii="Times New Roman" w:hAnsi="Times New Roman"/>
          <w:spacing w:val="-16"/>
          <w:sz w:val="20"/>
        </w:rPr>
        <w:t> </w:t>
      </w:r>
      <w:r>
        <w:rPr>
          <w:spacing w:val="4"/>
          <w:sz w:val="20"/>
        </w:rPr>
        <w:t>h</w:t>
      </w:r>
      <w:r>
        <w:rPr>
          <w:spacing w:val="10"/>
          <w:position w:val="-4"/>
          <w:sz w:val="14"/>
        </w:rPr>
        <w:t>o</w:t>
      </w:r>
      <w:r>
        <w:rPr>
          <w:position w:val="10"/>
          <w:sz w:val="14"/>
        </w:rPr>
        <w:t>2</w:t>
      </w:r>
      <w:r>
        <w:rPr>
          <w:spacing w:val="-10"/>
          <w:position w:val="10"/>
          <w:sz w:val="14"/>
        </w:rPr>
        <w:t> </w:t>
      </w:r>
      <w:r>
        <w:rPr>
          <w:rFonts w:ascii="Symbol" w:hAnsi="Symbol"/>
          <w:spacing w:val="-15"/>
          <w:w w:val="50"/>
          <w:sz w:val="39"/>
        </w:rPr>
        <w:t></w:t>
      </w:r>
    </w:p>
    <w:p>
      <w:pPr>
        <w:pStyle w:val="BodyText"/>
        <w:spacing w:before="9" w:after="40"/>
        <w:rPr>
          <w:rFonts w:ascii="Symbol" w:hAnsi="Symbol"/>
          <w:sz w:val="8"/>
        </w:rPr>
      </w:pPr>
    </w:p>
    <w:p>
      <w:pPr>
        <w:pStyle w:val="BodyText"/>
        <w:spacing w:line="20" w:lineRule="exact"/>
        <w:ind w:left="1285" w:right="-58"/>
        <w:rPr>
          <w:rFonts w:ascii="Symbol" w:hAnsi="Symbol"/>
          <w:sz w:val="2"/>
        </w:rPr>
      </w:pPr>
      <w:r>
        <w:rPr>
          <w:rFonts w:ascii="Symbol" w:hAnsi="Symbol"/>
          <w:sz w:val="2"/>
        </w:rPr>
        <w:pict>
          <v:group style="width:53.65pt;height:.5pt;mso-position-horizontal-relative:char;mso-position-vertical-relative:line" coordorigin="0,0" coordsize="1073,10">
            <v:line style="position:absolute" from="0,5" to="1073,5" stroked="true" strokeweight=".499pt" strokecolor="#000000">
              <v:stroke dashstyle="solid"/>
            </v:line>
          </v:group>
        </w:pict>
      </w:r>
      <w:r>
        <w:rPr>
          <w:rFonts w:ascii="Symbol" w:hAnsi="Symbol"/>
          <w:sz w:val="2"/>
        </w:rPr>
      </w:r>
    </w:p>
    <w:p>
      <w:pPr>
        <w:pStyle w:val="BodyText"/>
        <w:spacing w:before="4"/>
        <w:rPr>
          <w:rFonts w:ascii="Symbol" w:hAnsi="Symbol"/>
          <w:sz w:val="22"/>
        </w:rPr>
      </w:pPr>
      <w:r>
        <w:rPr/>
        <w:br w:type="column"/>
      </w:r>
      <w:r>
        <w:rPr>
          <w:rFonts w:ascii="Symbol" w:hAnsi="Symbol"/>
          <w:sz w:val="22"/>
        </w:rPr>
      </w:r>
    </w:p>
    <w:p>
      <w:pPr>
        <w:pStyle w:val="BodyText"/>
        <w:spacing w:before="1"/>
        <w:ind w:left="69"/>
      </w:pPr>
      <w:r>
        <w:rPr/>
        <w:t>(C.1)</w:t>
      </w:r>
    </w:p>
    <w:p>
      <w:pPr>
        <w:spacing w:after="0"/>
        <w:sectPr>
          <w:type w:val="continuous"/>
          <w:pgSz w:w="11910" w:h="16840"/>
          <w:pgMar w:top="1580" w:bottom="280" w:left="1200" w:right="738"/>
          <w:cols w:num="2" w:equalWidth="0">
            <w:col w:w="2381" w:space="40"/>
            <w:col w:w="7551"/>
          </w:cols>
        </w:sectPr>
      </w:pPr>
    </w:p>
    <w:p>
      <w:pPr>
        <w:pStyle w:val="BodyText"/>
        <w:tabs>
          <w:tab w:pos="2489" w:val="left" w:leader="none"/>
        </w:tabs>
        <w:spacing w:line="40" w:lineRule="exact"/>
        <w:ind w:left="966"/>
      </w:pPr>
      <w:r>
        <w:rPr/>
        <w:t>q</w:t>
      </w:r>
      <w:r>
        <w:rPr>
          <w:spacing w:val="-10"/>
        </w:rPr>
        <w:t> </w:t>
      </w:r>
      <w:r>
        <w:rPr>
          <w:rFonts w:ascii="Symbol" w:hAnsi="Symbol"/>
        </w:rPr>
        <w:t></w:t>
      </w:r>
      <w:r>
        <w:rPr>
          <w:rFonts w:ascii="Times New Roman" w:hAnsi="Times New Roman"/>
        </w:rPr>
        <w:tab/>
      </w:r>
      <w:r>
        <w:rPr/>
        <w:t>(C.2)</w:t>
      </w:r>
    </w:p>
    <w:p>
      <w:pPr>
        <w:pStyle w:val="BodyText"/>
        <w:spacing w:line="192" w:lineRule="exact"/>
        <w:ind w:left="1698"/>
      </w:pPr>
      <w:r>
        <w:rPr/>
        <w:t>2R</w:t>
      </w:r>
    </w:p>
    <w:p>
      <w:pPr>
        <w:pStyle w:val="BodyText"/>
        <w:spacing w:before="119"/>
        <w:ind w:left="932"/>
      </w:pPr>
      <w:r>
        <w:rPr/>
        <w:t>siendo</w:t>
      </w:r>
    </w:p>
    <w:p>
      <w:pPr>
        <w:pStyle w:val="BodyText"/>
        <w:tabs>
          <w:tab w:pos="1355" w:val="left" w:leader="none"/>
        </w:tabs>
        <w:spacing w:before="60"/>
        <w:ind w:left="960" w:right="1382"/>
      </w:pPr>
      <w:r>
        <w:rPr/>
        <w:t>P</w:t>
        <w:tab/>
        <w:t>la profundidad del arranque del muro con respecto a la superficie del terreno, [m]; NF el </w:t>
      </w:r>
      <w:r>
        <w:rPr>
          <w:i/>
        </w:rPr>
        <w:t>nivel freático,</w:t>
      </w:r>
      <w:r>
        <w:rPr>
          <w:i/>
          <w:spacing w:val="12"/>
        </w:rPr>
        <w:t> </w:t>
      </w:r>
      <w:r>
        <w:rPr/>
        <w:t>[m];</w:t>
      </w:r>
    </w:p>
    <w:p>
      <w:pPr>
        <w:tabs>
          <w:tab w:pos="1354" w:val="left" w:leader="none"/>
        </w:tabs>
        <w:spacing w:line="240" w:lineRule="auto" w:before="0"/>
        <w:ind w:left="959" w:right="3558" w:firstLine="0"/>
        <w:jc w:val="left"/>
        <w:rPr>
          <w:sz w:val="20"/>
        </w:rPr>
      </w:pPr>
      <w:r>
        <w:rPr>
          <w:sz w:val="20"/>
        </w:rPr>
        <w:t>q</w:t>
        <w:tab/>
        <w:t>el caudal de </w:t>
      </w:r>
      <w:r>
        <w:rPr>
          <w:i/>
          <w:sz w:val="20"/>
        </w:rPr>
        <w:t>drenaje </w:t>
      </w:r>
      <w:r>
        <w:rPr>
          <w:sz w:val="20"/>
        </w:rPr>
        <w:t>por metro lineal de muro, [m</w:t>
      </w:r>
      <w:r>
        <w:rPr>
          <w:position w:val="7"/>
          <w:sz w:val="13"/>
        </w:rPr>
        <w:t>3</w:t>
      </w:r>
      <w:r>
        <w:rPr>
          <w:sz w:val="20"/>
        </w:rPr>
        <w:t>/(s.m)];</w:t>
      </w:r>
      <w:r>
        <w:rPr>
          <w:position w:val="1"/>
          <w:sz w:val="20"/>
        </w:rPr>
        <w:t> K</w:t>
      </w:r>
      <w:r>
        <w:rPr>
          <w:sz w:val="13"/>
        </w:rPr>
        <w:t>s </w:t>
      </w:r>
      <w:r>
        <w:rPr>
          <w:position w:val="1"/>
          <w:sz w:val="20"/>
        </w:rPr>
        <w:t>el </w:t>
      </w:r>
      <w:r>
        <w:rPr>
          <w:i/>
          <w:position w:val="1"/>
          <w:sz w:val="20"/>
        </w:rPr>
        <w:t>coeficiente de permeabilidad </w:t>
      </w:r>
      <w:r>
        <w:rPr>
          <w:position w:val="1"/>
          <w:sz w:val="20"/>
        </w:rPr>
        <w:t>del terreno,</w:t>
      </w:r>
      <w:r>
        <w:rPr>
          <w:spacing w:val="-32"/>
          <w:position w:val="1"/>
          <w:sz w:val="20"/>
        </w:rPr>
        <w:t> </w:t>
      </w:r>
      <w:r>
        <w:rPr>
          <w:position w:val="1"/>
          <w:sz w:val="20"/>
        </w:rPr>
        <w:t>[m/s];</w:t>
      </w:r>
    </w:p>
    <w:p>
      <w:pPr>
        <w:pStyle w:val="BodyText"/>
        <w:tabs>
          <w:tab w:pos="1354" w:val="left" w:leader="none"/>
        </w:tabs>
        <w:ind w:left="1354" w:right="418" w:hanging="395"/>
      </w:pPr>
      <w:r>
        <w:rPr/>
        <w:t>H</w:t>
        <w:tab/>
        <w:t>la diferencia entre la profundidad de la cara superior de la capa impermeable y el </w:t>
      </w:r>
      <w:r>
        <w:rPr>
          <w:i/>
        </w:rPr>
        <w:t>nivel </w:t>
      </w:r>
      <w:r>
        <w:rPr>
          <w:i/>
        </w:rPr>
        <w:t>freático </w:t>
      </w:r>
      <w:r>
        <w:rPr/>
        <w:t>antes de la intervención,</w:t>
      </w:r>
      <w:r>
        <w:rPr>
          <w:spacing w:val="-5"/>
        </w:rPr>
        <w:t> </w:t>
      </w:r>
      <w:r>
        <w:rPr/>
        <w:t>[m];</w:t>
      </w:r>
    </w:p>
    <w:p>
      <w:pPr>
        <w:pStyle w:val="BodyText"/>
        <w:tabs>
          <w:tab w:pos="1354" w:val="left" w:leader="none"/>
        </w:tabs>
        <w:ind w:left="1354" w:right="418" w:hanging="395"/>
      </w:pPr>
      <w:r>
        <w:rPr>
          <w:position w:val="1"/>
        </w:rPr>
        <w:t>h</w:t>
      </w:r>
      <w:r>
        <w:rPr>
          <w:sz w:val="13"/>
        </w:rPr>
        <w:t>o</w:t>
        <w:tab/>
      </w:r>
      <w:r>
        <w:rPr>
          <w:position w:val="1"/>
        </w:rPr>
        <w:t>la diferencia entre la profundidad de la cara superior de la capa impermeable y el </w:t>
      </w:r>
      <w:r>
        <w:rPr>
          <w:i/>
          <w:position w:val="1"/>
        </w:rPr>
        <w:t>nivel </w:t>
      </w:r>
      <w:r>
        <w:rPr>
          <w:i/>
        </w:rPr>
        <w:t>freático </w:t>
      </w:r>
      <w:r>
        <w:rPr/>
        <w:t>en el punto del terreno donde está situado el </w:t>
      </w:r>
      <w:r>
        <w:rPr>
          <w:i/>
        </w:rPr>
        <w:t>tubo drenante</w:t>
      </w:r>
      <w:r>
        <w:rPr/>
        <w:t>,</w:t>
      </w:r>
      <w:r>
        <w:rPr>
          <w:spacing w:val="-18"/>
        </w:rPr>
        <w:t> </w:t>
      </w:r>
      <w:r>
        <w:rPr/>
        <w:t>[m];</w:t>
      </w:r>
    </w:p>
    <w:p>
      <w:pPr>
        <w:pStyle w:val="BodyText"/>
        <w:tabs>
          <w:tab w:pos="1355" w:val="left" w:leader="none"/>
        </w:tabs>
        <w:ind w:left="1354" w:right="418" w:hanging="395"/>
      </w:pPr>
      <w:r>
        <w:rPr/>
        <w:t>R</w:t>
        <w:tab/>
        <w:tab/>
        <w:t>el radio de acción del </w:t>
      </w:r>
      <w:r>
        <w:rPr>
          <w:i/>
        </w:rPr>
        <w:t>drenaje</w:t>
      </w:r>
      <w:r>
        <w:rPr/>
        <w:t>, equivalente a la distancia de la zona de recarga del acuífero, [m].</w:t>
      </w:r>
    </w:p>
    <w:p>
      <w:pPr>
        <w:pStyle w:val="BodyText"/>
        <w:spacing w:before="10"/>
        <w:rPr>
          <w:sz w:val="24"/>
        </w:rPr>
      </w:pPr>
    </w:p>
    <w:p>
      <w:pPr>
        <w:pStyle w:val="ListParagraph"/>
        <w:numPr>
          <w:ilvl w:val="0"/>
          <w:numId w:val="95"/>
        </w:numPr>
        <w:tabs>
          <w:tab w:pos="940" w:val="left" w:leader="none"/>
        </w:tabs>
        <w:spacing w:line="240" w:lineRule="auto" w:before="0" w:after="0"/>
        <w:ind w:left="938" w:right="392" w:hanging="363"/>
        <w:jc w:val="left"/>
        <w:rPr>
          <w:sz w:val="20"/>
        </w:rPr>
      </w:pPr>
      <w:r>
        <w:rPr>
          <w:sz w:val="20"/>
        </w:rPr>
        <w:t>Cuando el arranque del muro no alcanza ninguna capa impermeable, el caudal se obtiene mediante la</w:t>
      </w:r>
      <w:r>
        <w:rPr>
          <w:spacing w:val="-2"/>
          <w:sz w:val="20"/>
        </w:rPr>
        <w:t> </w:t>
      </w:r>
      <w:r>
        <w:rPr>
          <w:sz w:val="20"/>
        </w:rPr>
        <w:t>fórmula</w:t>
      </w:r>
    </w:p>
    <w:p>
      <w:pPr>
        <w:pStyle w:val="BodyText"/>
        <w:tabs>
          <w:tab w:pos="2068" w:val="left" w:leader="none"/>
        </w:tabs>
        <w:spacing w:line="211" w:lineRule="exact" w:before="35"/>
        <w:ind w:left="1586"/>
        <w:rPr>
          <w:rFonts w:ascii="Symbol" w:hAnsi="Symbol"/>
          <w:sz w:val="39"/>
        </w:rPr>
      </w:pPr>
      <w:r>
        <w:rPr/>
        <w:pict>
          <v:line style="position:absolute;mso-position-horizontal-relative:page;mso-position-vertical-relative:paragraph;z-index:-251533312;mso-wrap-distance-left:0;mso-wrap-distance-right:0" from="190.979996pt,18.895029pt" to="219.059996pt,18.895029pt" stroked="true" strokeweight=".25pt" strokecolor="#000000">
            <v:stroke dashstyle="solid"/>
            <w10:wrap type="topAndBottom"/>
          </v:line>
        </w:pict>
      </w:r>
      <w:r>
        <w:rPr>
          <w:rFonts w:ascii="Symbol" w:hAnsi="Symbol"/>
          <w:position w:val="13"/>
        </w:rPr>
        <w:t></w:t>
      </w:r>
      <w:r>
        <w:rPr>
          <w:rFonts w:ascii="Times New Roman" w:hAnsi="Times New Roman"/>
          <w:position w:val="13"/>
        </w:rPr>
        <w:tab/>
      </w:r>
      <w:r>
        <w:rPr>
          <w:rFonts w:ascii="Symbol" w:hAnsi="Symbol"/>
        </w:rPr>
        <w:t></w:t>
      </w:r>
      <w:r>
        <w:rPr>
          <w:rFonts w:ascii="Times New Roman" w:hAnsi="Times New Roman"/>
        </w:rPr>
        <w:t> </w:t>
      </w:r>
      <w:r>
        <w:rPr>
          <w:spacing w:val="-6"/>
        </w:rPr>
        <w:t>0,27 </w:t>
      </w:r>
      <w:r>
        <w:rPr>
          <w:position w:val="13"/>
        </w:rPr>
        <w:t>H </w:t>
      </w:r>
      <w:r>
        <w:rPr>
          <w:rFonts w:ascii="Symbol" w:hAnsi="Symbol"/>
          <w:position w:val="13"/>
        </w:rPr>
        <w:t></w:t>
      </w:r>
      <w:r>
        <w:rPr>
          <w:rFonts w:ascii="Times New Roman" w:hAnsi="Times New Roman"/>
          <w:position w:val="13"/>
        </w:rPr>
        <w:t> </w:t>
      </w:r>
      <w:r>
        <w:rPr>
          <w:spacing w:val="4"/>
          <w:position w:val="13"/>
        </w:rPr>
        <w:t>h</w:t>
      </w:r>
      <w:r>
        <w:rPr>
          <w:spacing w:val="4"/>
          <w:position w:val="8"/>
          <w:sz w:val="14"/>
        </w:rPr>
        <w:t>o </w:t>
      </w:r>
      <w:r>
        <w:rPr>
          <w:rFonts w:ascii="Symbol" w:hAnsi="Symbol"/>
          <w:spacing w:val="-5"/>
          <w:position w:val="13"/>
        </w:rPr>
        <w:t></w:t>
      </w:r>
      <w:r>
        <w:rPr>
          <w:rFonts w:ascii="Symbol" w:hAnsi="Symbol"/>
          <w:spacing w:val="-5"/>
          <w:sz w:val="39"/>
        </w:rPr>
        <w:t></w:t>
      </w:r>
      <w:r>
        <w:rPr>
          <w:spacing w:val="-5"/>
        </w:rPr>
        <w:t>H</w:t>
      </w:r>
      <w:r>
        <w:rPr>
          <w:spacing w:val="-5"/>
          <w:vertAlign w:val="superscript"/>
        </w:rPr>
        <w:t>2</w:t>
      </w:r>
      <w:r>
        <w:rPr>
          <w:spacing w:val="-5"/>
          <w:vertAlign w:val="baseline"/>
        </w:rPr>
        <w:t> </w:t>
      </w:r>
      <w:r>
        <w:rPr>
          <w:rFonts w:ascii="Symbol" w:hAnsi="Symbol"/>
          <w:vertAlign w:val="baseline"/>
        </w:rPr>
        <w:t></w:t>
      </w:r>
      <w:r>
        <w:rPr>
          <w:rFonts w:ascii="Times New Roman" w:hAnsi="Times New Roman"/>
          <w:vertAlign w:val="baseline"/>
        </w:rPr>
        <w:t> </w:t>
      </w:r>
      <w:r>
        <w:rPr>
          <w:vertAlign w:val="baseline"/>
        </w:rPr>
        <w:t>h </w:t>
      </w:r>
      <w:r>
        <w:rPr>
          <w:vertAlign w:val="superscript"/>
        </w:rPr>
        <w:t>2</w:t>
      </w:r>
      <w:r>
        <w:rPr>
          <w:spacing w:val="-39"/>
          <w:vertAlign w:val="baseline"/>
        </w:rPr>
        <w:t> </w:t>
      </w:r>
      <w:r>
        <w:rPr>
          <w:rFonts w:ascii="Symbol" w:hAnsi="Symbol"/>
          <w:w w:val="90"/>
          <w:sz w:val="39"/>
          <w:vertAlign w:val="baseline"/>
        </w:rPr>
        <w:t></w:t>
      </w:r>
    </w:p>
    <w:p>
      <w:pPr>
        <w:spacing w:after="0" w:line="211" w:lineRule="exact"/>
        <w:rPr>
          <w:rFonts w:ascii="Symbol" w:hAnsi="Symbol"/>
          <w:sz w:val="39"/>
        </w:rPr>
        <w:sectPr>
          <w:type w:val="continuous"/>
          <w:pgSz w:w="11910" w:h="16840"/>
          <w:pgMar w:top="1580" w:bottom="280" w:left="1200" w:right="738"/>
        </w:sectPr>
      </w:pPr>
    </w:p>
    <w:p>
      <w:pPr>
        <w:spacing w:line="-12" w:lineRule="auto" w:before="0"/>
        <w:ind w:left="1325" w:right="0" w:firstLine="0"/>
        <w:jc w:val="left"/>
        <w:rPr>
          <w:sz w:val="20"/>
        </w:rPr>
      </w:pPr>
      <w:r>
        <w:rPr>
          <w:spacing w:val="11"/>
          <w:sz w:val="20"/>
        </w:rPr>
        <w:t>K</w:t>
      </w:r>
      <w:r>
        <w:rPr>
          <w:spacing w:val="11"/>
          <w:position w:val="-4"/>
          <w:sz w:val="14"/>
        </w:rPr>
        <w:t>s </w:t>
      </w:r>
      <w:r>
        <w:rPr>
          <w:rFonts w:ascii="Symbol" w:hAnsi="Symbol"/>
          <w:spacing w:val="-9"/>
          <w:position w:val="-5"/>
          <w:sz w:val="20"/>
        </w:rPr>
        <w:t></w:t>
      </w:r>
      <w:r>
        <w:rPr>
          <w:spacing w:val="-9"/>
          <w:sz w:val="20"/>
        </w:rPr>
        <w:t>0,73</w:t>
      </w:r>
    </w:p>
    <w:p>
      <w:pPr>
        <w:tabs>
          <w:tab w:pos="1127" w:val="left" w:leader="none"/>
          <w:tab w:pos="1804" w:val="left" w:leader="none"/>
        </w:tabs>
        <w:spacing w:line="12" w:lineRule="exact" w:before="0"/>
        <w:ind w:left="761" w:right="0" w:firstLine="0"/>
        <w:jc w:val="left"/>
        <w:rPr>
          <w:sz w:val="14"/>
        </w:rPr>
      </w:pPr>
      <w:r>
        <w:rPr/>
        <w:br w:type="column"/>
      </w:r>
      <w:r>
        <w:rPr>
          <w:position w:val="-8"/>
          <w:sz w:val="20"/>
        </w:rPr>
        <w:t>H</w:t>
        <w:tab/>
      </w:r>
      <w:r>
        <w:rPr>
          <w:rFonts w:ascii="Symbol" w:hAnsi="Symbol"/>
          <w:sz w:val="20"/>
        </w:rPr>
        <w:t></w:t>
      </w:r>
      <w:r>
        <w:rPr>
          <w:rFonts w:ascii="Times New Roman" w:hAnsi="Times New Roman"/>
          <w:sz w:val="20"/>
        </w:rPr>
        <w:tab/>
      </w:r>
      <w:r>
        <w:rPr>
          <w:position w:val="1"/>
          <w:sz w:val="14"/>
        </w:rPr>
        <w:t>o</w:t>
      </w:r>
    </w:p>
    <w:p>
      <w:pPr>
        <w:spacing w:after="0" w:line="12" w:lineRule="exact"/>
        <w:jc w:val="left"/>
        <w:rPr>
          <w:sz w:val="14"/>
        </w:rPr>
        <w:sectPr>
          <w:type w:val="continuous"/>
          <w:pgSz w:w="11910" w:h="16840"/>
          <w:pgMar w:top="1580" w:bottom="280" w:left="1200" w:right="738"/>
          <w:cols w:num="2" w:equalWidth="0">
            <w:col w:w="2027" w:space="40"/>
            <w:col w:w="7905"/>
          </w:cols>
        </w:sectPr>
      </w:pPr>
    </w:p>
    <w:p>
      <w:pPr>
        <w:pStyle w:val="BodyText"/>
        <w:tabs>
          <w:tab w:pos="1586" w:val="left" w:leader="none"/>
          <w:tab w:pos="3194" w:val="left" w:leader="none"/>
          <w:tab w:pos="4124" w:val="left" w:leader="none"/>
        </w:tabs>
        <w:spacing w:line="175" w:lineRule="auto" w:before="2"/>
        <w:ind w:left="993"/>
        <w:rPr>
          <w:rFonts w:ascii="Times New Roman" w:hAnsi="Times New Roman"/>
        </w:rPr>
      </w:pPr>
      <w:r>
        <w:rPr>
          <w:position w:val="-9"/>
        </w:rPr>
        <w:t>q</w:t>
      </w:r>
      <w:r>
        <w:rPr>
          <w:spacing w:val="-8"/>
          <w:position w:val="-9"/>
        </w:rPr>
        <w:t> </w:t>
      </w:r>
      <w:r>
        <w:rPr>
          <w:rFonts w:ascii="Symbol" w:hAnsi="Symbol"/>
          <w:position w:val="-9"/>
        </w:rPr>
        <w:t></w:t>
      </w:r>
      <w:r>
        <w:rPr>
          <w:rFonts w:ascii="Symbol" w:hAnsi="Symbol"/>
          <w:u w:val="single"/>
        </w:rPr>
        <w:t></w:t>
      </w:r>
      <w:r>
        <w:rPr>
          <w:rFonts w:ascii="Times New Roman" w:hAnsi="Times New Roman"/>
          <w:u w:val="single"/>
        </w:rPr>
        <w:tab/>
      </w:r>
      <w:r>
        <w:rPr>
          <w:rFonts w:ascii="Symbol" w:hAnsi="Symbol"/>
          <w:u w:val="single"/>
        </w:rPr>
        <w:t></w:t>
      </w:r>
      <w:r>
        <w:rPr>
          <w:rFonts w:ascii="Times New Roman" w:hAnsi="Times New Roman"/>
          <w:u w:val="single"/>
        </w:rPr>
        <w:tab/>
      </w:r>
    </w:p>
    <w:p>
      <w:pPr>
        <w:pStyle w:val="BodyText"/>
        <w:spacing w:line="192" w:lineRule="exact"/>
        <w:ind w:left="2601"/>
      </w:pPr>
      <w:r>
        <w:rPr/>
        <w:t>2R</w:t>
      </w:r>
    </w:p>
    <w:p>
      <w:pPr>
        <w:pStyle w:val="BodyText"/>
        <w:spacing w:before="85"/>
        <w:ind w:left="993"/>
      </w:pPr>
      <w:r>
        <w:rPr/>
        <w:br w:type="column"/>
      </w:r>
      <w:r>
        <w:rPr/>
        <w:t>(C.3)</w:t>
      </w:r>
    </w:p>
    <w:p>
      <w:pPr>
        <w:spacing w:after="0"/>
        <w:sectPr>
          <w:type w:val="continuous"/>
          <w:pgSz w:w="11910" w:h="16840"/>
          <w:pgMar w:top="1580" w:bottom="280" w:left="1200" w:right="738"/>
          <w:cols w:num="2" w:equalWidth="0">
            <w:col w:w="4165" w:space="3952"/>
            <w:col w:w="1855"/>
          </w:cols>
        </w:sectPr>
      </w:pPr>
    </w:p>
    <w:p>
      <w:pPr>
        <w:pStyle w:val="BodyText"/>
        <w:spacing w:line="229" w:lineRule="exact"/>
        <w:ind w:left="959"/>
      </w:pPr>
      <w:r>
        <w:rPr/>
        <w:t>siendo</w:t>
      </w:r>
    </w:p>
    <w:p>
      <w:pPr>
        <w:pStyle w:val="BodyText"/>
        <w:ind w:left="959"/>
      </w:pPr>
      <w:r>
        <w:rPr>
          <w:position w:val="1"/>
        </w:rPr>
        <w:t>K</w:t>
      </w:r>
      <w:r>
        <w:rPr>
          <w:sz w:val="13"/>
        </w:rPr>
        <w:t>s</w:t>
      </w:r>
      <w:r>
        <w:rPr>
          <w:position w:val="1"/>
        </w:rPr>
        <w:t>, H, h</w:t>
      </w:r>
      <w:r>
        <w:rPr>
          <w:sz w:val="13"/>
        </w:rPr>
        <w:t>o </w:t>
      </w:r>
      <w:r>
        <w:rPr>
          <w:position w:val="1"/>
        </w:rPr>
        <w:t>y R lo indicado para el caso a).</w:t>
      </w:r>
    </w:p>
    <w:p>
      <w:pPr>
        <w:pStyle w:val="BodyText"/>
        <w:spacing w:before="7"/>
        <w:rPr>
          <w:sz w:val="13"/>
        </w:rPr>
      </w:pPr>
      <w:r>
        <w:rPr/>
        <w:pict>
          <v:group style="position:absolute;margin-left:227.048996pt;margin-top:10.964564pt;width:245.85pt;height:148.6pt;mso-position-horizontal-relative:page;mso-position-vertical-relative:paragraph;z-index:-251532288;mso-wrap-distance-left:0;mso-wrap-distance-right:0" coordorigin="4541,219" coordsize="4917,2972">
            <v:line style="position:absolute" from="4543,2820" to="9430,2820" stroked="true" strokeweight=".657pt" strokecolor="#000000">
              <v:stroke dashstyle="solid"/>
            </v:line>
            <v:line style="position:absolute" from="6474,2820" to="6544,2820" stroked="true" strokeweight=".47pt" strokecolor="#000000">
              <v:stroke dashstyle="solid"/>
            </v:line>
            <v:shape style="position:absolute;left:4617;top:2074;width:1113;height:445" coordorigin="4618,2074" coordsize="1113,445" path="m5200,2074l4618,2519,5731,2519,5200,2074xe" filled="true" fillcolor="#808080" stroked="false">
              <v:path arrowok="t"/>
              <v:fill type="solid"/>
            </v:shape>
            <v:shape style="position:absolute;left:4617;top:2074;width:1113;height:445" coordorigin="4618,2074" coordsize="1113,445" path="m5200,2074l4618,2519,5731,2519,5200,2074xe" filled="false" stroked="true" strokeweight=".188pt" strokecolor="#808080">
              <v:path arrowok="t"/>
              <v:stroke dashstyle="solid"/>
            </v:shape>
            <v:shape style="position:absolute;left:4617;top:2074;width:583;height:445" coordorigin="4618,2074" coordsize="583,445" path="m5200,2074l4618,2074,4618,2519,5200,2074xe" filled="true" fillcolor="#808080" stroked="false">
              <v:path arrowok="t"/>
              <v:fill type="solid"/>
            </v:shape>
            <v:shape style="position:absolute;left:4617;top:2074;width:583;height:445" coordorigin="4618,2074" coordsize="583,445" path="m4618,2074l4618,2519,5200,2074,4618,2074xe" filled="false" stroked="true" strokeweight=".188pt" strokecolor="#808080">
              <v:path arrowok="t"/>
              <v:stroke dashstyle="solid"/>
            </v:shape>
            <v:shape style="position:absolute;left:5200;top:2074;width:531;height:445" coordorigin="5200,2074" coordsize="531,445" path="m5731,2074l5200,2074,5731,2519,5731,2074xe" filled="true" fillcolor="#808080" stroked="false">
              <v:path arrowok="t"/>
              <v:fill type="solid"/>
            </v:shape>
            <v:shape style="position:absolute;left:5200;top:2074;width:531;height:445" coordorigin="5200,2074" coordsize="531,445" path="m5731,2074l5200,2074,5731,2519,5731,2074xe" filled="false" stroked="true" strokeweight=".188pt" strokecolor="#808080">
              <v:path arrowok="t"/>
              <v:stroke dashstyle="solid"/>
            </v:shape>
            <v:line style="position:absolute" from="5200,2074" to="5731,2074" stroked="true" strokeweight="0pt" strokecolor="#808080">
              <v:stroke dashstyle="solid"/>
            </v:line>
            <v:line style="position:absolute" from="5199,2074" to="5732,2074" stroked="true" strokeweight=".188pt" strokecolor="#808080">
              <v:stroke dashstyle="solid"/>
            </v:line>
            <v:shape style="position:absolute;left:5200;top:251;width:310;height:1823" coordorigin="5200,251" coordsize="310,1823" path="m5509,251l5200,2074,5509,2074,5509,251xe" filled="true" fillcolor="#808080" stroked="false">
              <v:path arrowok="t"/>
              <v:fill type="solid"/>
            </v:shape>
            <v:shape style="position:absolute;left:5200;top:251;width:310;height:1823" coordorigin="5200,251" coordsize="310,1823" path="m5509,251l5200,2074,5509,2074,5509,251xe" filled="false" stroked="true" strokeweight=".188pt" strokecolor="#808080">
              <v:path arrowok="t"/>
              <v:stroke dashstyle="solid"/>
            </v:shape>
            <v:shape style="position:absolute;left:5200;top:251;width:310;height:1823" coordorigin="5200,251" coordsize="310,1823" path="m5509,251l5200,251,5200,2074,5509,251xe" filled="true" fillcolor="#808080" stroked="false">
              <v:path arrowok="t"/>
              <v:fill type="solid"/>
            </v:shape>
            <v:shape style="position:absolute;left:5200;top:251;width:310;height:1823" coordorigin="5200,251" coordsize="310,1823" path="m5200,251l5200,2074,5509,251,5200,251xe" filled="false" stroked="true" strokeweight=".188pt" strokecolor="#808080">
              <v:path arrowok="t"/>
              <v:stroke dashstyle="solid"/>
            </v:shape>
            <v:shape style="position:absolute;left:5590;top:1690;width:124;height:125" type="#_x0000_t75" stroked="false">
              <v:imagedata r:id="rId59" o:title=""/>
            </v:shape>
            <v:shape style="position:absolute;left:4617;top:251;width:1113;height:2268" coordorigin="4618,251" coordsize="1113,2268" path="m4618,2519l5731,2519,5731,2074,5510,2074,5510,251e" filled="false" stroked="true" strokeweight=".657pt" strokecolor="#000000">
              <v:path arrowok="t"/>
              <v:stroke dashstyle="solid"/>
            </v:shape>
            <v:shape style="position:absolute;left:5200;top:251;width:310;height:1823" coordorigin="5200,251" coordsize="310,1823" path="m5200,2074l5200,251,5510,251e" filled="false" stroked="true" strokeweight=".657pt" strokecolor="#000000">
              <v:path arrowok="t"/>
              <v:stroke dashstyle="solid"/>
            </v:shape>
            <v:line style="position:absolute" from="4618,2519" to="4618,2074" stroked="true" strokeweight=".657pt" strokecolor="#000000">
              <v:stroke dashstyle="solid"/>
            </v:line>
            <v:line style="position:absolute" from="5200,2074" to="4618,2074" stroked="true" strokeweight=".657pt" strokecolor="#000000">
              <v:stroke dashstyle="solid"/>
            </v:line>
            <v:shape style="position:absolute;left:5509;top:251;width:89;height:1447" coordorigin="5510,251" coordsize="89,1447" path="m5598,1698l5598,251,5510,251e" filled="false" stroked="true" strokeweight=".657pt" strokecolor="#000000">
              <v:path arrowok="t"/>
              <v:stroke dashstyle="solid"/>
            </v:shape>
            <v:shape style="position:absolute;left:5577;top:1802;width:306;height:351" type="#_x0000_t75" stroked="false">
              <v:imagedata r:id="rId60" o:title=""/>
            </v:shape>
            <v:line style="position:absolute" from="5200,295" to="4543,295" stroked="true" strokeweight=".657pt" strokecolor="#000000">
              <v:stroke dashstyle="solid"/>
            </v:line>
            <v:line style="position:absolute" from="5200,428" to="4543,428" stroked="true" strokeweight=".657pt" strokecolor="#000000">
              <v:stroke dashstyle="solid"/>
            </v:line>
            <v:line style="position:absolute" from="5200,1229" to="4543,1229" stroked="true" strokeweight=".657pt" strokecolor="#000000">
              <v:stroke dashstyle="solid"/>
            </v:line>
            <v:line style="position:absolute" from="5200,1362" to="4543,1362" stroked="true" strokeweight=".657pt" strokecolor="#000000">
              <v:stroke dashstyle="solid"/>
            </v:line>
            <v:line style="position:absolute" from="4618,2074" to="4543,2074" stroked="true" strokeweight=".657pt" strokecolor="#000000">
              <v:stroke dashstyle="solid"/>
            </v:line>
            <v:line style="position:absolute" from="4618,2208" to="4543,2208" stroked="true" strokeweight=".657pt" strokecolor="#000000">
              <v:stroke dashstyle="solid"/>
            </v:line>
            <v:line style="position:absolute" from="9430,474" to="5598,474" stroked="true" strokeweight=".657pt" strokecolor="#000000">
              <v:stroke dashstyle="solid"/>
            </v:line>
            <v:shape style="position:absolute;left:5597;top:748;width:3764;height:950" coordorigin="5598,748" coordsize="3764,950" path="m9361,748l9131,748,8900,756,8670,769,8439,790,8209,818,7982,854,7756,897,7529,946,7306,1003,7083,1067,6864,1136,6645,1214,6429,1296,6218,1387,6008,1485,5802,1588,5598,1698e" filled="false" stroked="true" strokeweight=".657pt" strokecolor="#000000">
              <v:path arrowok="t"/>
              <v:stroke dashstyle="solid"/>
            </v:shape>
            <v:line style="position:absolute" from="5591,250" to="9437,250" stroked="true" strokeweight="3.011pt" strokecolor="#000000">
              <v:stroke dashstyle="solid"/>
            </v:line>
            <v:line style="position:absolute" from="6474,474" to="6544,474" stroked="true" strokeweight=".47pt" strokecolor="#000000">
              <v:stroke dashstyle="solid"/>
            </v:line>
            <v:line style="position:absolute" from="6632,474" to="6632,1547" stroked="true" strokeweight=".47pt" strokecolor="#000000">
              <v:stroke dashstyle="solid"/>
            </v:line>
            <v:line style="position:absolute" from="6632,2820" to="6632,1747" stroked="true" strokeweight=".47pt" strokecolor="#000000">
              <v:stroke dashstyle="solid"/>
            </v:line>
            <v:line style="position:absolute" from="6654,494" to="6611,451" stroked="true" strokeweight=".47pt" strokecolor="#000000">
              <v:stroke dashstyle="solid"/>
            </v:line>
            <v:line style="position:absolute" from="6611,2797" to="6654,2842" stroked="true" strokeweight=".47pt" strokecolor="#000000">
              <v:stroke dashstyle="solid"/>
            </v:line>
            <v:shape style="position:absolute;left:6588;top:1590;width:89;height:112" coordorigin="6589,1590" coordsize="89,112" path="m6604,1590l6589,1590,6589,1701,6604,1701,6604,1649,6677,1649,6677,1635,6604,1635,6604,1590xm6677,1649l6662,1649,6662,1701,6677,1701,6677,1649xm6677,1590l6662,1590,6662,1635,6677,1635,6677,1590xe" filled="true" fillcolor="#000000" stroked="false">
              <v:path arrowok="t"/>
              <v:fill type="solid"/>
            </v:shape>
            <v:shape style="position:absolute;left:6588;top:1590;width:89;height:112" coordorigin="6589,1590" coordsize="89,112" path="m6589,1701l6589,1590,6604,1590,6604,1635,6662,1635,6662,1590,6677,1590,6677,1701,6662,1701,6662,1649,6604,1649,6604,1701,6589,1701xe" filled="false" stroked="true" strokeweight=".188pt" strokecolor="#000000">
              <v:path arrowok="t"/>
              <v:stroke dashstyle="solid"/>
            </v:shape>
            <v:line style="position:absolute" from="5776,2074" to="6115,2074" stroked="true" strokeweight=".47pt" strokecolor="#000000">
              <v:stroke dashstyle="solid"/>
            </v:line>
            <v:line style="position:absolute" from="5776,2820" to="6115,2820" stroked="true" strokeweight=".47pt" strokecolor="#000000">
              <v:stroke dashstyle="solid"/>
            </v:line>
            <v:line style="position:absolute" from="6027,2074" to="6027,2347" stroked="true" strokeweight=".47pt" strokecolor="#000000">
              <v:stroke dashstyle="solid"/>
            </v:line>
            <v:line style="position:absolute" from="6027,2820" to="6027,2547" stroked="true" strokeweight=".47pt" strokecolor="#000000">
              <v:stroke dashstyle="solid"/>
            </v:line>
            <v:line style="position:absolute" from="6049,2097" to="6004,2052" stroked="true" strokeweight=".47pt" strokecolor="#000000">
              <v:stroke dashstyle="solid"/>
            </v:line>
            <v:line style="position:absolute" from="6004,2797" to="6049,2842" stroked="true" strokeweight=".47pt" strokecolor="#000000">
              <v:stroke dashstyle="solid"/>
            </v:line>
            <v:shape style="position:absolute;left:5966;top:2375;width:66;height:112" coordorigin="5967,2375" coordsize="66,112" path="m5980,2375l5967,2375,5967,2487,5980,2487,5980,2441,5982,2438,5982,2432,5983,2428,5983,2426,5991,2419,5993,2419,5997,2417,6002,2417,6013,2416,6028,2416,6027,2415,5980,2415,5980,2375xm6028,2416l6013,2416,6015,2422,6019,2430,6019,2487,6032,2487,6032,2436,6028,2416,6028,2416xm5998,2406l5983,2413,5980,2415,6027,2415,6015,2406,5998,2406xe" filled="true" fillcolor="#000000" stroked="false">
              <v:path arrowok="t"/>
              <v:fill type="solid"/>
            </v:shape>
            <v:shape style="position:absolute;left:5966;top:2375;width:66;height:112" coordorigin="5967,2375" coordsize="66,112" path="m5967,2487l5967,2375,5980,2375,5980,2415,5983,2413,5998,2406,6015,2406,6028,2416,6032,2436,6032,2487,6019,2487,6019,2430,6015,2422,6013,2416,6002,2417,5997,2417,5993,2419,5991,2419,5983,2426,5983,2428,5982,2432,5982,2438,5980,2441,5980,2487,5967,2487xe" filled="false" stroked="true" strokeweight=".188pt" strokecolor="#000000">
              <v:path arrowok="t"/>
              <v:stroke dashstyle="solid"/>
            </v:shape>
            <v:shape style="position:absolute;left:6052;top:2426;width:38;height:63" coordorigin="6053,2426" coordsize="38,63" path="m6083,2426l6068,2426,6072,2428,6073,2428,6079,2434,6079,2438,6081,2440,6081,2470,6079,2473,6079,2475,6077,2475,6077,2477,6073,2481,6053,2481,6057,2485,6060,2487,6062,2488,6073,2488,6075,2487,6077,2487,6081,2485,6081,2483,6085,2479,6086,2475,6086,2473,6088,2472,6088,2464,6090,2460,6090,2447,6088,2443,6088,2436,6086,2434,6085,2430,6085,2428,6083,2426xe" filled="true" fillcolor="#000000" stroked="false">
              <v:path arrowok="t"/>
              <v:fill type="solid"/>
            </v:shape>
            <v:shape style="position:absolute;left:6052;top:2426;width:38;height:63" coordorigin="6053,2426" coordsize="38,63" path="m6083,2426l6068,2426,6072,2428,6073,2428,6075,2430,6077,2432,6079,2434,6079,2438,6081,2440,6081,2447,6081,2455,6081,2462,6081,2470,6079,2473,6079,2475,6077,2475,6077,2477,6075,2479,6073,2481,6053,2481,6055,2483,6057,2485,6060,2487,6062,2488,6073,2488,6075,2487,6077,2487,6081,2485,6081,2483,6083,2481,6085,2479,6086,2475,6086,2473,6088,2472,6088,2464,6090,2460,6090,2447,6088,2443,6088,2436,6086,2434,6085,2430,6085,2428,6083,2426xe" filled="false" stroked="true" strokeweight=".188pt" strokecolor="#000000">
              <v:path arrowok="t"/>
              <v:stroke dashstyle="solid"/>
            </v:shape>
            <v:shape style="position:absolute;left:6047;top:2420;width:36;height:61" coordorigin="6047,2421" coordsize="36,61" path="m6073,2421l6060,2421,6057,2424,6055,2424,6053,2428,6051,2430,6051,2432,6047,2440,6047,2468,6049,2470,6049,2475,6051,2477,6051,2479,6053,2481,6062,2481,6060,2479,6058,2475,6057,2473,6057,2468,6055,2466,6055,2443,6057,2440,6057,2436,6058,2434,6058,2432,6062,2428,6066,2428,6068,2426,6083,2426,6079,2424,6077,2423,6073,2421xe" filled="true" fillcolor="#000000" stroked="false">
              <v:path arrowok="t"/>
              <v:fill type="solid"/>
            </v:shape>
            <v:shape style="position:absolute;left:6047;top:2420;width:36;height:61" coordorigin="6047,2421" coordsize="36,61" path="m6068,2421l6060,2421,6058,2423,6057,2424,6055,2424,6053,2428,6051,2430,6051,2432,6049,2436,6047,2440,6047,2468,6049,2470,6049,2475,6051,2477,6051,2479,6053,2481,6068,2481,6062,2481,6060,2479,6058,2475,6057,2473,6057,2468,6055,2466,6055,2443,6057,2440,6057,2436,6058,2434,6058,2432,6060,2430,6062,2428,6066,2428,6068,2426,6083,2426,6079,2424,6077,2423,6073,2421,6071,2421,6068,2421xe" filled="false" stroked="true" strokeweight=".188pt" strokecolor="#000000">
              <v:path arrowok="t"/>
              <v:stroke dashstyle="solid"/>
            </v:shape>
            <v:line style="position:absolute" from="5731,2225" to="5731,2389" stroked="true" strokeweight=".47pt" strokecolor="#000000">
              <v:stroke dashstyle="solid"/>
            </v:line>
            <v:line style="position:absolute" from="9430,2225" to="9430,2389" stroked="true" strokeweight=".47pt" strokecolor="#000000">
              <v:stroke dashstyle="solid"/>
            </v:line>
            <v:line style="position:absolute" from="5731,2298" to="9430,2298" stroked="true" strokeweight=".47pt" strokecolor="#000000">
              <v:stroke dashstyle="solid"/>
            </v:line>
            <v:shape style="position:absolute;left:7853;top:351;width:1487;height:129" type="#_x0000_t75" stroked="false">
              <v:imagedata r:id="rId61" o:title=""/>
            </v:shape>
            <v:shape style="position:absolute;left:4540;top:219;width:4917;height:2972" type="#_x0000_t75" stroked="false">
              <v:imagedata r:id="rId62" o:title=""/>
            </v:shape>
            <w10:wrap type="topAndBottom"/>
          </v:group>
        </w:pict>
      </w:r>
    </w:p>
    <w:p>
      <w:pPr>
        <w:spacing w:before="8"/>
        <w:ind w:left="2783" w:right="1143" w:firstLine="0"/>
        <w:jc w:val="center"/>
        <w:rPr>
          <w:b/>
          <w:sz w:val="18"/>
        </w:rPr>
      </w:pPr>
      <w:r>
        <w:rPr>
          <w:b/>
          <w:sz w:val="18"/>
        </w:rPr>
        <w:t>Figura C.1</w:t>
      </w:r>
    </w:p>
    <w:p>
      <w:pPr>
        <w:spacing w:after="0"/>
        <w:jc w:val="center"/>
        <w:rPr>
          <w:sz w:val="18"/>
        </w:rPr>
        <w:sectPr>
          <w:type w:val="continuous"/>
          <w:pgSz w:w="11910" w:h="16840"/>
          <w:pgMar w:top="1580" w:bottom="280" w:left="1200" w:right="738"/>
        </w:sectPr>
      </w:pPr>
    </w:p>
    <w:p>
      <w:pPr>
        <w:pStyle w:val="Heading1"/>
      </w:pPr>
      <w:bookmarkStart w:name="DB HS2 2017 con comentarios jun 2018" w:id="3"/>
      <w:bookmarkEnd w:id="3"/>
      <w:r>
        <w:rPr>
          <w:b w:val="0"/>
        </w:rPr>
      </w:r>
      <w:r>
        <w:rPr/>
        <w:t>Sección HS 2</w:t>
      </w:r>
    </w:p>
    <w:p>
      <w:pPr>
        <w:spacing w:line="368" w:lineRule="exact" w:before="0"/>
        <w:ind w:left="218" w:right="0" w:firstLine="0"/>
        <w:jc w:val="left"/>
        <w:rPr>
          <w:b/>
          <w:sz w:val="32"/>
        </w:rPr>
      </w:pPr>
      <w:r>
        <w:rPr>
          <w:b/>
          <w:sz w:val="32"/>
        </w:rPr>
        <w:t>Recogida y evacuación de residuos</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53"/>
        </w:rPr>
      </w:pPr>
    </w:p>
    <w:p>
      <w:pPr>
        <w:pStyle w:val="Heading2"/>
        <w:numPr>
          <w:ilvl w:val="0"/>
          <w:numId w:val="96"/>
        </w:numPr>
        <w:tabs>
          <w:tab w:pos="504" w:val="left" w:leader="none"/>
        </w:tabs>
        <w:spacing w:line="240" w:lineRule="auto" w:before="0" w:after="0"/>
        <w:ind w:left="503" w:right="0" w:hanging="286"/>
        <w:jc w:val="left"/>
      </w:pPr>
      <w:r>
        <w:rPr/>
        <w:t>Generalidades</w:t>
      </w:r>
    </w:p>
    <w:p>
      <w:pPr>
        <w:pStyle w:val="BodyText"/>
        <w:spacing w:before="4"/>
        <w:rPr>
          <w:b/>
          <w:sz w:val="24"/>
        </w:rPr>
      </w:pPr>
    </w:p>
    <w:p>
      <w:pPr>
        <w:pStyle w:val="Heading3"/>
        <w:numPr>
          <w:ilvl w:val="1"/>
          <w:numId w:val="96"/>
        </w:numPr>
        <w:tabs>
          <w:tab w:pos="675" w:val="left" w:leader="none"/>
        </w:tabs>
        <w:spacing w:line="240" w:lineRule="auto" w:before="0" w:after="0"/>
        <w:ind w:left="674" w:right="0" w:hanging="457"/>
        <w:jc w:val="both"/>
      </w:pPr>
      <w:r>
        <w:rPr/>
        <w:t>Ámbito de</w:t>
      </w:r>
      <w:r>
        <w:rPr>
          <w:spacing w:val="-1"/>
        </w:rPr>
        <w:t> </w:t>
      </w:r>
      <w:r>
        <w:rPr/>
        <w:t>aplicación</w:t>
      </w:r>
    </w:p>
    <w:p>
      <w:pPr>
        <w:pStyle w:val="ListParagraph"/>
        <w:numPr>
          <w:ilvl w:val="0"/>
          <w:numId w:val="97"/>
        </w:numPr>
        <w:tabs>
          <w:tab w:pos="673" w:val="left" w:leader="none"/>
        </w:tabs>
        <w:spacing w:line="240" w:lineRule="auto" w:before="99" w:after="0"/>
        <w:ind w:left="672" w:right="390" w:hanging="454"/>
        <w:jc w:val="both"/>
        <w:rPr>
          <w:sz w:val="20"/>
        </w:rPr>
      </w:pPr>
      <w:r>
        <w:rPr>
          <w:sz w:val="20"/>
        </w:rPr>
        <w:t>Esta sección se aplica a los edificios de viviendas de nueva construcción, tengan o no locales desti- nados a otros usos, en lo referente a la recogida de los </w:t>
      </w:r>
      <w:r>
        <w:rPr>
          <w:i/>
          <w:sz w:val="20"/>
        </w:rPr>
        <w:t>residuos ordinarios </w:t>
      </w:r>
      <w:r>
        <w:rPr>
          <w:sz w:val="20"/>
        </w:rPr>
        <w:t>generados en</w:t>
      </w:r>
      <w:r>
        <w:rPr>
          <w:spacing w:val="-9"/>
          <w:sz w:val="20"/>
        </w:rPr>
        <w:t> </w:t>
      </w:r>
      <w:r>
        <w:rPr>
          <w:sz w:val="20"/>
        </w:rPr>
        <w:t>ellos.</w:t>
      </w:r>
    </w:p>
    <w:p>
      <w:pPr>
        <w:pStyle w:val="ListParagraph"/>
        <w:numPr>
          <w:ilvl w:val="0"/>
          <w:numId w:val="97"/>
        </w:numPr>
        <w:tabs>
          <w:tab w:pos="673" w:val="left" w:leader="none"/>
        </w:tabs>
        <w:spacing w:line="240" w:lineRule="auto" w:before="59" w:after="0"/>
        <w:ind w:left="672" w:right="389" w:hanging="454"/>
        <w:jc w:val="both"/>
        <w:rPr>
          <w:sz w:val="20"/>
        </w:rPr>
      </w:pPr>
      <w:r>
        <w:rPr>
          <w:sz w:val="20"/>
        </w:rPr>
        <w:t>Para los edificios y locales con otros usos la demostración de la conformidad con las exigencias básicas debe realizarse mediante un estudio específico adoptando criterios análogos a los estable- cidos en esta</w:t>
      </w:r>
      <w:r>
        <w:rPr>
          <w:spacing w:val="-1"/>
          <w:sz w:val="20"/>
        </w:rPr>
        <w:t> </w:t>
      </w:r>
      <w:r>
        <w:rPr>
          <w:sz w:val="20"/>
        </w:rPr>
        <w:t>sección.</w:t>
      </w:r>
    </w:p>
    <w:p>
      <w:pPr>
        <w:pStyle w:val="BodyText"/>
        <w:spacing w:before="6"/>
        <w:rPr>
          <w:sz w:val="24"/>
        </w:rPr>
      </w:pPr>
    </w:p>
    <w:p>
      <w:pPr>
        <w:pStyle w:val="Heading3"/>
        <w:numPr>
          <w:ilvl w:val="1"/>
          <w:numId w:val="96"/>
        </w:numPr>
        <w:tabs>
          <w:tab w:pos="675" w:val="left" w:leader="none"/>
        </w:tabs>
        <w:spacing w:line="240" w:lineRule="auto" w:before="0" w:after="0"/>
        <w:ind w:left="674" w:right="0" w:hanging="457"/>
        <w:jc w:val="both"/>
      </w:pPr>
      <w:r>
        <w:rPr/>
        <w:t>Procedimiento de</w:t>
      </w:r>
      <w:r>
        <w:rPr>
          <w:spacing w:val="-1"/>
        </w:rPr>
        <w:t> </w:t>
      </w:r>
      <w:r>
        <w:rPr/>
        <w:t>verificación</w:t>
      </w:r>
    </w:p>
    <w:p>
      <w:pPr>
        <w:pStyle w:val="ListParagraph"/>
        <w:numPr>
          <w:ilvl w:val="0"/>
          <w:numId w:val="98"/>
        </w:numPr>
        <w:tabs>
          <w:tab w:pos="673" w:val="left" w:leader="none"/>
        </w:tabs>
        <w:spacing w:line="240" w:lineRule="auto" w:before="99" w:after="0"/>
        <w:ind w:left="672" w:right="395" w:hanging="454"/>
        <w:jc w:val="both"/>
        <w:rPr>
          <w:sz w:val="20"/>
        </w:rPr>
      </w:pPr>
      <w:r>
        <w:rPr>
          <w:sz w:val="20"/>
        </w:rPr>
        <w:t>Para la aplicación de esta sección debe seguirse la secuencia de verificaciones que se expone a continuación.</w:t>
      </w:r>
    </w:p>
    <w:p>
      <w:pPr>
        <w:pStyle w:val="ListParagraph"/>
        <w:numPr>
          <w:ilvl w:val="0"/>
          <w:numId w:val="98"/>
        </w:numPr>
        <w:tabs>
          <w:tab w:pos="673" w:val="left" w:leader="none"/>
        </w:tabs>
        <w:spacing w:line="240" w:lineRule="auto" w:before="60" w:after="0"/>
        <w:ind w:left="672" w:right="393" w:hanging="454"/>
        <w:jc w:val="both"/>
        <w:rPr>
          <w:sz w:val="20"/>
        </w:rPr>
      </w:pPr>
      <w:r>
        <w:rPr>
          <w:sz w:val="20"/>
        </w:rPr>
        <w:t>Cumplimiento de las condiciones de diseño y dimensionado del apartado 2 relativas al sistema de almacenamiento y traslado de</w:t>
      </w:r>
      <w:r>
        <w:rPr>
          <w:spacing w:val="-5"/>
          <w:sz w:val="20"/>
        </w:rPr>
        <w:t> </w:t>
      </w:r>
      <w:r>
        <w:rPr>
          <w:i/>
          <w:sz w:val="20"/>
        </w:rPr>
        <w:t>residuos</w:t>
      </w:r>
      <w:r>
        <w:rPr>
          <w:sz w:val="20"/>
        </w:rPr>
        <w:t>:</w:t>
      </w:r>
    </w:p>
    <w:p>
      <w:pPr>
        <w:pStyle w:val="ListParagraph"/>
        <w:numPr>
          <w:ilvl w:val="1"/>
          <w:numId w:val="98"/>
        </w:numPr>
        <w:tabs>
          <w:tab w:pos="1126" w:val="left" w:leader="none"/>
        </w:tabs>
        <w:spacing w:line="240" w:lineRule="auto" w:before="60" w:after="0"/>
        <w:ind w:left="1126" w:right="389" w:hanging="454"/>
        <w:jc w:val="both"/>
        <w:rPr>
          <w:sz w:val="20"/>
        </w:rPr>
      </w:pPr>
      <w:r>
        <w:rPr>
          <w:sz w:val="20"/>
        </w:rPr>
        <w:t>la existencia del almacén de </w:t>
      </w:r>
      <w:r>
        <w:rPr>
          <w:i/>
          <w:sz w:val="20"/>
        </w:rPr>
        <w:t>contenedores de edificio </w:t>
      </w:r>
      <w:r>
        <w:rPr>
          <w:sz w:val="20"/>
        </w:rPr>
        <w:t>y las condiciones relativas al mismo, cuando el edificio esté situado en una zona en la que exista </w:t>
      </w:r>
      <w:r>
        <w:rPr>
          <w:i/>
          <w:sz w:val="20"/>
        </w:rPr>
        <w:t>recogida puerta a puerta </w:t>
      </w:r>
      <w:r>
        <w:rPr>
          <w:sz w:val="20"/>
        </w:rPr>
        <w:t>de algu- na de las fracciones de los </w:t>
      </w:r>
      <w:r>
        <w:rPr>
          <w:i/>
          <w:sz w:val="20"/>
        </w:rPr>
        <w:t>residuos</w:t>
      </w:r>
      <w:r>
        <w:rPr>
          <w:i/>
          <w:spacing w:val="-2"/>
          <w:sz w:val="20"/>
        </w:rPr>
        <w:t> </w:t>
      </w:r>
      <w:r>
        <w:rPr>
          <w:i/>
          <w:sz w:val="20"/>
        </w:rPr>
        <w:t>ordinarios</w:t>
      </w:r>
      <w:r>
        <w:rPr>
          <w:sz w:val="20"/>
        </w:rPr>
        <w:t>;</w:t>
      </w:r>
    </w:p>
    <w:p>
      <w:pPr>
        <w:pStyle w:val="BodyText"/>
        <w:spacing w:before="5"/>
        <w:rPr>
          <w:sz w:val="30"/>
        </w:rPr>
      </w:pPr>
    </w:p>
    <w:p>
      <w:pPr>
        <w:spacing w:before="0"/>
        <w:ind w:left="1778" w:right="395" w:firstLine="0"/>
        <w:jc w:val="both"/>
        <w:rPr>
          <w:sz w:val="16"/>
        </w:rPr>
      </w:pPr>
      <w:r>
        <w:rPr/>
        <w:pict>
          <v:group style="position:absolute;margin-left:143pt;margin-top:.123907pt;width:.5pt;height:30.6pt;mso-position-horizontal-relative:page;mso-position-vertical-relative:paragraph;z-index:251786240" coordorigin="2860,2" coordsize="10,612">
            <v:line style="position:absolute" from="2865,2" to="2865,186" stroked="true" strokeweight=".48pt" strokecolor="#000000">
              <v:stroke dashstyle="solid"/>
            </v:line>
            <v:line style="position:absolute" from="2865,186" to="2865,370" stroked="true" strokeweight=".48pt" strokecolor="#000000">
              <v:stroke dashstyle="solid"/>
            </v:line>
            <v:line style="position:absolute" from="2865,370" to="2865,614" stroked="true" strokeweight=".48pt" strokecolor="#000000">
              <v:stroke dashstyle="solid"/>
            </v:line>
            <w10:wrap type="none"/>
          </v:group>
        </w:pict>
      </w:r>
      <w:r>
        <w:rPr>
          <w:sz w:val="16"/>
        </w:rPr>
        <w:t>La recogida puerta a puerta se considera el sistema de recogida de residuos ordinarios más eficiente desde el punto de vista de separación de las fracciones de los residuos. Por ello, uno de los objetivos de este DB es facilitar su</w:t>
      </w:r>
      <w:r>
        <w:rPr>
          <w:spacing w:val="-3"/>
          <w:sz w:val="16"/>
        </w:rPr>
        <w:t> </w:t>
      </w:r>
      <w:r>
        <w:rPr>
          <w:sz w:val="16"/>
        </w:rPr>
        <w:t>implantación.</w:t>
      </w:r>
    </w:p>
    <w:p>
      <w:pPr>
        <w:pStyle w:val="BodyText"/>
        <w:spacing w:before="2"/>
        <w:rPr>
          <w:sz w:val="22"/>
        </w:rPr>
      </w:pPr>
    </w:p>
    <w:p>
      <w:pPr>
        <w:pStyle w:val="ListParagraph"/>
        <w:numPr>
          <w:ilvl w:val="1"/>
          <w:numId w:val="98"/>
        </w:numPr>
        <w:tabs>
          <w:tab w:pos="1126" w:val="left" w:leader="none"/>
        </w:tabs>
        <w:spacing w:line="240" w:lineRule="auto" w:before="94" w:after="0"/>
        <w:ind w:left="1126" w:right="390" w:hanging="454"/>
        <w:jc w:val="both"/>
        <w:rPr>
          <w:sz w:val="20"/>
        </w:rPr>
      </w:pPr>
      <w:r>
        <w:rPr>
          <w:sz w:val="20"/>
        </w:rPr>
        <w:t>la existencia de la reserva de espacio y las condiciones relativas al mismo, cuando el edificio esté situado en una zona en la que exista </w:t>
      </w:r>
      <w:r>
        <w:rPr>
          <w:i/>
          <w:sz w:val="20"/>
        </w:rPr>
        <w:t>recogida centralizada </w:t>
      </w:r>
      <w:r>
        <w:rPr>
          <w:sz w:val="20"/>
        </w:rPr>
        <w:t>con </w:t>
      </w:r>
      <w:r>
        <w:rPr>
          <w:i/>
          <w:sz w:val="20"/>
        </w:rPr>
        <w:t>contenedores de calle </w:t>
      </w:r>
      <w:r>
        <w:rPr>
          <w:sz w:val="20"/>
        </w:rPr>
        <w:t>de superficie de alguna de las fracciones de los </w:t>
      </w:r>
      <w:r>
        <w:rPr>
          <w:i/>
          <w:sz w:val="20"/>
        </w:rPr>
        <w:t>residuos</w:t>
      </w:r>
      <w:r>
        <w:rPr>
          <w:i/>
          <w:spacing w:val="-6"/>
          <w:sz w:val="20"/>
        </w:rPr>
        <w:t> </w:t>
      </w:r>
      <w:r>
        <w:rPr>
          <w:i/>
          <w:sz w:val="20"/>
        </w:rPr>
        <w:t>ordinarios</w:t>
      </w:r>
      <w:r>
        <w:rPr>
          <w:sz w:val="20"/>
        </w:rPr>
        <w:t>;</w:t>
      </w:r>
    </w:p>
    <w:p>
      <w:pPr>
        <w:pStyle w:val="ListParagraph"/>
        <w:numPr>
          <w:ilvl w:val="1"/>
          <w:numId w:val="98"/>
        </w:numPr>
        <w:tabs>
          <w:tab w:pos="1126" w:val="left" w:leader="none"/>
        </w:tabs>
        <w:spacing w:line="240" w:lineRule="auto" w:before="60" w:after="0"/>
        <w:ind w:left="1126" w:right="393" w:hanging="454"/>
        <w:jc w:val="both"/>
        <w:rPr>
          <w:sz w:val="20"/>
        </w:rPr>
      </w:pPr>
      <w:r>
        <w:rPr>
          <w:sz w:val="20"/>
        </w:rPr>
        <w:t>las condiciones relativas a la instalación de traslado por </w:t>
      </w:r>
      <w:r>
        <w:rPr>
          <w:i/>
          <w:sz w:val="20"/>
        </w:rPr>
        <w:t>bajante</w:t>
      </w:r>
      <w:r>
        <w:rPr>
          <w:sz w:val="20"/>
        </w:rPr>
        <w:t>s, en el caso de que se haya dispuesto</w:t>
      </w:r>
      <w:r>
        <w:rPr>
          <w:spacing w:val="-1"/>
          <w:sz w:val="20"/>
        </w:rPr>
        <w:t> </w:t>
      </w:r>
      <w:r>
        <w:rPr>
          <w:sz w:val="20"/>
        </w:rPr>
        <w:t>ésta;</w:t>
      </w:r>
    </w:p>
    <w:p>
      <w:pPr>
        <w:pStyle w:val="ListParagraph"/>
        <w:numPr>
          <w:ilvl w:val="1"/>
          <w:numId w:val="98"/>
        </w:numPr>
        <w:tabs>
          <w:tab w:pos="1126" w:val="left" w:leader="none"/>
        </w:tabs>
        <w:spacing w:line="240" w:lineRule="auto" w:before="61" w:after="0"/>
        <w:ind w:left="1126" w:right="0" w:hanging="454"/>
        <w:jc w:val="both"/>
        <w:rPr>
          <w:sz w:val="20"/>
        </w:rPr>
      </w:pPr>
      <w:r>
        <w:rPr>
          <w:sz w:val="20"/>
        </w:rPr>
        <w:t>la existencia del espacio de </w:t>
      </w:r>
      <w:r>
        <w:rPr>
          <w:i/>
          <w:sz w:val="20"/>
        </w:rPr>
        <w:t>almacenamiento inmediato </w:t>
      </w:r>
      <w:r>
        <w:rPr>
          <w:sz w:val="20"/>
        </w:rPr>
        <w:t>y las condiciones relativas al</w:t>
      </w:r>
      <w:r>
        <w:rPr>
          <w:spacing w:val="-9"/>
          <w:sz w:val="20"/>
        </w:rPr>
        <w:t> </w:t>
      </w:r>
      <w:r>
        <w:rPr>
          <w:sz w:val="20"/>
        </w:rPr>
        <w:t>mismo.</w:t>
      </w:r>
    </w:p>
    <w:p>
      <w:pPr>
        <w:pStyle w:val="ListParagraph"/>
        <w:numPr>
          <w:ilvl w:val="0"/>
          <w:numId w:val="98"/>
        </w:numPr>
        <w:tabs>
          <w:tab w:pos="673" w:val="left" w:leader="none"/>
        </w:tabs>
        <w:spacing w:line="240" w:lineRule="auto" w:before="59" w:after="0"/>
        <w:ind w:left="672" w:right="0" w:hanging="455"/>
        <w:jc w:val="both"/>
        <w:rPr>
          <w:sz w:val="20"/>
        </w:rPr>
      </w:pPr>
      <w:r>
        <w:rPr>
          <w:sz w:val="20"/>
        </w:rPr>
        <w:t>Cumplimiento de las condiciones de mantenimiento y conservación del apartado</w:t>
      </w:r>
      <w:r>
        <w:rPr>
          <w:spacing w:val="-9"/>
          <w:sz w:val="20"/>
        </w:rPr>
        <w:t> </w:t>
      </w:r>
      <w:r>
        <w:rPr>
          <w:sz w:val="20"/>
        </w:rPr>
        <w:t>3.</w:t>
      </w:r>
    </w:p>
    <w:p>
      <w:pPr>
        <w:pStyle w:val="BodyText"/>
        <w:rPr>
          <w:sz w:val="22"/>
        </w:rPr>
      </w:pPr>
    </w:p>
    <w:p>
      <w:pPr>
        <w:pStyle w:val="BodyText"/>
        <w:spacing w:before="11"/>
        <w:rPr>
          <w:sz w:val="19"/>
        </w:rPr>
      </w:pPr>
    </w:p>
    <w:p>
      <w:pPr>
        <w:pStyle w:val="Heading2"/>
        <w:numPr>
          <w:ilvl w:val="0"/>
          <w:numId w:val="99"/>
        </w:numPr>
        <w:tabs>
          <w:tab w:pos="504" w:val="left" w:leader="none"/>
        </w:tabs>
        <w:spacing w:line="240" w:lineRule="auto" w:before="0" w:after="0"/>
        <w:ind w:left="503" w:right="0" w:hanging="286"/>
        <w:jc w:val="left"/>
      </w:pPr>
      <w:r>
        <w:rPr/>
        <w:t>Diseño y</w:t>
      </w:r>
      <w:r>
        <w:rPr>
          <w:spacing w:val="-2"/>
        </w:rPr>
        <w:t> </w:t>
      </w:r>
      <w:r>
        <w:rPr/>
        <w:t>dimensionado</w:t>
      </w:r>
    </w:p>
    <w:p>
      <w:pPr>
        <w:pStyle w:val="BodyText"/>
        <w:spacing w:before="5"/>
        <w:rPr>
          <w:b/>
          <w:sz w:val="24"/>
        </w:rPr>
      </w:pPr>
    </w:p>
    <w:p>
      <w:pPr>
        <w:pStyle w:val="ListParagraph"/>
        <w:numPr>
          <w:ilvl w:val="1"/>
          <w:numId w:val="99"/>
        </w:numPr>
        <w:tabs>
          <w:tab w:pos="675" w:val="left" w:leader="none"/>
        </w:tabs>
        <w:spacing w:line="240" w:lineRule="auto" w:before="0" w:after="0"/>
        <w:ind w:left="674" w:right="0" w:hanging="457"/>
        <w:jc w:val="both"/>
        <w:rPr>
          <w:b/>
          <w:sz w:val="24"/>
        </w:rPr>
      </w:pPr>
      <w:r>
        <w:rPr>
          <w:b/>
          <w:sz w:val="24"/>
        </w:rPr>
        <w:t>Almacén de </w:t>
      </w:r>
      <w:r>
        <w:rPr>
          <w:b/>
          <w:i/>
          <w:sz w:val="24"/>
        </w:rPr>
        <w:t>contenedores de edificio </w:t>
      </w:r>
      <w:r>
        <w:rPr>
          <w:b/>
          <w:sz w:val="24"/>
        </w:rPr>
        <w:t>y espacio de</w:t>
      </w:r>
      <w:r>
        <w:rPr>
          <w:b/>
          <w:spacing w:val="-5"/>
          <w:sz w:val="24"/>
        </w:rPr>
        <w:t> </w:t>
      </w:r>
      <w:r>
        <w:rPr>
          <w:b/>
          <w:sz w:val="24"/>
        </w:rPr>
        <w:t>reserva</w:t>
      </w:r>
    </w:p>
    <w:p>
      <w:pPr>
        <w:pStyle w:val="ListParagraph"/>
        <w:numPr>
          <w:ilvl w:val="0"/>
          <w:numId w:val="100"/>
        </w:numPr>
        <w:tabs>
          <w:tab w:pos="673" w:val="left" w:leader="none"/>
        </w:tabs>
        <w:spacing w:line="240" w:lineRule="auto" w:before="98" w:after="0"/>
        <w:ind w:left="672" w:right="390" w:hanging="454"/>
        <w:jc w:val="both"/>
        <w:rPr>
          <w:sz w:val="20"/>
        </w:rPr>
      </w:pPr>
      <w:r>
        <w:rPr>
          <w:sz w:val="20"/>
        </w:rPr>
        <w:t>Cada edificio debe disponer como mínimo de un almacén de </w:t>
      </w:r>
      <w:r>
        <w:rPr>
          <w:i/>
          <w:sz w:val="20"/>
        </w:rPr>
        <w:t>contenedores de edificio </w:t>
      </w:r>
      <w:r>
        <w:rPr>
          <w:sz w:val="20"/>
        </w:rPr>
        <w:t>para las frac- ciones de los </w:t>
      </w:r>
      <w:r>
        <w:rPr>
          <w:i/>
          <w:sz w:val="20"/>
        </w:rPr>
        <w:t>residuos </w:t>
      </w:r>
      <w:r>
        <w:rPr>
          <w:sz w:val="20"/>
        </w:rPr>
        <w:t>que tengan </w:t>
      </w:r>
      <w:r>
        <w:rPr>
          <w:i/>
          <w:sz w:val="20"/>
        </w:rPr>
        <w:t>recogida puerta a puerta</w:t>
      </w:r>
      <w:r>
        <w:rPr>
          <w:sz w:val="20"/>
        </w:rPr>
        <w:t>, y, para las fracciones que ten</w:t>
      </w:r>
      <w:r>
        <w:rPr>
          <w:i/>
          <w:sz w:val="20"/>
        </w:rPr>
        <w:t>gan reco- </w:t>
      </w:r>
      <w:r>
        <w:rPr>
          <w:i/>
          <w:sz w:val="20"/>
        </w:rPr>
        <w:t>gida centralizada </w:t>
      </w:r>
      <w:r>
        <w:rPr>
          <w:sz w:val="20"/>
        </w:rPr>
        <w:t>con </w:t>
      </w:r>
      <w:r>
        <w:rPr>
          <w:i/>
          <w:sz w:val="20"/>
        </w:rPr>
        <w:t>contenedores de calle </w:t>
      </w:r>
      <w:r>
        <w:rPr>
          <w:sz w:val="20"/>
        </w:rPr>
        <w:t>de superficie, debe disponer de un espacio de reserva en el que pueda construirse un almacén de contenedores cuando alguna de estas fracciones pase  a tener </w:t>
      </w:r>
      <w:r>
        <w:rPr>
          <w:i/>
          <w:sz w:val="20"/>
        </w:rPr>
        <w:t>recogida puerta a</w:t>
      </w:r>
      <w:r>
        <w:rPr>
          <w:i/>
          <w:spacing w:val="-2"/>
          <w:sz w:val="20"/>
        </w:rPr>
        <w:t> </w:t>
      </w:r>
      <w:r>
        <w:rPr>
          <w:i/>
          <w:sz w:val="20"/>
        </w:rPr>
        <w:t>puerta</w:t>
      </w:r>
      <w:r>
        <w:rPr>
          <w:sz w:val="20"/>
        </w:rPr>
        <w:t>.</w:t>
      </w:r>
    </w:p>
    <w:p>
      <w:pPr>
        <w:spacing w:after="0" w:line="240" w:lineRule="auto"/>
        <w:jc w:val="both"/>
        <w:rPr>
          <w:sz w:val="20"/>
        </w:rPr>
        <w:sectPr>
          <w:pgSz w:w="11910" w:h="16840"/>
          <w:pgMar w:header="724" w:footer="636" w:top="1320" w:bottom="840" w:left="1200" w:right="740"/>
        </w:sectPr>
      </w:pPr>
    </w:p>
    <w:p>
      <w:pPr>
        <w:spacing w:before="91"/>
        <w:ind w:left="1778" w:right="398" w:firstLine="0"/>
        <w:jc w:val="left"/>
        <w:rPr>
          <w:sz w:val="16"/>
        </w:rPr>
      </w:pPr>
      <w:r>
        <w:rPr/>
        <w:pict>
          <v:group style="position:absolute;margin-left:143pt;margin-top:4.673902pt;width:.5pt;height:21.4pt;mso-position-horizontal-relative:page;mso-position-vertical-relative:paragraph;z-index:251787264" coordorigin="2860,93" coordsize="10,428">
            <v:line style="position:absolute" from="2865,93" to="2865,277" stroked="true" strokeweight=".48pt" strokecolor="#000000">
              <v:stroke dashstyle="solid"/>
            </v:line>
            <v:line style="position:absolute" from="2865,277" to="2865,521" stroked="true" strokeweight=".48pt" strokecolor="#000000">
              <v:stroke dashstyle="solid"/>
            </v:line>
            <w10:wrap type="none"/>
          </v:group>
        </w:pict>
      </w:r>
      <w:r>
        <w:rPr>
          <w:sz w:val="16"/>
        </w:rPr>
        <w:t>Este espacio de reserva se puede utilizar para cualquier otro uso provisional: zona de paso, almacén de bicicletas, etc., hasta que se construya el almacén de contenedores.</w:t>
      </w:r>
    </w:p>
    <w:p>
      <w:pPr>
        <w:pStyle w:val="BodyText"/>
        <w:spacing w:before="2"/>
        <w:rPr>
          <w:sz w:val="22"/>
        </w:rPr>
      </w:pPr>
    </w:p>
    <w:p>
      <w:pPr>
        <w:spacing w:before="95"/>
        <w:ind w:left="1778" w:right="0" w:firstLine="0"/>
        <w:jc w:val="left"/>
        <w:rPr>
          <w:sz w:val="16"/>
        </w:rPr>
      </w:pPr>
      <w:r>
        <w:rPr/>
        <w:pict>
          <v:group style="position:absolute;margin-left:143pt;margin-top:4.873897pt;width:.5pt;height:21.45pt;mso-position-horizontal-relative:page;mso-position-vertical-relative:paragraph;z-index:251788288" coordorigin="2860,97" coordsize="10,429">
            <v:line style="position:absolute" from="2865,97" to="2865,281" stroked="true" strokeweight=".48pt" strokecolor="#000000">
              <v:stroke dashstyle="solid"/>
            </v:line>
            <v:line style="position:absolute" from="2865,281" to="2865,526" stroked="true" strokeweight=".48pt" strokecolor="#000000">
              <v:stroke dashstyle="solid"/>
            </v:line>
            <w10:wrap type="none"/>
          </v:group>
        </w:pict>
      </w:r>
      <w:r>
        <w:rPr>
          <w:sz w:val="16"/>
        </w:rPr>
        <w:t>No es necesario disponer un almacén de contenedores de edificio ni un espacio de reserva en el caso de las fracciones que cuenten con recogida neumática.</w:t>
      </w:r>
    </w:p>
    <w:p>
      <w:pPr>
        <w:pStyle w:val="BodyText"/>
        <w:spacing w:before="3"/>
        <w:rPr>
          <w:sz w:val="22"/>
        </w:rPr>
      </w:pPr>
    </w:p>
    <w:p>
      <w:pPr>
        <w:pStyle w:val="ListParagraph"/>
        <w:numPr>
          <w:ilvl w:val="0"/>
          <w:numId w:val="100"/>
        </w:numPr>
        <w:tabs>
          <w:tab w:pos="673" w:val="left" w:leader="none"/>
        </w:tabs>
        <w:spacing w:line="240" w:lineRule="auto" w:before="94" w:after="0"/>
        <w:ind w:left="672" w:right="391" w:hanging="454"/>
        <w:jc w:val="both"/>
        <w:rPr>
          <w:sz w:val="20"/>
        </w:rPr>
      </w:pPr>
      <w:r>
        <w:rPr>
          <w:sz w:val="20"/>
        </w:rPr>
        <w:t>En el caso de viviendas aisladas o agrupadas horizontalmente, el almacén de </w:t>
      </w:r>
      <w:r>
        <w:rPr>
          <w:i/>
          <w:sz w:val="20"/>
        </w:rPr>
        <w:t>contenedores de </w:t>
      </w:r>
      <w:r>
        <w:rPr>
          <w:i/>
          <w:sz w:val="20"/>
        </w:rPr>
        <w:t>edificio </w:t>
      </w:r>
      <w:r>
        <w:rPr>
          <w:sz w:val="20"/>
        </w:rPr>
        <w:t>y el espacio de reserva pueden disponerse de tal forma que sirvan a varias</w:t>
      </w:r>
      <w:r>
        <w:rPr>
          <w:spacing w:val="-10"/>
          <w:sz w:val="20"/>
        </w:rPr>
        <w:t> </w:t>
      </w:r>
      <w:r>
        <w:rPr>
          <w:sz w:val="20"/>
        </w:rPr>
        <w:t>viviendas.</w:t>
      </w:r>
    </w:p>
    <w:p>
      <w:pPr>
        <w:pStyle w:val="BodyText"/>
        <w:spacing w:before="7"/>
        <w:rPr>
          <w:sz w:val="17"/>
        </w:rPr>
      </w:pPr>
    </w:p>
    <w:p>
      <w:pPr>
        <w:pStyle w:val="Heading5"/>
        <w:numPr>
          <w:ilvl w:val="2"/>
          <w:numId w:val="99"/>
        </w:numPr>
        <w:tabs>
          <w:tab w:pos="787" w:val="left" w:leader="none"/>
        </w:tabs>
        <w:spacing w:line="240" w:lineRule="auto" w:before="0" w:after="0"/>
        <w:ind w:left="786" w:right="0" w:hanging="569"/>
        <w:jc w:val="both"/>
      </w:pPr>
      <w:r>
        <w:rPr/>
        <w:t>Situación</w:t>
      </w:r>
    </w:p>
    <w:p>
      <w:pPr>
        <w:pStyle w:val="ListParagraph"/>
        <w:numPr>
          <w:ilvl w:val="0"/>
          <w:numId w:val="101"/>
        </w:numPr>
        <w:tabs>
          <w:tab w:pos="673" w:val="left" w:leader="none"/>
        </w:tabs>
        <w:spacing w:line="240" w:lineRule="auto" w:before="97" w:after="0"/>
        <w:ind w:left="672" w:right="395" w:hanging="454"/>
        <w:jc w:val="both"/>
        <w:rPr>
          <w:sz w:val="20"/>
        </w:rPr>
      </w:pPr>
      <w:r>
        <w:rPr>
          <w:sz w:val="20"/>
        </w:rPr>
        <w:t>El almacén y el espacio de reserva, en el caso de que estén fuera del edificio, deben estar situados a una distancia del acceso del mismo menor que 25</w:t>
      </w:r>
      <w:r>
        <w:rPr>
          <w:spacing w:val="-5"/>
          <w:sz w:val="20"/>
        </w:rPr>
        <w:t> </w:t>
      </w:r>
      <w:r>
        <w:rPr>
          <w:sz w:val="20"/>
        </w:rPr>
        <w:t>m.</w:t>
      </w:r>
    </w:p>
    <w:p>
      <w:pPr>
        <w:pStyle w:val="ListParagraph"/>
        <w:numPr>
          <w:ilvl w:val="0"/>
          <w:numId w:val="101"/>
        </w:numPr>
        <w:tabs>
          <w:tab w:pos="673" w:val="left" w:leader="none"/>
        </w:tabs>
        <w:spacing w:line="240" w:lineRule="auto" w:before="60" w:after="0"/>
        <w:ind w:left="672" w:right="389" w:hanging="454"/>
        <w:jc w:val="both"/>
        <w:rPr>
          <w:sz w:val="20"/>
        </w:rPr>
      </w:pPr>
      <w:r>
        <w:rPr>
          <w:sz w:val="20"/>
        </w:rPr>
        <w:t>El recorrido entre el almacén y el punto de recogida exterior debe tener una anchura libre de 1,20 m como mínimo, aunque se admiten estrechamientos localizados siempre que no se reduzca la an- chura libre a menos de 1 m y que su longitud no sea mayor que 45 cm. Cuando en el recorrido exis- tan puertas de apertura manual éstas deben abrirse en el sentido de salida. La pendiente debe ser del 12 % como máximo y no deben disponerse</w:t>
      </w:r>
      <w:r>
        <w:rPr>
          <w:spacing w:val="-5"/>
          <w:sz w:val="20"/>
        </w:rPr>
        <w:t> </w:t>
      </w:r>
      <w:r>
        <w:rPr>
          <w:sz w:val="20"/>
        </w:rPr>
        <w:t>escalones.</w:t>
      </w:r>
    </w:p>
    <w:p>
      <w:pPr>
        <w:pStyle w:val="BodyText"/>
        <w:spacing w:before="5"/>
        <w:rPr>
          <w:sz w:val="30"/>
        </w:rPr>
      </w:pPr>
    </w:p>
    <w:p>
      <w:pPr>
        <w:spacing w:before="0"/>
        <w:ind w:left="1778" w:right="392" w:firstLine="0"/>
        <w:jc w:val="both"/>
        <w:rPr>
          <w:sz w:val="16"/>
        </w:rPr>
      </w:pPr>
      <w:r>
        <w:rPr/>
        <w:pict>
          <v:group style="position:absolute;margin-left:143pt;margin-top:.123892pt;width:.5pt;height:39.85pt;mso-position-horizontal-relative:page;mso-position-vertical-relative:paragraph;z-index:251789312" coordorigin="2860,2" coordsize="10,797">
            <v:line style="position:absolute" from="2865,2" to="2865,187" stroked="true" strokeweight=".48pt" strokecolor="#000000">
              <v:stroke dashstyle="solid"/>
            </v:line>
            <v:line style="position:absolute" from="2865,187" to="2865,371" stroked="true" strokeweight=".48pt" strokecolor="#000000">
              <v:stroke dashstyle="solid"/>
            </v:line>
            <v:line style="position:absolute" from="2865,371" to="2865,554" stroked="true" strokeweight=".48pt" strokecolor="#000000">
              <v:stroke dashstyle="solid"/>
            </v:line>
            <v:line style="position:absolute" from="2865,554" to="2865,799" stroked="true" strokeweight=".48pt" strokecolor="#000000">
              <v:stroke dashstyle="solid"/>
            </v:line>
            <w10:wrap type="none"/>
          </v:group>
        </w:pict>
      </w:r>
      <w:r>
        <w:rPr>
          <w:sz w:val="16"/>
        </w:rPr>
        <w:t>La condición del sentido de apertura de las puertas satisface el objetivo de facilitar la maniobra de extracción de los contenedores de residuos llenos desde el almacén hasta el punto de recogida en zonas estrechas. Por ello, esta condición podría no ser necesaria en el caso de que una de estas puertas coincida con la puerta de acceso general al edificio, al ser en este caso habitualmente las condiciones espaciales favorables.</w:t>
      </w:r>
    </w:p>
    <w:p>
      <w:pPr>
        <w:pStyle w:val="BodyText"/>
        <w:spacing w:before="3"/>
        <w:rPr>
          <w:sz w:val="18"/>
        </w:rPr>
      </w:pPr>
    </w:p>
    <w:p>
      <w:pPr>
        <w:spacing w:before="95"/>
        <w:ind w:left="1778" w:right="395" w:firstLine="0"/>
        <w:jc w:val="both"/>
        <w:rPr>
          <w:sz w:val="16"/>
        </w:rPr>
      </w:pPr>
      <w:r>
        <w:rPr/>
        <w:pict>
          <v:group style="position:absolute;margin-left:143pt;margin-top:4.873903pt;width:.5pt;height:39.8pt;mso-position-horizontal-relative:page;mso-position-vertical-relative:paragraph;z-index:251790336" coordorigin="2860,97" coordsize="10,796">
            <v:line style="position:absolute" from="2865,97" to="2865,281" stroked="true" strokeweight=".48pt" strokecolor="#000000">
              <v:stroke dashstyle="solid"/>
            </v:line>
            <v:line style="position:absolute" from="2865,281" to="2865,466" stroked="true" strokeweight=".48pt" strokecolor="#000000">
              <v:stroke dashstyle="solid"/>
            </v:line>
            <v:line style="position:absolute" from="2865,466" to="2865,649" stroked="true" strokeweight=".48pt" strokecolor="#000000">
              <v:stroke dashstyle="solid"/>
            </v:line>
            <v:line style="position:absolute" from="2865,649" to="2865,893" stroked="true" strokeweight=".48pt" strokecolor="#000000">
              <v:stroke dashstyle="solid"/>
            </v:line>
            <w10:wrap type="none"/>
          </v:group>
        </w:pict>
      </w:r>
      <w:r>
        <w:rPr>
          <w:sz w:val="16"/>
        </w:rPr>
        <w:t>El texto del DB no menciona explícitamente la posibilidad de la situación en un sótano. Por ello, se entiende que, mientras cumpla las condiciones anteriores, sería válida la situación en un sótano, utilizándose para el traslado de los contenedores hasta el punto de recogida exterior un medio de transporte mecánico o una rampa.</w:t>
      </w:r>
    </w:p>
    <w:p>
      <w:pPr>
        <w:pStyle w:val="BodyText"/>
      </w:pPr>
    </w:p>
    <w:p>
      <w:pPr>
        <w:spacing w:after="0"/>
        <w:sectPr>
          <w:pgSz w:w="11910" w:h="16840"/>
          <w:pgMar w:header="724" w:footer="636" w:top="1320" w:bottom="840" w:left="1200" w:right="740"/>
        </w:sectPr>
      </w:pPr>
    </w:p>
    <w:p>
      <w:pPr>
        <w:pStyle w:val="BodyText"/>
        <w:spacing w:before="9"/>
        <w:rPr>
          <w:sz w:val="22"/>
        </w:rPr>
      </w:pPr>
    </w:p>
    <w:p>
      <w:pPr>
        <w:pStyle w:val="Heading5"/>
        <w:numPr>
          <w:ilvl w:val="2"/>
          <w:numId w:val="99"/>
        </w:numPr>
        <w:tabs>
          <w:tab w:pos="787" w:val="left" w:leader="none"/>
        </w:tabs>
        <w:spacing w:line="240" w:lineRule="auto" w:before="0" w:after="0"/>
        <w:ind w:left="786" w:right="0" w:hanging="569"/>
        <w:jc w:val="left"/>
      </w:pPr>
      <w:r>
        <w:rPr/>
        <w:t>Superficie</w:t>
      </w:r>
    </w:p>
    <w:p>
      <w:pPr>
        <w:pStyle w:val="BodyText"/>
        <w:spacing w:before="5"/>
        <w:rPr>
          <w:b/>
          <w:sz w:val="17"/>
        </w:rPr>
      </w:pPr>
    </w:p>
    <w:p>
      <w:pPr>
        <w:pStyle w:val="ListParagraph"/>
        <w:numPr>
          <w:ilvl w:val="3"/>
          <w:numId w:val="99"/>
        </w:numPr>
        <w:tabs>
          <w:tab w:pos="928" w:val="left" w:leader="none"/>
        </w:tabs>
        <w:spacing w:line="240" w:lineRule="auto" w:before="0" w:after="0"/>
        <w:ind w:left="928" w:right="0" w:hanging="710"/>
        <w:jc w:val="left"/>
        <w:rPr>
          <w:b/>
          <w:sz w:val="20"/>
        </w:rPr>
      </w:pPr>
      <w:r>
        <w:rPr>
          <w:b/>
          <w:sz w:val="20"/>
        </w:rPr>
        <w:t>Superficie útil del</w:t>
      </w:r>
      <w:r>
        <w:rPr>
          <w:b/>
          <w:spacing w:val="-3"/>
          <w:sz w:val="20"/>
        </w:rPr>
        <w:t> </w:t>
      </w:r>
      <w:r>
        <w:rPr>
          <w:b/>
          <w:sz w:val="20"/>
        </w:rPr>
        <w:t>almacén</w:t>
      </w:r>
    </w:p>
    <w:p>
      <w:pPr>
        <w:pStyle w:val="ListParagraph"/>
        <w:numPr>
          <w:ilvl w:val="0"/>
          <w:numId w:val="102"/>
        </w:numPr>
        <w:tabs>
          <w:tab w:pos="672" w:val="left" w:leader="none"/>
          <w:tab w:pos="673" w:val="left" w:leader="none"/>
        </w:tabs>
        <w:spacing w:line="240" w:lineRule="auto" w:before="98" w:after="0"/>
        <w:ind w:left="672" w:right="0" w:hanging="455"/>
        <w:jc w:val="left"/>
        <w:rPr>
          <w:sz w:val="20"/>
        </w:rPr>
      </w:pPr>
      <w:r>
        <w:rPr>
          <w:sz w:val="20"/>
        </w:rPr>
        <w:t>La superficie útil del almacén debe calcularse mediante la fórmula</w:t>
      </w:r>
      <w:r>
        <w:rPr>
          <w:spacing w:val="-6"/>
          <w:sz w:val="20"/>
        </w:rPr>
        <w:t> </w:t>
      </w:r>
      <w:r>
        <w:rPr>
          <w:sz w:val="20"/>
        </w:rPr>
        <w:t>siguiente:</w:t>
      </w:r>
    </w:p>
    <w:p>
      <w:pPr>
        <w:spacing w:before="9"/>
        <w:ind w:left="703" w:right="0" w:firstLine="0"/>
        <w:jc w:val="left"/>
        <w:rPr>
          <w:rFonts w:ascii="Symbol" w:hAnsi="Symbol"/>
          <w:sz w:val="27"/>
        </w:rPr>
      </w:pPr>
      <w:r>
        <w:rPr>
          <w:w w:val="109"/>
          <w:sz w:val="19"/>
        </w:rPr>
        <w:t>S</w:t>
      </w:r>
      <w:r>
        <w:rPr>
          <w:spacing w:val="-6"/>
          <w:sz w:val="19"/>
        </w:rPr>
        <w:t> </w:t>
      </w:r>
      <w:r>
        <w:rPr>
          <w:rFonts w:ascii="Symbol" w:hAnsi="Symbol"/>
          <w:w w:val="109"/>
          <w:sz w:val="19"/>
        </w:rPr>
        <w:t></w:t>
      </w:r>
      <w:r>
        <w:rPr>
          <w:rFonts w:ascii="Times New Roman" w:hAnsi="Times New Roman"/>
          <w:spacing w:val="-3"/>
          <w:sz w:val="19"/>
        </w:rPr>
        <w:t> </w:t>
      </w:r>
      <w:r>
        <w:rPr>
          <w:spacing w:val="-16"/>
          <w:w w:val="109"/>
          <w:sz w:val="19"/>
        </w:rPr>
        <w:t>0</w:t>
      </w:r>
      <w:r>
        <w:rPr>
          <w:spacing w:val="-15"/>
          <w:w w:val="109"/>
          <w:sz w:val="19"/>
        </w:rPr>
        <w:t>,</w:t>
      </w:r>
      <w:r>
        <w:rPr>
          <w:w w:val="109"/>
          <w:sz w:val="19"/>
        </w:rPr>
        <w:t>8</w:t>
      </w:r>
      <w:r>
        <w:rPr>
          <w:spacing w:val="-27"/>
          <w:sz w:val="19"/>
        </w:rPr>
        <w:t> </w:t>
      </w:r>
      <w:r>
        <w:rPr>
          <w:rFonts w:ascii="Symbol" w:hAnsi="Symbol"/>
          <w:spacing w:val="19"/>
          <w:w w:val="109"/>
          <w:sz w:val="19"/>
        </w:rPr>
        <w:t></w:t>
      </w:r>
      <w:r>
        <w:rPr>
          <w:spacing w:val="25"/>
          <w:w w:val="109"/>
          <w:sz w:val="19"/>
        </w:rPr>
        <w:t>P</w:t>
      </w:r>
      <w:r>
        <w:rPr>
          <w:rFonts w:ascii="Symbol" w:hAnsi="Symbol"/>
          <w:w w:val="109"/>
          <w:sz w:val="19"/>
        </w:rPr>
        <w:t></w:t>
      </w:r>
      <w:r>
        <w:rPr>
          <w:rFonts w:ascii="Times New Roman" w:hAnsi="Times New Roman"/>
          <w:spacing w:val="-19"/>
          <w:sz w:val="19"/>
        </w:rPr>
        <w:t> </w:t>
      </w:r>
      <w:r>
        <w:rPr>
          <w:rFonts w:ascii="Symbol" w:hAnsi="Symbol"/>
          <w:spacing w:val="12"/>
          <w:w w:val="107"/>
          <w:position w:val="-5"/>
          <w:sz w:val="35"/>
        </w:rPr>
        <w:t></w:t>
      </w:r>
      <w:r>
        <w:rPr>
          <w:rFonts w:ascii="Symbol" w:hAnsi="Symbol"/>
          <w:spacing w:val="-13"/>
          <w:w w:val="76"/>
          <w:sz w:val="27"/>
        </w:rPr>
        <w:t></w:t>
      </w:r>
      <w:r>
        <w:rPr>
          <w:spacing w:val="-10"/>
          <w:w w:val="109"/>
          <w:sz w:val="19"/>
        </w:rPr>
        <w:t>T</w:t>
      </w:r>
      <w:r>
        <w:rPr>
          <w:w w:val="104"/>
          <w:position w:val="-4"/>
          <w:sz w:val="14"/>
        </w:rPr>
        <w:t>f</w:t>
      </w:r>
      <w:r>
        <w:rPr>
          <w:position w:val="-4"/>
          <w:sz w:val="14"/>
        </w:rPr>
        <w:t> </w:t>
      </w:r>
      <w:r>
        <w:rPr>
          <w:spacing w:val="-8"/>
          <w:position w:val="-4"/>
          <w:sz w:val="14"/>
        </w:rPr>
        <w:t> </w:t>
      </w:r>
      <w:r>
        <w:rPr>
          <w:rFonts w:ascii="Symbol" w:hAnsi="Symbol"/>
          <w:spacing w:val="25"/>
          <w:w w:val="109"/>
          <w:sz w:val="19"/>
        </w:rPr>
        <w:t></w:t>
      </w:r>
      <w:r>
        <w:rPr>
          <w:spacing w:val="5"/>
          <w:w w:val="109"/>
          <w:sz w:val="19"/>
        </w:rPr>
        <w:t>G</w:t>
      </w:r>
      <w:r>
        <w:rPr>
          <w:w w:val="104"/>
          <w:position w:val="-4"/>
          <w:sz w:val="14"/>
        </w:rPr>
        <w:t>f</w:t>
      </w:r>
      <w:r>
        <w:rPr>
          <w:position w:val="-4"/>
          <w:sz w:val="14"/>
        </w:rPr>
        <w:t> </w:t>
      </w:r>
      <w:r>
        <w:rPr>
          <w:spacing w:val="-8"/>
          <w:position w:val="-4"/>
          <w:sz w:val="14"/>
        </w:rPr>
        <w:t> </w:t>
      </w:r>
      <w:r>
        <w:rPr>
          <w:rFonts w:ascii="Symbol" w:hAnsi="Symbol"/>
          <w:spacing w:val="25"/>
          <w:w w:val="109"/>
          <w:sz w:val="19"/>
        </w:rPr>
        <w:t></w:t>
      </w:r>
      <w:r>
        <w:rPr>
          <w:spacing w:val="7"/>
          <w:w w:val="109"/>
          <w:sz w:val="19"/>
        </w:rPr>
        <w:t>C</w:t>
      </w:r>
      <w:r>
        <w:rPr>
          <w:w w:val="104"/>
          <w:position w:val="-4"/>
          <w:sz w:val="14"/>
        </w:rPr>
        <w:t>f</w:t>
      </w:r>
      <w:r>
        <w:rPr>
          <w:position w:val="-4"/>
          <w:sz w:val="14"/>
        </w:rPr>
        <w:t> </w:t>
      </w:r>
      <w:r>
        <w:rPr>
          <w:spacing w:val="-8"/>
          <w:position w:val="-4"/>
          <w:sz w:val="14"/>
        </w:rPr>
        <w:t> </w:t>
      </w:r>
      <w:r>
        <w:rPr>
          <w:rFonts w:ascii="Symbol" w:hAnsi="Symbol"/>
          <w:spacing w:val="19"/>
          <w:w w:val="109"/>
          <w:sz w:val="19"/>
        </w:rPr>
        <w:t></w:t>
      </w:r>
      <w:r>
        <w:rPr>
          <w:w w:val="109"/>
          <w:sz w:val="19"/>
        </w:rPr>
        <w:t>M</w:t>
      </w:r>
      <w:r>
        <w:rPr>
          <w:w w:val="104"/>
          <w:position w:val="-4"/>
          <w:sz w:val="14"/>
        </w:rPr>
        <w:t>f</w:t>
      </w:r>
      <w:r>
        <w:rPr>
          <w:spacing w:val="7"/>
          <w:position w:val="-4"/>
          <w:sz w:val="14"/>
        </w:rPr>
        <w:t> </w:t>
      </w:r>
      <w:r>
        <w:rPr>
          <w:rFonts w:ascii="Symbol" w:hAnsi="Symbol"/>
          <w:w w:val="76"/>
          <w:sz w:val="27"/>
        </w:rPr>
        <w:t></w:t>
      </w:r>
    </w:p>
    <w:p>
      <w:pPr>
        <w:pStyle w:val="BodyText"/>
        <w:spacing w:before="58"/>
        <w:ind w:left="672"/>
      </w:pPr>
      <w:r>
        <w:rPr/>
        <w:t>siendo</w:t>
      </w:r>
    </w:p>
    <w:p>
      <w:pPr>
        <w:pStyle w:val="BodyText"/>
        <w:tabs>
          <w:tab w:pos="1059" w:val="left" w:leader="none"/>
        </w:tabs>
        <w:spacing w:before="59"/>
        <w:ind w:left="672"/>
      </w:pPr>
      <w:r>
        <w:rPr/>
        <w:t>S</w:t>
        <w:tab/>
        <w:t>la superficie útil</w:t>
      </w:r>
      <w:r>
        <w:rPr>
          <w:spacing w:val="-2"/>
        </w:rPr>
        <w:t> </w:t>
      </w:r>
      <w:r>
        <w:rPr/>
        <w:t>[m</w:t>
      </w:r>
      <w:r>
        <w:rPr>
          <w:vertAlign w:val="superscript"/>
        </w:rPr>
        <w:t>2</w:t>
      </w:r>
      <w:r>
        <w:rPr>
          <w:vertAlign w:val="baseline"/>
        </w:rPr>
        <w:t>];</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4"/>
        <w:rPr>
          <w:sz w:val="30"/>
        </w:rPr>
      </w:pPr>
    </w:p>
    <w:p>
      <w:pPr>
        <w:pStyle w:val="BodyText"/>
        <w:ind w:left="218"/>
      </w:pPr>
      <w:r>
        <w:rPr/>
        <w:t>(2.1)</w:t>
      </w:r>
    </w:p>
    <w:p>
      <w:pPr>
        <w:spacing w:after="0"/>
        <w:sectPr>
          <w:type w:val="continuous"/>
          <w:pgSz w:w="11910" w:h="16840"/>
          <w:pgMar w:top="1580" w:bottom="280" w:left="1200" w:right="740"/>
          <w:cols w:num="2" w:equalWidth="0">
            <w:col w:w="7473" w:space="1456"/>
            <w:col w:w="1041"/>
          </w:cols>
        </w:sectPr>
      </w:pPr>
    </w:p>
    <w:p>
      <w:pPr>
        <w:pStyle w:val="BodyText"/>
        <w:tabs>
          <w:tab w:pos="1059" w:val="left" w:leader="none"/>
        </w:tabs>
        <w:spacing w:before="61"/>
        <w:ind w:left="1060" w:right="398" w:hanging="388"/>
      </w:pPr>
      <w:r>
        <w:rPr/>
        <w:t>P</w:t>
        <w:tab/>
        <w:t>el número estimado de ocupantes habituales del edificio que equivale a la suma del número to- tal de dormitorios sencillos y el doble de número total de dormitorios</w:t>
      </w:r>
      <w:r>
        <w:rPr>
          <w:spacing w:val="-8"/>
        </w:rPr>
        <w:t> </w:t>
      </w:r>
      <w:r>
        <w:rPr/>
        <w:t>dobles;</w:t>
      </w:r>
    </w:p>
    <w:p>
      <w:pPr>
        <w:pStyle w:val="BodyText"/>
        <w:tabs>
          <w:tab w:pos="1059" w:val="left" w:leader="none"/>
        </w:tabs>
        <w:spacing w:before="59"/>
        <w:ind w:left="672"/>
      </w:pPr>
      <w:r>
        <w:rPr/>
        <w:t>T</w:t>
      </w:r>
      <w:r>
        <w:rPr>
          <w:vertAlign w:val="subscript"/>
        </w:rPr>
        <w:t>f</w:t>
      </w:r>
      <w:r>
        <w:rPr>
          <w:vertAlign w:val="baseline"/>
        </w:rPr>
        <w:tab/>
        <w:t>el período de recogida de la fracción</w:t>
      </w:r>
      <w:r>
        <w:rPr>
          <w:spacing w:val="-3"/>
          <w:vertAlign w:val="baseline"/>
        </w:rPr>
        <w:t> </w:t>
      </w:r>
      <w:r>
        <w:rPr>
          <w:vertAlign w:val="baseline"/>
        </w:rPr>
        <w:t>[días];</w:t>
      </w:r>
    </w:p>
    <w:p>
      <w:pPr>
        <w:pStyle w:val="BodyText"/>
        <w:spacing w:before="61"/>
        <w:ind w:left="1060" w:hanging="388"/>
      </w:pPr>
      <w:r>
        <w:rPr/>
        <w:t>G</w:t>
      </w:r>
      <w:r>
        <w:rPr>
          <w:vertAlign w:val="subscript"/>
        </w:rPr>
        <w:t>f</w:t>
      </w:r>
      <w:r>
        <w:rPr>
          <w:vertAlign w:val="baseline"/>
        </w:rPr>
        <w:t> el volumen generado de la fracción por persona y día [dm</w:t>
      </w:r>
      <w:r>
        <w:rPr>
          <w:vertAlign w:val="superscript"/>
        </w:rPr>
        <w:t>3</w:t>
      </w:r>
      <w:r>
        <w:rPr>
          <w:vertAlign w:val="baseline"/>
        </w:rPr>
        <w:t>/(persona·día)], que equivale a los siguientes valores:</w:t>
      </w:r>
    </w:p>
    <w:p>
      <w:pPr>
        <w:pStyle w:val="BodyText"/>
        <w:spacing w:before="8"/>
        <w:rPr>
          <w:sz w:val="5"/>
        </w:rPr>
      </w:pPr>
    </w:p>
    <w:tbl>
      <w:tblPr>
        <w:tblW w:w="0" w:type="auto"/>
        <w:jc w:val="left"/>
        <w:tblInd w:w="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5"/>
        <w:gridCol w:w="558"/>
      </w:tblGrid>
      <w:tr>
        <w:trPr>
          <w:trHeight w:val="257" w:hRule="atLeast"/>
        </w:trPr>
        <w:tc>
          <w:tcPr>
            <w:tcW w:w="1635" w:type="dxa"/>
          </w:tcPr>
          <w:p>
            <w:pPr>
              <w:pStyle w:val="TableParagraph"/>
              <w:spacing w:line="224" w:lineRule="exact"/>
              <w:ind w:left="50"/>
              <w:jc w:val="left"/>
              <w:rPr>
                <w:sz w:val="20"/>
              </w:rPr>
            </w:pPr>
            <w:r>
              <w:rPr>
                <w:sz w:val="20"/>
              </w:rPr>
              <w:t>Papel / cartón</w:t>
            </w:r>
          </w:p>
        </w:tc>
        <w:tc>
          <w:tcPr>
            <w:tcW w:w="558" w:type="dxa"/>
          </w:tcPr>
          <w:p>
            <w:pPr>
              <w:pStyle w:val="TableParagraph"/>
              <w:spacing w:line="224" w:lineRule="exact"/>
              <w:ind w:left="49" w:right="30"/>
              <w:rPr>
                <w:sz w:val="20"/>
              </w:rPr>
            </w:pPr>
            <w:r>
              <w:rPr>
                <w:sz w:val="20"/>
              </w:rPr>
              <w:t>1,55</w:t>
            </w:r>
          </w:p>
        </w:tc>
      </w:tr>
      <w:tr>
        <w:trPr>
          <w:trHeight w:val="290" w:hRule="atLeast"/>
        </w:trPr>
        <w:tc>
          <w:tcPr>
            <w:tcW w:w="1635" w:type="dxa"/>
          </w:tcPr>
          <w:p>
            <w:pPr>
              <w:pStyle w:val="TableParagraph"/>
              <w:spacing w:before="27"/>
              <w:ind w:left="50"/>
              <w:jc w:val="left"/>
              <w:rPr>
                <w:sz w:val="20"/>
              </w:rPr>
            </w:pPr>
            <w:r>
              <w:rPr>
                <w:sz w:val="20"/>
              </w:rPr>
              <w:t>Envases ligeros</w:t>
            </w:r>
          </w:p>
        </w:tc>
        <w:tc>
          <w:tcPr>
            <w:tcW w:w="558" w:type="dxa"/>
          </w:tcPr>
          <w:p>
            <w:pPr>
              <w:pStyle w:val="TableParagraph"/>
              <w:spacing w:before="27"/>
              <w:ind w:left="49" w:right="30"/>
              <w:rPr>
                <w:sz w:val="20"/>
              </w:rPr>
            </w:pPr>
            <w:r>
              <w:rPr>
                <w:sz w:val="20"/>
              </w:rPr>
              <w:t>8,40</w:t>
            </w:r>
          </w:p>
        </w:tc>
      </w:tr>
      <w:tr>
        <w:trPr>
          <w:trHeight w:val="289" w:hRule="atLeast"/>
        </w:trPr>
        <w:tc>
          <w:tcPr>
            <w:tcW w:w="1635" w:type="dxa"/>
          </w:tcPr>
          <w:p>
            <w:pPr>
              <w:pStyle w:val="TableParagraph"/>
              <w:spacing w:before="27"/>
              <w:ind w:left="50"/>
              <w:jc w:val="left"/>
              <w:rPr>
                <w:sz w:val="20"/>
              </w:rPr>
            </w:pPr>
            <w:r>
              <w:rPr>
                <w:sz w:val="20"/>
              </w:rPr>
              <w:t>Materia orgánica</w:t>
            </w:r>
          </w:p>
        </w:tc>
        <w:tc>
          <w:tcPr>
            <w:tcW w:w="558" w:type="dxa"/>
          </w:tcPr>
          <w:p>
            <w:pPr>
              <w:pStyle w:val="TableParagraph"/>
              <w:spacing w:before="27"/>
              <w:ind w:left="73" w:right="6"/>
              <w:rPr>
                <w:sz w:val="20"/>
              </w:rPr>
            </w:pPr>
            <w:r>
              <w:rPr>
                <w:sz w:val="20"/>
              </w:rPr>
              <w:t>1,50</w:t>
            </w:r>
          </w:p>
        </w:tc>
      </w:tr>
      <w:tr>
        <w:trPr>
          <w:trHeight w:val="289" w:hRule="atLeast"/>
        </w:trPr>
        <w:tc>
          <w:tcPr>
            <w:tcW w:w="1635" w:type="dxa"/>
          </w:tcPr>
          <w:p>
            <w:pPr>
              <w:pStyle w:val="TableParagraph"/>
              <w:spacing w:before="26"/>
              <w:ind w:left="50"/>
              <w:jc w:val="left"/>
              <w:rPr>
                <w:sz w:val="20"/>
              </w:rPr>
            </w:pPr>
            <w:r>
              <w:rPr>
                <w:sz w:val="20"/>
              </w:rPr>
              <w:t>Vidrio</w:t>
            </w:r>
          </w:p>
        </w:tc>
        <w:tc>
          <w:tcPr>
            <w:tcW w:w="558" w:type="dxa"/>
          </w:tcPr>
          <w:p>
            <w:pPr>
              <w:pStyle w:val="TableParagraph"/>
              <w:spacing w:before="26"/>
              <w:ind w:left="73" w:right="6"/>
              <w:rPr>
                <w:sz w:val="20"/>
              </w:rPr>
            </w:pPr>
            <w:r>
              <w:rPr>
                <w:sz w:val="20"/>
              </w:rPr>
              <w:t>0,48</w:t>
            </w:r>
          </w:p>
        </w:tc>
      </w:tr>
      <w:tr>
        <w:trPr>
          <w:trHeight w:val="257" w:hRule="atLeast"/>
        </w:trPr>
        <w:tc>
          <w:tcPr>
            <w:tcW w:w="1635" w:type="dxa"/>
          </w:tcPr>
          <w:p>
            <w:pPr>
              <w:pStyle w:val="TableParagraph"/>
              <w:spacing w:line="210" w:lineRule="exact" w:before="27"/>
              <w:ind w:left="50"/>
              <w:jc w:val="left"/>
              <w:rPr>
                <w:sz w:val="20"/>
              </w:rPr>
            </w:pPr>
            <w:r>
              <w:rPr>
                <w:sz w:val="20"/>
              </w:rPr>
              <w:t>Varios</w:t>
            </w:r>
          </w:p>
        </w:tc>
        <w:tc>
          <w:tcPr>
            <w:tcW w:w="558" w:type="dxa"/>
          </w:tcPr>
          <w:p>
            <w:pPr>
              <w:pStyle w:val="TableParagraph"/>
              <w:spacing w:line="210" w:lineRule="exact" w:before="27"/>
              <w:ind w:left="49" w:right="30"/>
              <w:rPr>
                <w:sz w:val="20"/>
              </w:rPr>
            </w:pPr>
            <w:r>
              <w:rPr>
                <w:sz w:val="20"/>
              </w:rPr>
              <w:t>1,50</w:t>
            </w:r>
          </w:p>
        </w:tc>
      </w:tr>
    </w:tbl>
    <w:p>
      <w:pPr>
        <w:tabs>
          <w:tab w:pos="1059" w:val="left" w:leader="none"/>
        </w:tabs>
        <w:spacing w:line="230" w:lineRule="exact" w:before="60"/>
        <w:ind w:left="676" w:right="0" w:firstLine="0"/>
        <w:jc w:val="left"/>
        <w:rPr>
          <w:sz w:val="20"/>
        </w:rPr>
      </w:pPr>
      <w:r>
        <w:rPr>
          <w:sz w:val="20"/>
        </w:rPr>
        <w:t>C</w:t>
      </w:r>
      <w:r>
        <w:rPr>
          <w:sz w:val="20"/>
          <w:vertAlign w:val="subscript"/>
        </w:rPr>
        <w:t>f</w:t>
      </w:r>
      <w:r>
        <w:rPr>
          <w:sz w:val="20"/>
          <w:vertAlign w:val="baseline"/>
        </w:rPr>
        <w:tab/>
        <w:t>el</w:t>
      </w:r>
      <w:r>
        <w:rPr>
          <w:spacing w:val="17"/>
          <w:sz w:val="20"/>
          <w:vertAlign w:val="baseline"/>
        </w:rPr>
        <w:t> </w:t>
      </w:r>
      <w:r>
        <w:rPr>
          <w:i/>
          <w:sz w:val="20"/>
          <w:vertAlign w:val="baseline"/>
        </w:rPr>
        <w:t>factor</w:t>
      </w:r>
      <w:r>
        <w:rPr>
          <w:i/>
          <w:spacing w:val="19"/>
          <w:sz w:val="20"/>
          <w:vertAlign w:val="baseline"/>
        </w:rPr>
        <w:t> </w:t>
      </w:r>
      <w:r>
        <w:rPr>
          <w:i/>
          <w:sz w:val="20"/>
          <w:vertAlign w:val="baseline"/>
        </w:rPr>
        <w:t>de</w:t>
      </w:r>
      <w:r>
        <w:rPr>
          <w:i/>
          <w:spacing w:val="18"/>
          <w:sz w:val="20"/>
          <w:vertAlign w:val="baseline"/>
        </w:rPr>
        <w:t> </w:t>
      </w:r>
      <w:r>
        <w:rPr>
          <w:i/>
          <w:sz w:val="20"/>
          <w:vertAlign w:val="baseline"/>
        </w:rPr>
        <w:t>contenedor</w:t>
      </w:r>
      <w:r>
        <w:rPr>
          <w:i/>
          <w:spacing w:val="20"/>
          <w:sz w:val="20"/>
          <w:vertAlign w:val="baseline"/>
        </w:rPr>
        <w:t> </w:t>
      </w:r>
      <w:r>
        <w:rPr>
          <w:sz w:val="20"/>
          <w:vertAlign w:val="baseline"/>
        </w:rPr>
        <w:t>[m</w:t>
      </w:r>
      <w:r>
        <w:rPr>
          <w:sz w:val="20"/>
          <w:vertAlign w:val="superscript"/>
        </w:rPr>
        <w:t>2</w:t>
      </w:r>
      <w:r>
        <w:rPr>
          <w:sz w:val="20"/>
          <w:vertAlign w:val="baseline"/>
        </w:rPr>
        <w:t>/l],</w:t>
      </w:r>
      <w:r>
        <w:rPr>
          <w:spacing w:val="18"/>
          <w:sz w:val="20"/>
          <w:vertAlign w:val="baseline"/>
        </w:rPr>
        <w:t> </w:t>
      </w:r>
      <w:r>
        <w:rPr>
          <w:sz w:val="20"/>
          <w:vertAlign w:val="baseline"/>
        </w:rPr>
        <w:t>que</w:t>
      </w:r>
      <w:r>
        <w:rPr>
          <w:spacing w:val="19"/>
          <w:sz w:val="20"/>
          <w:vertAlign w:val="baseline"/>
        </w:rPr>
        <w:t> </w:t>
      </w:r>
      <w:r>
        <w:rPr>
          <w:sz w:val="20"/>
          <w:vertAlign w:val="baseline"/>
        </w:rPr>
        <w:t>depende</w:t>
      </w:r>
      <w:r>
        <w:rPr>
          <w:spacing w:val="18"/>
          <w:sz w:val="20"/>
          <w:vertAlign w:val="baseline"/>
        </w:rPr>
        <w:t> </w:t>
      </w:r>
      <w:r>
        <w:rPr>
          <w:sz w:val="20"/>
          <w:vertAlign w:val="baseline"/>
        </w:rPr>
        <w:t>de</w:t>
      </w:r>
      <w:r>
        <w:rPr>
          <w:spacing w:val="18"/>
          <w:sz w:val="20"/>
          <w:vertAlign w:val="baseline"/>
        </w:rPr>
        <w:t> </w:t>
      </w:r>
      <w:r>
        <w:rPr>
          <w:sz w:val="20"/>
          <w:vertAlign w:val="baseline"/>
        </w:rPr>
        <w:t>la</w:t>
      </w:r>
      <w:r>
        <w:rPr>
          <w:spacing w:val="18"/>
          <w:sz w:val="20"/>
          <w:vertAlign w:val="baseline"/>
        </w:rPr>
        <w:t> </w:t>
      </w:r>
      <w:r>
        <w:rPr>
          <w:sz w:val="20"/>
          <w:vertAlign w:val="baseline"/>
        </w:rPr>
        <w:t>capacidad</w:t>
      </w:r>
      <w:r>
        <w:rPr>
          <w:spacing w:val="19"/>
          <w:sz w:val="20"/>
          <w:vertAlign w:val="baseline"/>
        </w:rPr>
        <w:t> </w:t>
      </w:r>
      <w:r>
        <w:rPr>
          <w:sz w:val="20"/>
          <w:vertAlign w:val="baseline"/>
        </w:rPr>
        <w:t>del</w:t>
      </w:r>
      <w:r>
        <w:rPr>
          <w:spacing w:val="16"/>
          <w:sz w:val="20"/>
          <w:vertAlign w:val="baseline"/>
        </w:rPr>
        <w:t> </w:t>
      </w:r>
      <w:r>
        <w:rPr>
          <w:sz w:val="20"/>
          <w:vertAlign w:val="baseline"/>
        </w:rPr>
        <w:t>contenedor</w:t>
      </w:r>
      <w:r>
        <w:rPr>
          <w:spacing w:val="19"/>
          <w:sz w:val="20"/>
          <w:vertAlign w:val="baseline"/>
        </w:rPr>
        <w:t> </w:t>
      </w:r>
      <w:r>
        <w:rPr>
          <w:sz w:val="20"/>
          <w:vertAlign w:val="baseline"/>
        </w:rPr>
        <w:t>de</w:t>
      </w:r>
      <w:r>
        <w:rPr>
          <w:spacing w:val="17"/>
          <w:sz w:val="20"/>
          <w:vertAlign w:val="baseline"/>
        </w:rPr>
        <w:t> </w:t>
      </w:r>
      <w:r>
        <w:rPr>
          <w:sz w:val="20"/>
          <w:vertAlign w:val="baseline"/>
        </w:rPr>
        <w:t>edificio</w:t>
      </w:r>
      <w:r>
        <w:rPr>
          <w:spacing w:val="18"/>
          <w:sz w:val="20"/>
          <w:vertAlign w:val="baseline"/>
        </w:rPr>
        <w:t> </w:t>
      </w:r>
      <w:r>
        <w:rPr>
          <w:sz w:val="20"/>
          <w:vertAlign w:val="baseline"/>
        </w:rPr>
        <w:t>que</w:t>
      </w:r>
      <w:r>
        <w:rPr>
          <w:spacing w:val="17"/>
          <w:sz w:val="20"/>
          <w:vertAlign w:val="baseline"/>
        </w:rPr>
        <w:t> </w:t>
      </w:r>
      <w:r>
        <w:rPr>
          <w:sz w:val="20"/>
          <w:vertAlign w:val="baseline"/>
        </w:rPr>
        <w:t>el</w:t>
      </w:r>
    </w:p>
    <w:p>
      <w:pPr>
        <w:spacing w:line="230" w:lineRule="exact" w:before="0"/>
        <w:ind w:left="1060" w:right="0" w:firstLine="0"/>
        <w:jc w:val="left"/>
        <w:rPr>
          <w:sz w:val="20"/>
        </w:rPr>
      </w:pPr>
      <w:r>
        <w:rPr>
          <w:i/>
          <w:sz w:val="20"/>
        </w:rPr>
        <w:t>servicio de recogida </w:t>
      </w:r>
      <w:r>
        <w:rPr>
          <w:sz w:val="20"/>
        </w:rPr>
        <w:t>exige para cada fracción y que se obtiene de la tabla 2.1;</w:t>
      </w:r>
    </w:p>
    <w:p>
      <w:pPr>
        <w:spacing w:after="0" w:line="230" w:lineRule="exact"/>
        <w:jc w:val="left"/>
        <w:rPr>
          <w:sz w:val="20"/>
        </w:rPr>
        <w:sectPr>
          <w:type w:val="continuous"/>
          <w:pgSz w:w="11910" w:h="16840"/>
          <w:pgMar w:top="1580" w:bottom="280" w:left="1200" w:right="740"/>
        </w:sectPr>
      </w:pPr>
    </w:p>
    <w:p>
      <w:pPr>
        <w:spacing w:before="91" w:after="6"/>
        <w:ind w:left="1182" w:right="831" w:firstLine="0"/>
        <w:jc w:val="center"/>
        <w:rPr>
          <w:b/>
          <w:sz w:val="18"/>
        </w:rPr>
      </w:pPr>
      <w:r>
        <w:rPr>
          <w:b/>
          <w:sz w:val="18"/>
        </w:rPr>
        <w:t>Tabla 2.1 Factor de contenedor</w:t>
      </w:r>
    </w:p>
    <w:tbl>
      <w:tblPr>
        <w:tblW w:w="0" w:type="auto"/>
        <w:jc w:val="left"/>
        <w:tblInd w:w="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7"/>
        <w:gridCol w:w="4366"/>
      </w:tblGrid>
      <w:tr>
        <w:trPr>
          <w:trHeight w:val="422" w:hRule="atLeast"/>
        </w:trPr>
        <w:tc>
          <w:tcPr>
            <w:tcW w:w="4617" w:type="dxa"/>
            <w:tcBorders>
              <w:top w:val="single" w:sz="4" w:space="0" w:color="000000"/>
              <w:bottom w:val="single" w:sz="4" w:space="0" w:color="000000"/>
              <w:right w:val="single" w:sz="4" w:space="0" w:color="000000"/>
            </w:tcBorders>
          </w:tcPr>
          <w:p>
            <w:pPr>
              <w:pStyle w:val="TableParagraph"/>
              <w:spacing w:line="206" w:lineRule="exact" w:before="2"/>
              <w:ind w:left="2160" w:right="683" w:hanging="1442"/>
              <w:jc w:val="left"/>
              <w:rPr>
                <w:b/>
                <w:sz w:val="18"/>
              </w:rPr>
            </w:pPr>
            <w:r>
              <w:rPr>
                <w:b/>
                <w:sz w:val="18"/>
              </w:rPr>
              <w:t>Capacidad del contenedor de edificio en l</w:t>
            </w:r>
          </w:p>
        </w:tc>
        <w:tc>
          <w:tcPr>
            <w:tcW w:w="4366" w:type="dxa"/>
            <w:tcBorders>
              <w:top w:val="single" w:sz="4" w:space="0" w:color="000000"/>
              <w:left w:val="single" w:sz="4" w:space="0" w:color="000000"/>
              <w:bottom w:val="single" w:sz="4" w:space="0" w:color="000000"/>
            </w:tcBorders>
          </w:tcPr>
          <w:p>
            <w:pPr>
              <w:pStyle w:val="TableParagraph"/>
              <w:spacing w:line="206" w:lineRule="exact" w:before="2"/>
              <w:ind w:left="1883" w:right="1887" w:firstLine="208"/>
              <w:jc w:val="left"/>
              <w:rPr>
                <w:b/>
                <w:sz w:val="18"/>
              </w:rPr>
            </w:pPr>
            <w:r>
              <w:rPr>
                <w:b/>
                <w:sz w:val="18"/>
              </w:rPr>
              <w:t>C</w:t>
            </w:r>
            <w:r>
              <w:rPr>
                <w:b/>
                <w:sz w:val="18"/>
                <w:vertAlign w:val="subscript"/>
              </w:rPr>
              <w:t>f</w:t>
            </w:r>
            <w:r>
              <w:rPr>
                <w:b/>
                <w:sz w:val="18"/>
                <w:vertAlign w:val="baseline"/>
              </w:rPr>
              <w:t> en</w:t>
            </w:r>
            <w:r>
              <w:rPr>
                <w:b/>
                <w:spacing w:val="1"/>
                <w:sz w:val="18"/>
                <w:vertAlign w:val="baseline"/>
              </w:rPr>
              <w:t> </w:t>
            </w:r>
            <w:r>
              <w:rPr>
                <w:b/>
                <w:spacing w:val="-4"/>
                <w:sz w:val="18"/>
                <w:vertAlign w:val="baseline"/>
              </w:rPr>
              <w:t>m</w:t>
            </w:r>
            <w:r>
              <w:rPr>
                <w:b/>
                <w:spacing w:val="-4"/>
                <w:sz w:val="18"/>
                <w:vertAlign w:val="superscript"/>
              </w:rPr>
              <w:t>2</w:t>
            </w:r>
            <w:r>
              <w:rPr>
                <w:b/>
                <w:spacing w:val="-4"/>
                <w:sz w:val="18"/>
                <w:vertAlign w:val="baseline"/>
              </w:rPr>
              <w:t>/l</w:t>
            </w:r>
          </w:p>
        </w:tc>
      </w:tr>
      <w:tr>
        <w:trPr>
          <w:trHeight w:val="297" w:hRule="atLeast"/>
        </w:trPr>
        <w:tc>
          <w:tcPr>
            <w:tcW w:w="4617" w:type="dxa"/>
            <w:tcBorders>
              <w:top w:val="single" w:sz="4" w:space="0" w:color="000000"/>
              <w:right w:val="single" w:sz="4" w:space="0" w:color="000000"/>
            </w:tcBorders>
          </w:tcPr>
          <w:p>
            <w:pPr>
              <w:pStyle w:val="TableParagraph"/>
              <w:spacing w:before="57"/>
              <w:ind w:right="2146"/>
              <w:jc w:val="right"/>
              <w:rPr>
                <w:sz w:val="18"/>
              </w:rPr>
            </w:pPr>
            <w:r>
              <w:rPr>
                <w:w w:val="95"/>
                <w:sz w:val="18"/>
              </w:rPr>
              <w:t>120</w:t>
            </w:r>
          </w:p>
        </w:tc>
        <w:tc>
          <w:tcPr>
            <w:tcW w:w="4366" w:type="dxa"/>
            <w:tcBorders>
              <w:top w:val="single" w:sz="4" w:space="0" w:color="000000"/>
              <w:left w:val="single" w:sz="4" w:space="0" w:color="000000"/>
            </w:tcBorders>
          </w:tcPr>
          <w:p>
            <w:pPr>
              <w:pStyle w:val="TableParagraph"/>
              <w:spacing w:before="57"/>
              <w:ind w:left="1882" w:right="1887"/>
              <w:rPr>
                <w:sz w:val="18"/>
              </w:rPr>
            </w:pPr>
            <w:r>
              <w:rPr>
                <w:sz w:val="18"/>
              </w:rPr>
              <w:t>0,0050</w:t>
            </w:r>
          </w:p>
        </w:tc>
      </w:tr>
      <w:tr>
        <w:trPr>
          <w:trHeight w:val="267" w:hRule="atLeast"/>
        </w:trPr>
        <w:tc>
          <w:tcPr>
            <w:tcW w:w="4617" w:type="dxa"/>
            <w:tcBorders>
              <w:right w:val="single" w:sz="4" w:space="0" w:color="000000"/>
            </w:tcBorders>
          </w:tcPr>
          <w:p>
            <w:pPr>
              <w:pStyle w:val="TableParagraph"/>
              <w:spacing w:before="26"/>
              <w:ind w:right="2146"/>
              <w:jc w:val="right"/>
              <w:rPr>
                <w:sz w:val="18"/>
              </w:rPr>
            </w:pPr>
            <w:r>
              <w:rPr>
                <w:w w:val="95"/>
                <w:sz w:val="18"/>
              </w:rPr>
              <w:t>240</w:t>
            </w:r>
          </w:p>
        </w:tc>
        <w:tc>
          <w:tcPr>
            <w:tcW w:w="4366" w:type="dxa"/>
            <w:tcBorders>
              <w:left w:val="single" w:sz="4" w:space="0" w:color="000000"/>
            </w:tcBorders>
          </w:tcPr>
          <w:p>
            <w:pPr>
              <w:pStyle w:val="TableParagraph"/>
              <w:spacing w:before="26"/>
              <w:ind w:left="1882" w:right="1887"/>
              <w:rPr>
                <w:sz w:val="18"/>
              </w:rPr>
            </w:pPr>
            <w:r>
              <w:rPr>
                <w:sz w:val="18"/>
              </w:rPr>
              <w:t>0,0042</w:t>
            </w:r>
          </w:p>
        </w:tc>
      </w:tr>
      <w:tr>
        <w:trPr>
          <w:trHeight w:val="267" w:hRule="atLeast"/>
        </w:trPr>
        <w:tc>
          <w:tcPr>
            <w:tcW w:w="4617" w:type="dxa"/>
            <w:tcBorders>
              <w:right w:val="single" w:sz="4" w:space="0" w:color="000000"/>
            </w:tcBorders>
          </w:tcPr>
          <w:p>
            <w:pPr>
              <w:pStyle w:val="TableParagraph"/>
              <w:spacing w:before="27"/>
              <w:ind w:right="2146"/>
              <w:jc w:val="right"/>
              <w:rPr>
                <w:sz w:val="18"/>
              </w:rPr>
            </w:pPr>
            <w:r>
              <w:rPr>
                <w:w w:val="95"/>
                <w:sz w:val="18"/>
              </w:rPr>
              <w:t>330</w:t>
            </w:r>
          </w:p>
        </w:tc>
        <w:tc>
          <w:tcPr>
            <w:tcW w:w="4366" w:type="dxa"/>
            <w:tcBorders>
              <w:left w:val="single" w:sz="4" w:space="0" w:color="000000"/>
            </w:tcBorders>
          </w:tcPr>
          <w:p>
            <w:pPr>
              <w:pStyle w:val="TableParagraph"/>
              <w:spacing w:before="27"/>
              <w:ind w:left="1882" w:right="1887"/>
              <w:rPr>
                <w:sz w:val="18"/>
              </w:rPr>
            </w:pPr>
            <w:r>
              <w:rPr>
                <w:sz w:val="18"/>
              </w:rPr>
              <w:t>0,0036</w:t>
            </w:r>
          </w:p>
        </w:tc>
      </w:tr>
      <w:tr>
        <w:trPr>
          <w:trHeight w:val="267" w:hRule="atLeast"/>
        </w:trPr>
        <w:tc>
          <w:tcPr>
            <w:tcW w:w="4617" w:type="dxa"/>
            <w:tcBorders>
              <w:right w:val="single" w:sz="4" w:space="0" w:color="000000"/>
            </w:tcBorders>
          </w:tcPr>
          <w:p>
            <w:pPr>
              <w:pStyle w:val="TableParagraph"/>
              <w:spacing w:before="26"/>
              <w:ind w:right="2146"/>
              <w:jc w:val="right"/>
              <w:rPr>
                <w:sz w:val="18"/>
              </w:rPr>
            </w:pPr>
            <w:r>
              <w:rPr>
                <w:w w:val="95"/>
                <w:sz w:val="18"/>
              </w:rPr>
              <w:t>600</w:t>
            </w:r>
          </w:p>
        </w:tc>
        <w:tc>
          <w:tcPr>
            <w:tcW w:w="4366" w:type="dxa"/>
            <w:tcBorders>
              <w:left w:val="single" w:sz="4" w:space="0" w:color="000000"/>
            </w:tcBorders>
          </w:tcPr>
          <w:p>
            <w:pPr>
              <w:pStyle w:val="TableParagraph"/>
              <w:spacing w:before="26"/>
              <w:ind w:left="1882" w:right="1887"/>
              <w:rPr>
                <w:sz w:val="18"/>
              </w:rPr>
            </w:pPr>
            <w:r>
              <w:rPr>
                <w:sz w:val="18"/>
              </w:rPr>
              <w:t>0,0033</w:t>
            </w:r>
          </w:p>
        </w:tc>
      </w:tr>
      <w:tr>
        <w:trPr>
          <w:trHeight w:val="266" w:hRule="atLeast"/>
        </w:trPr>
        <w:tc>
          <w:tcPr>
            <w:tcW w:w="4617" w:type="dxa"/>
            <w:tcBorders>
              <w:right w:val="single" w:sz="4" w:space="0" w:color="000000"/>
            </w:tcBorders>
          </w:tcPr>
          <w:p>
            <w:pPr>
              <w:pStyle w:val="TableParagraph"/>
              <w:spacing w:before="27"/>
              <w:ind w:right="2146"/>
              <w:jc w:val="right"/>
              <w:rPr>
                <w:sz w:val="18"/>
              </w:rPr>
            </w:pPr>
            <w:r>
              <w:rPr>
                <w:w w:val="95"/>
                <w:sz w:val="18"/>
              </w:rPr>
              <w:t>800</w:t>
            </w:r>
          </w:p>
        </w:tc>
        <w:tc>
          <w:tcPr>
            <w:tcW w:w="4366" w:type="dxa"/>
            <w:tcBorders>
              <w:left w:val="single" w:sz="4" w:space="0" w:color="000000"/>
            </w:tcBorders>
          </w:tcPr>
          <w:p>
            <w:pPr>
              <w:pStyle w:val="TableParagraph"/>
              <w:spacing w:before="27"/>
              <w:ind w:left="1882" w:right="1887"/>
              <w:rPr>
                <w:sz w:val="18"/>
              </w:rPr>
            </w:pPr>
            <w:r>
              <w:rPr>
                <w:sz w:val="18"/>
              </w:rPr>
              <w:t>0,0030</w:t>
            </w:r>
          </w:p>
        </w:tc>
      </w:tr>
      <w:tr>
        <w:trPr>
          <w:trHeight w:val="236" w:hRule="atLeast"/>
        </w:trPr>
        <w:tc>
          <w:tcPr>
            <w:tcW w:w="4617" w:type="dxa"/>
            <w:tcBorders>
              <w:bottom w:val="single" w:sz="4" w:space="0" w:color="000000"/>
              <w:right w:val="single" w:sz="4" w:space="0" w:color="000000"/>
            </w:tcBorders>
          </w:tcPr>
          <w:p>
            <w:pPr>
              <w:pStyle w:val="TableParagraph"/>
              <w:spacing w:line="189" w:lineRule="exact" w:before="26"/>
              <w:ind w:right="2070"/>
              <w:jc w:val="right"/>
              <w:rPr>
                <w:sz w:val="18"/>
              </w:rPr>
            </w:pPr>
            <w:r>
              <w:rPr>
                <w:sz w:val="18"/>
              </w:rPr>
              <w:t>1.100</w:t>
            </w:r>
          </w:p>
        </w:tc>
        <w:tc>
          <w:tcPr>
            <w:tcW w:w="4366" w:type="dxa"/>
            <w:tcBorders>
              <w:left w:val="single" w:sz="4" w:space="0" w:color="000000"/>
              <w:bottom w:val="single" w:sz="4" w:space="0" w:color="000000"/>
            </w:tcBorders>
          </w:tcPr>
          <w:p>
            <w:pPr>
              <w:pStyle w:val="TableParagraph"/>
              <w:spacing w:line="189" w:lineRule="exact" w:before="26"/>
              <w:ind w:left="1882" w:right="1887"/>
              <w:rPr>
                <w:sz w:val="18"/>
              </w:rPr>
            </w:pPr>
            <w:r>
              <w:rPr>
                <w:sz w:val="18"/>
              </w:rPr>
              <w:t>0,0027</w:t>
            </w:r>
          </w:p>
        </w:tc>
      </w:tr>
    </w:tbl>
    <w:p>
      <w:pPr>
        <w:pStyle w:val="BodyText"/>
        <w:spacing w:before="9"/>
        <w:rPr>
          <w:b/>
          <w:sz w:val="19"/>
        </w:rPr>
      </w:pPr>
    </w:p>
    <w:p>
      <w:pPr>
        <w:pStyle w:val="BodyText"/>
        <w:ind w:left="1058" w:right="390" w:hanging="387"/>
        <w:jc w:val="both"/>
      </w:pPr>
      <w:r>
        <w:rPr/>
        <w:t>M</w:t>
      </w:r>
      <w:r>
        <w:rPr>
          <w:vertAlign w:val="subscript"/>
        </w:rPr>
        <w:t>f</w:t>
      </w:r>
      <w:r>
        <w:rPr>
          <w:vertAlign w:val="baseline"/>
        </w:rPr>
        <w:t> un factor de mayoración que se utiliza para tener en cuenta que no todos los ocupantes del edi- ficio separan los </w:t>
      </w:r>
      <w:r>
        <w:rPr>
          <w:i/>
          <w:vertAlign w:val="baseline"/>
        </w:rPr>
        <w:t>residuos </w:t>
      </w:r>
      <w:r>
        <w:rPr>
          <w:vertAlign w:val="baseline"/>
        </w:rPr>
        <w:t>y que es igual a 4 para la fracción varios y a 1 para las demás frac- ciones.</w:t>
      </w:r>
    </w:p>
    <w:p>
      <w:pPr>
        <w:pStyle w:val="ListParagraph"/>
        <w:numPr>
          <w:ilvl w:val="0"/>
          <w:numId w:val="102"/>
        </w:numPr>
        <w:tabs>
          <w:tab w:pos="673" w:val="left" w:leader="none"/>
        </w:tabs>
        <w:spacing w:line="240" w:lineRule="auto" w:before="60" w:after="0"/>
        <w:ind w:left="672" w:right="390" w:hanging="454"/>
        <w:jc w:val="both"/>
        <w:rPr>
          <w:sz w:val="20"/>
        </w:rPr>
      </w:pPr>
      <w:r>
        <w:rPr>
          <w:sz w:val="20"/>
        </w:rPr>
        <w:t>Con independencia de lo anteriormente expuesto, la superficie útil del almacén debe ser como mí- nimo la que permita el manejo adecuado de los</w:t>
      </w:r>
      <w:r>
        <w:rPr>
          <w:spacing w:val="-25"/>
          <w:sz w:val="20"/>
        </w:rPr>
        <w:t> </w:t>
      </w:r>
      <w:r>
        <w:rPr>
          <w:sz w:val="20"/>
        </w:rPr>
        <w:t>contenedores.</w:t>
      </w:r>
    </w:p>
    <w:p>
      <w:pPr>
        <w:pStyle w:val="BodyText"/>
        <w:spacing w:before="5"/>
        <w:rPr>
          <w:sz w:val="17"/>
        </w:rPr>
      </w:pPr>
    </w:p>
    <w:p>
      <w:pPr>
        <w:pStyle w:val="Heading5"/>
        <w:numPr>
          <w:ilvl w:val="3"/>
          <w:numId w:val="99"/>
        </w:numPr>
        <w:tabs>
          <w:tab w:pos="928" w:val="left" w:leader="none"/>
        </w:tabs>
        <w:spacing w:line="240" w:lineRule="auto" w:before="1" w:after="0"/>
        <w:ind w:left="928" w:right="0" w:hanging="710"/>
        <w:jc w:val="left"/>
      </w:pPr>
      <w:r>
        <w:rPr/>
        <w:t>Superficie del espacio de</w:t>
      </w:r>
      <w:r>
        <w:rPr>
          <w:spacing w:val="-3"/>
        </w:rPr>
        <w:t> </w:t>
      </w:r>
      <w:r>
        <w:rPr/>
        <w:t>reserva</w:t>
      </w:r>
    </w:p>
    <w:p>
      <w:pPr>
        <w:pStyle w:val="ListParagraph"/>
        <w:numPr>
          <w:ilvl w:val="0"/>
          <w:numId w:val="103"/>
        </w:numPr>
        <w:tabs>
          <w:tab w:pos="672" w:val="left" w:leader="none"/>
          <w:tab w:pos="673" w:val="left" w:leader="none"/>
        </w:tabs>
        <w:spacing w:line="240" w:lineRule="auto" w:before="98" w:after="0"/>
        <w:ind w:left="672" w:right="0" w:hanging="455"/>
        <w:jc w:val="left"/>
        <w:rPr>
          <w:sz w:val="20"/>
        </w:rPr>
      </w:pPr>
      <w:r>
        <w:rPr>
          <w:sz w:val="20"/>
        </w:rPr>
        <w:t>La superficie de reserva debe calcularse mediante la fórmula</w:t>
      </w:r>
      <w:r>
        <w:rPr>
          <w:spacing w:val="-6"/>
          <w:sz w:val="20"/>
        </w:rPr>
        <w:t> </w:t>
      </w:r>
      <w:r>
        <w:rPr>
          <w:sz w:val="20"/>
        </w:rPr>
        <w:t>siguiente:</w:t>
      </w:r>
    </w:p>
    <w:p>
      <w:pPr>
        <w:spacing w:after="0" w:line="240" w:lineRule="auto"/>
        <w:jc w:val="left"/>
        <w:rPr>
          <w:sz w:val="20"/>
        </w:rPr>
        <w:sectPr>
          <w:pgSz w:w="11910" w:h="16840"/>
          <w:pgMar w:header="724" w:footer="636" w:top="1320" w:bottom="840" w:left="1200" w:right="740"/>
        </w:sectPr>
      </w:pPr>
    </w:p>
    <w:p>
      <w:pPr>
        <w:spacing w:before="19"/>
        <w:ind w:left="712" w:right="0" w:firstLine="0"/>
        <w:jc w:val="left"/>
        <w:rPr>
          <w:rFonts w:ascii="Times New Roman" w:hAnsi="Times New Roman"/>
          <w:i/>
          <w:sz w:val="14"/>
        </w:rPr>
      </w:pPr>
      <w:r>
        <w:rPr>
          <w:rFonts w:ascii="Times New Roman" w:hAnsi="Times New Roman"/>
          <w:i/>
          <w:spacing w:val="19"/>
          <w:w w:val="104"/>
          <w:sz w:val="24"/>
        </w:rPr>
        <w:t>S</w:t>
      </w:r>
      <w:r>
        <w:rPr>
          <w:rFonts w:ascii="Times New Roman" w:hAnsi="Times New Roman"/>
          <w:i/>
          <w:w w:val="104"/>
          <w:position w:val="-5"/>
          <w:sz w:val="14"/>
        </w:rPr>
        <w:t>R</w:t>
      </w:r>
      <w:r>
        <w:rPr>
          <w:rFonts w:ascii="Times New Roman" w:hAnsi="Times New Roman"/>
          <w:i/>
          <w:position w:val="-5"/>
          <w:sz w:val="14"/>
        </w:rPr>
        <w:t>  </w:t>
      </w:r>
      <w:r>
        <w:rPr>
          <w:rFonts w:ascii="Times New Roman" w:hAnsi="Times New Roman"/>
          <w:i/>
          <w:spacing w:val="-17"/>
          <w:position w:val="-5"/>
          <w:sz w:val="14"/>
        </w:rPr>
        <w:t> </w:t>
      </w:r>
      <w:r>
        <w:rPr>
          <w:rFonts w:ascii="Symbol" w:hAnsi="Symbol"/>
          <w:w w:val="104"/>
          <w:sz w:val="24"/>
        </w:rPr>
        <w:t></w:t>
      </w:r>
      <w:r>
        <w:rPr>
          <w:rFonts w:ascii="Times New Roman" w:hAnsi="Times New Roman"/>
          <w:spacing w:val="-5"/>
          <w:sz w:val="24"/>
        </w:rPr>
        <w:t> </w:t>
      </w:r>
      <w:r>
        <w:rPr>
          <w:rFonts w:ascii="Times New Roman" w:hAnsi="Times New Roman"/>
          <w:i/>
          <w:w w:val="104"/>
          <w:sz w:val="24"/>
        </w:rPr>
        <w:t>P</w:t>
      </w:r>
      <w:r>
        <w:rPr>
          <w:rFonts w:ascii="Times New Roman" w:hAnsi="Times New Roman"/>
          <w:i/>
          <w:spacing w:val="-21"/>
          <w:sz w:val="24"/>
        </w:rPr>
        <w:t> </w:t>
      </w:r>
      <w:r>
        <w:rPr>
          <w:rFonts w:ascii="Symbol" w:hAnsi="Symbol"/>
          <w:w w:val="104"/>
          <w:sz w:val="24"/>
        </w:rPr>
        <w:t></w:t>
      </w:r>
      <w:r>
        <w:rPr>
          <w:rFonts w:ascii="Times New Roman" w:hAnsi="Times New Roman"/>
          <w:spacing w:val="-23"/>
          <w:sz w:val="24"/>
        </w:rPr>
        <w:t> </w:t>
      </w:r>
      <w:r>
        <w:rPr>
          <w:rFonts w:ascii="Symbol" w:hAnsi="Symbol"/>
          <w:spacing w:val="17"/>
          <w:w w:val="107"/>
          <w:position w:val="-4"/>
          <w:sz w:val="35"/>
        </w:rPr>
        <w:t></w:t>
      </w:r>
      <w:r>
        <w:rPr>
          <w:rFonts w:ascii="Times New Roman" w:hAnsi="Times New Roman"/>
          <w:spacing w:val="6"/>
          <w:w w:val="104"/>
          <w:sz w:val="24"/>
        </w:rPr>
        <w:t>(</w:t>
      </w:r>
      <w:r>
        <w:rPr>
          <w:rFonts w:ascii="Times New Roman" w:hAnsi="Times New Roman"/>
          <w:i/>
          <w:spacing w:val="10"/>
          <w:w w:val="104"/>
          <w:sz w:val="24"/>
        </w:rPr>
        <w:t>F</w:t>
      </w:r>
      <w:r>
        <w:rPr>
          <w:rFonts w:ascii="Times New Roman" w:hAnsi="Times New Roman"/>
          <w:i/>
          <w:spacing w:val="-4"/>
          <w:w w:val="104"/>
          <w:position w:val="-5"/>
          <w:sz w:val="14"/>
        </w:rPr>
        <w:t>f</w:t>
      </w:r>
    </w:p>
    <w:p>
      <w:pPr>
        <w:pStyle w:val="BodyText"/>
        <w:spacing w:before="69"/>
        <w:ind w:left="672"/>
      </w:pPr>
      <w:r>
        <w:rPr/>
        <w:t>siendo</w:t>
      </w:r>
    </w:p>
    <w:p>
      <w:pPr>
        <w:spacing w:before="79"/>
        <w:ind w:left="67" w:right="0" w:firstLine="0"/>
        <w:jc w:val="left"/>
        <w:rPr>
          <w:rFonts w:ascii="Times New Roman" w:hAnsi="Times New Roman"/>
          <w:sz w:val="24"/>
        </w:rPr>
      </w:pPr>
      <w:r>
        <w:rPr/>
        <w:br w:type="column"/>
      </w:r>
      <w:r>
        <w:rPr>
          <w:rFonts w:ascii="Symbol" w:hAnsi="Symbol"/>
          <w:w w:val="105"/>
          <w:sz w:val="24"/>
        </w:rPr>
        <w:t></w:t>
      </w:r>
      <w:r>
        <w:rPr>
          <w:rFonts w:ascii="Times New Roman" w:hAnsi="Times New Roman"/>
          <w:w w:val="105"/>
          <w:sz w:val="24"/>
        </w:rPr>
        <w:t> </w:t>
      </w:r>
      <w:r>
        <w:rPr>
          <w:rFonts w:ascii="Times New Roman" w:hAnsi="Times New Roman"/>
          <w:i/>
          <w:w w:val="105"/>
          <w:sz w:val="24"/>
        </w:rPr>
        <w:t>M </w:t>
      </w:r>
      <w:r>
        <w:rPr>
          <w:rFonts w:ascii="Times New Roman" w:hAnsi="Times New Roman"/>
          <w:i/>
          <w:w w:val="105"/>
          <w:position w:val="-5"/>
          <w:sz w:val="14"/>
        </w:rPr>
        <w:t>f </w:t>
      </w:r>
      <w:r>
        <w:rPr>
          <w:rFonts w:ascii="Times New Roman" w:hAnsi="Times New Roman"/>
          <w:w w:val="105"/>
          <w:sz w:val="24"/>
        </w:rPr>
        <w:t>)</w:t>
      </w:r>
    </w:p>
    <w:p>
      <w:pPr>
        <w:pStyle w:val="BodyText"/>
        <w:spacing w:before="132"/>
        <w:ind w:left="248"/>
      </w:pPr>
      <w:r>
        <w:rPr/>
        <w:br w:type="column"/>
      </w:r>
      <w:r>
        <w:rPr/>
        <w:t>(2.2)</w:t>
      </w:r>
    </w:p>
    <w:p>
      <w:pPr>
        <w:spacing w:after="0"/>
        <w:sectPr>
          <w:type w:val="continuous"/>
          <w:pgSz w:w="11910" w:h="16840"/>
          <w:pgMar w:top="1580" w:bottom="280" w:left="1200" w:right="740"/>
          <w:cols w:num="3" w:equalWidth="0">
            <w:col w:w="2115" w:space="40"/>
            <w:col w:w="632" w:space="39"/>
            <w:col w:w="7144"/>
          </w:cols>
        </w:sectPr>
      </w:pPr>
    </w:p>
    <w:p>
      <w:pPr>
        <w:pStyle w:val="BodyText"/>
        <w:spacing w:before="61"/>
        <w:ind w:left="672"/>
      </w:pPr>
      <w:r>
        <w:rPr/>
        <w:t>S</w:t>
      </w:r>
      <w:r>
        <w:rPr>
          <w:vertAlign w:val="subscript"/>
        </w:rPr>
        <w:t>R</w:t>
      </w:r>
      <w:r>
        <w:rPr>
          <w:vertAlign w:val="baseline"/>
        </w:rPr>
        <w:t> la superficie de reserva [m</w:t>
      </w:r>
      <w:r>
        <w:rPr>
          <w:vertAlign w:val="superscript"/>
        </w:rPr>
        <w:t>2</w:t>
      </w:r>
      <w:r>
        <w:rPr>
          <w:vertAlign w:val="baseline"/>
        </w:rPr>
        <w:t>];</w:t>
      </w:r>
    </w:p>
    <w:p>
      <w:pPr>
        <w:pStyle w:val="BodyText"/>
        <w:spacing w:before="60"/>
        <w:ind w:left="1058" w:right="389" w:hanging="387"/>
        <w:jc w:val="both"/>
      </w:pPr>
      <w:r>
        <w:rPr/>
        <w:t>P  el número estimado de ocupantes habituales del edificio que equivale a la suma del número to- tal de dormitorios sencillos y el doble de número total de dormitorios</w:t>
      </w:r>
      <w:r>
        <w:rPr>
          <w:spacing w:val="-9"/>
        </w:rPr>
        <w:t> </w:t>
      </w:r>
      <w:r>
        <w:rPr/>
        <w:t>dobles;</w:t>
      </w:r>
    </w:p>
    <w:p>
      <w:pPr>
        <w:tabs>
          <w:tab w:pos="1058" w:val="left" w:leader="none"/>
        </w:tabs>
        <w:spacing w:before="60"/>
        <w:ind w:left="672" w:right="0" w:firstLine="0"/>
        <w:jc w:val="left"/>
        <w:rPr>
          <w:sz w:val="20"/>
        </w:rPr>
      </w:pPr>
      <w:r>
        <w:rPr>
          <w:sz w:val="20"/>
        </w:rPr>
        <w:t>F</w:t>
      </w:r>
      <w:r>
        <w:rPr>
          <w:sz w:val="20"/>
          <w:vertAlign w:val="subscript"/>
        </w:rPr>
        <w:t>f</w:t>
      </w:r>
      <w:r>
        <w:rPr>
          <w:sz w:val="20"/>
          <w:vertAlign w:val="baseline"/>
        </w:rPr>
        <w:tab/>
        <w:t>el </w:t>
      </w:r>
      <w:r>
        <w:rPr>
          <w:i/>
          <w:sz w:val="20"/>
          <w:vertAlign w:val="baseline"/>
        </w:rPr>
        <w:t>factor de fracción </w:t>
      </w:r>
      <w:r>
        <w:rPr>
          <w:sz w:val="20"/>
          <w:vertAlign w:val="baseline"/>
        </w:rPr>
        <w:t>[m</w:t>
      </w:r>
      <w:r>
        <w:rPr>
          <w:sz w:val="20"/>
          <w:vertAlign w:val="superscript"/>
        </w:rPr>
        <w:t>2</w:t>
      </w:r>
      <w:r>
        <w:rPr>
          <w:sz w:val="20"/>
          <w:vertAlign w:val="baseline"/>
        </w:rPr>
        <w:t>/persona], que se obtiene de la tabla</w:t>
      </w:r>
      <w:r>
        <w:rPr>
          <w:spacing w:val="-4"/>
          <w:sz w:val="20"/>
          <w:vertAlign w:val="baseline"/>
        </w:rPr>
        <w:t> </w:t>
      </w:r>
      <w:r>
        <w:rPr>
          <w:sz w:val="20"/>
          <w:vertAlign w:val="baseline"/>
        </w:rPr>
        <w:t>2.2.</w:t>
      </w:r>
    </w:p>
    <w:p>
      <w:pPr>
        <w:pStyle w:val="BodyText"/>
        <w:spacing w:before="1"/>
        <w:rPr>
          <w:sz w:val="25"/>
        </w:rPr>
      </w:pPr>
    </w:p>
    <w:p>
      <w:pPr>
        <w:spacing w:before="0" w:after="4"/>
        <w:ind w:left="1182" w:right="833" w:firstLine="0"/>
        <w:jc w:val="center"/>
        <w:rPr>
          <w:b/>
          <w:sz w:val="18"/>
        </w:rPr>
      </w:pPr>
      <w:r>
        <w:rPr>
          <w:b/>
          <w:sz w:val="18"/>
        </w:rPr>
        <w:t>Tabla 2.2 Factor de fracción</w:t>
      </w:r>
    </w:p>
    <w:tbl>
      <w:tblPr>
        <w:tblW w:w="0" w:type="auto"/>
        <w:jc w:val="left"/>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0"/>
        <w:gridCol w:w="4572"/>
      </w:tblGrid>
      <w:tr>
        <w:trPr>
          <w:trHeight w:val="413" w:hRule="atLeast"/>
        </w:trPr>
        <w:tc>
          <w:tcPr>
            <w:tcW w:w="4410" w:type="dxa"/>
            <w:tcBorders>
              <w:left w:val="nil"/>
            </w:tcBorders>
          </w:tcPr>
          <w:p>
            <w:pPr>
              <w:pStyle w:val="TableParagraph"/>
              <w:spacing w:line="204" w:lineRule="exact"/>
              <w:ind w:left="1691" w:right="1366"/>
              <w:rPr>
                <w:b/>
                <w:sz w:val="18"/>
              </w:rPr>
            </w:pPr>
            <w:r>
              <w:rPr>
                <w:b/>
                <w:sz w:val="18"/>
              </w:rPr>
              <w:t>Fracción</w:t>
            </w:r>
          </w:p>
        </w:tc>
        <w:tc>
          <w:tcPr>
            <w:tcW w:w="4572" w:type="dxa"/>
            <w:tcBorders>
              <w:right w:val="nil"/>
            </w:tcBorders>
          </w:tcPr>
          <w:p>
            <w:pPr>
              <w:pStyle w:val="TableParagraph"/>
              <w:spacing w:line="204" w:lineRule="exact"/>
              <w:ind w:left="1643" w:right="1645"/>
              <w:rPr>
                <w:b/>
                <w:sz w:val="18"/>
              </w:rPr>
            </w:pPr>
            <w:r>
              <w:rPr>
                <w:b/>
                <w:sz w:val="18"/>
              </w:rPr>
              <w:t>F</w:t>
            </w:r>
            <w:r>
              <w:rPr>
                <w:b/>
                <w:sz w:val="18"/>
                <w:vertAlign w:val="subscript"/>
              </w:rPr>
              <w:t>f</w:t>
            </w:r>
          </w:p>
          <w:p>
            <w:pPr>
              <w:pStyle w:val="TableParagraph"/>
              <w:spacing w:line="189" w:lineRule="exact"/>
              <w:ind w:left="1643" w:right="1647"/>
              <w:rPr>
                <w:b/>
                <w:sz w:val="18"/>
              </w:rPr>
            </w:pPr>
            <w:r>
              <w:rPr>
                <w:b/>
                <w:sz w:val="18"/>
              </w:rPr>
              <w:t>en m</w:t>
            </w:r>
            <w:r>
              <w:rPr>
                <w:b/>
                <w:sz w:val="18"/>
                <w:vertAlign w:val="superscript"/>
              </w:rPr>
              <w:t>2</w:t>
            </w:r>
            <w:r>
              <w:rPr>
                <w:b/>
                <w:sz w:val="18"/>
                <w:vertAlign w:val="baseline"/>
              </w:rPr>
              <w:t>/persona</w:t>
            </w:r>
          </w:p>
        </w:tc>
      </w:tr>
      <w:tr>
        <w:trPr>
          <w:trHeight w:val="1335" w:hRule="atLeast"/>
        </w:trPr>
        <w:tc>
          <w:tcPr>
            <w:tcW w:w="4410" w:type="dxa"/>
            <w:tcBorders>
              <w:left w:val="nil"/>
            </w:tcBorders>
          </w:tcPr>
          <w:p>
            <w:pPr>
              <w:pStyle w:val="TableParagraph"/>
              <w:spacing w:line="309" w:lineRule="auto" w:before="57"/>
              <w:ind w:left="1695" w:right="1366"/>
              <w:rPr>
                <w:sz w:val="18"/>
              </w:rPr>
            </w:pPr>
            <w:r>
              <w:rPr>
                <w:sz w:val="18"/>
              </w:rPr>
              <w:t>Papel / cartón Envases ligeros Materia </w:t>
            </w:r>
            <w:r>
              <w:rPr>
                <w:spacing w:val="-3"/>
                <w:sz w:val="18"/>
              </w:rPr>
              <w:t>orgánica </w:t>
            </w:r>
            <w:r>
              <w:rPr>
                <w:sz w:val="18"/>
              </w:rPr>
              <w:t>Vidrio</w:t>
            </w:r>
          </w:p>
          <w:p>
            <w:pPr>
              <w:pStyle w:val="TableParagraph"/>
              <w:spacing w:line="189" w:lineRule="exact"/>
              <w:ind w:left="1691" w:right="1366"/>
              <w:rPr>
                <w:sz w:val="18"/>
              </w:rPr>
            </w:pPr>
            <w:r>
              <w:rPr>
                <w:sz w:val="18"/>
              </w:rPr>
              <w:t>Varios</w:t>
            </w:r>
          </w:p>
        </w:tc>
        <w:tc>
          <w:tcPr>
            <w:tcW w:w="4572" w:type="dxa"/>
            <w:tcBorders>
              <w:right w:val="nil"/>
            </w:tcBorders>
          </w:tcPr>
          <w:p>
            <w:pPr>
              <w:pStyle w:val="TableParagraph"/>
              <w:spacing w:before="57"/>
              <w:ind w:left="1643" w:right="1645"/>
              <w:rPr>
                <w:sz w:val="18"/>
              </w:rPr>
            </w:pPr>
            <w:r>
              <w:rPr>
                <w:sz w:val="18"/>
              </w:rPr>
              <w:t>0,039</w:t>
            </w:r>
          </w:p>
          <w:p>
            <w:pPr>
              <w:pStyle w:val="TableParagraph"/>
              <w:spacing w:before="61"/>
              <w:ind w:left="1643" w:right="1645"/>
              <w:rPr>
                <w:sz w:val="18"/>
              </w:rPr>
            </w:pPr>
            <w:r>
              <w:rPr>
                <w:sz w:val="18"/>
              </w:rPr>
              <w:t>0,060</w:t>
            </w:r>
          </w:p>
          <w:p>
            <w:pPr>
              <w:pStyle w:val="TableParagraph"/>
              <w:spacing w:before="59"/>
              <w:ind w:left="1643" w:right="1645"/>
              <w:rPr>
                <w:sz w:val="18"/>
              </w:rPr>
            </w:pPr>
            <w:r>
              <w:rPr>
                <w:sz w:val="18"/>
              </w:rPr>
              <w:t>0,005</w:t>
            </w:r>
          </w:p>
          <w:p>
            <w:pPr>
              <w:pStyle w:val="TableParagraph"/>
              <w:spacing w:before="61"/>
              <w:ind w:left="1643" w:right="1645"/>
              <w:rPr>
                <w:sz w:val="18"/>
              </w:rPr>
            </w:pPr>
            <w:r>
              <w:rPr>
                <w:sz w:val="18"/>
              </w:rPr>
              <w:t>0,012</w:t>
            </w:r>
          </w:p>
          <w:p>
            <w:pPr>
              <w:pStyle w:val="TableParagraph"/>
              <w:spacing w:line="189" w:lineRule="exact" w:before="60"/>
              <w:ind w:left="1643" w:right="1645"/>
              <w:rPr>
                <w:sz w:val="18"/>
              </w:rPr>
            </w:pPr>
            <w:r>
              <w:rPr>
                <w:sz w:val="18"/>
              </w:rPr>
              <w:t>0,038</w:t>
            </w:r>
          </w:p>
        </w:tc>
      </w:tr>
    </w:tbl>
    <w:p>
      <w:pPr>
        <w:pStyle w:val="BodyText"/>
        <w:ind w:left="1058" w:right="390" w:hanging="387"/>
        <w:jc w:val="both"/>
      </w:pPr>
      <w:r>
        <w:rPr/>
        <w:t>M</w:t>
      </w:r>
      <w:r>
        <w:rPr>
          <w:vertAlign w:val="subscript"/>
        </w:rPr>
        <w:t>f</w:t>
      </w:r>
      <w:r>
        <w:rPr>
          <w:vertAlign w:val="baseline"/>
        </w:rPr>
        <w:t> un factor de mayoración que se utiliza para tener en cuenta que no todos los ocupantes del edi- ficio separan los </w:t>
      </w:r>
      <w:r>
        <w:rPr>
          <w:i/>
          <w:vertAlign w:val="baseline"/>
        </w:rPr>
        <w:t>residuos </w:t>
      </w:r>
      <w:r>
        <w:rPr>
          <w:vertAlign w:val="baseline"/>
        </w:rPr>
        <w:t>y que es igual a 4 para la fracción varios y a 1 para las demás frac- ciones.</w:t>
      </w:r>
    </w:p>
    <w:p>
      <w:pPr>
        <w:pStyle w:val="ListParagraph"/>
        <w:numPr>
          <w:ilvl w:val="0"/>
          <w:numId w:val="103"/>
        </w:numPr>
        <w:tabs>
          <w:tab w:pos="673" w:val="left" w:leader="none"/>
        </w:tabs>
        <w:spacing w:line="240" w:lineRule="auto" w:before="60" w:after="0"/>
        <w:ind w:left="672" w:right="392" w:hanging="454"/>
        <w:jc w:val="both"/>
        <w:rPr>
          <w:sz w:val="20"/>
        </w:rPr>
      </w:pPr>
      <w:r>
        <w:rPr>
          <w:sz w:val="20"/>
        </w:rPr>
        <w:t>Con independencia de lo anteriormente expuesto, la superficie de reserva debe ser como mínimo la que permita el manejo adecuado de los</w:t>
      </w:r>
      <w:r>
        <w:rPr>
          <w:spacing w:val="-3"/>
          <w:sz w:val="20"/>
        </w:rPr>
        <w:t> </w:t>
      </w:r>
      <w:r>
        <w:rPr>
          <w:sz w:val="20"/>
        </w:rPr>
        <w:t>contenedores.</w:t>
      </w:r>
    </w:p>
    <w:p>
      <w:pPr>
        <w:pStyle w:val="BodyText"/>
        <w:spacing w:before="5"/>
        <w:rPr>
          <w:sz w:val="17"/>
        </w:rPr>
      </w:pPr>
    </w:p>
    <w:p>
      <w:pPr>
        <w:pStyle w:val="Heading5"/>
        <w:numPr>
          <w:ilvl w:val="2"/>
          <w:numId w:val="99"/>
        </w:numPr>
        <w:tabs>
          <w:tab w:pos="787" w:val="left" w:leader="none"/>
        </w:tabs>
        <w:spacing w:line="240" w:lineRule="auto" w:before="1" w:after="0"/>
        <w:ind w:left="786" w:right="0" w:hanging="569"/>
        <w:jc w:val="both"/>
      </w:pPr>
      <w:r>
        <w:rPr/>
        <w:t>Otras</w:t>
      </w:r>
      <w:r>
        <w:rPr>
          <w:spacing w:val="-1"/>
        </w:rPr>
        <w:t> </w:t>
      </w:r>
      <w:r>
        <w:rPr/>
        <w:t>características</w:t>
      </w:r>
    </w:p>
    <w:p>
      <w:pPr>
        <w:pStyle w:val="BodyText"/>
        <w:spacing w:before="98"/>
        <w:ind w:left="218"/>
        <w:jc w:val="both"/>
      </w:pPr>
      <w:r>
        <w:rPr/>
        <w:t>1 El almacén de contenedores debe tener las siguientes características:</w:t>
      </w:r>
    </w:p>
    <w:p>
      <w:pPr>
        <w:pStyle w:val="ListParagraph"/>
        <w:numPr>
          <w:ilvl w:val="0"/>
          <w:numId w:val="104"/>
        </w:numPr>
        <w:tabs>
          <w:tab w:pos="1126" w:val="left" w:leader="none"/>
        </w:tabs>
        <w:spacing w:line="240" w:lineRule="auto" w:before="61" w:after="0"/>
        <w:ind w:left="1126" w:right="0" w:hanging="454"/>
        <w:jc w:val="both"/>
        <w:rPr>
          <w:sz w:val="20"/>
        </w:rPr>
      </w:pPr>
      <w:r>
        <w:rPr>
          <w:sz w:val="20"/>
        </w:rPr>
        <w:t>su emplazamiento y su diseño deben ser tales que la temperatura interior no supere</w:t>
      </w:r>
      <w:r>
        <w:rPr>
          <w:spacing w:val="-8"/>
          <w:sz w:val="20"/>
        </w:rPr>
        <w:t> </w:t>
      </w:r>
      <w:r>
        <w:rPr>
          <w:sz w:val="20"/>
        </w:rPr>
        <w:t>30º;</w:t>
      </w:r>
    </w:p>
    <w:p>
      <w:pPr>
        <w:pStyle w:val="ListParagraph"/>
        <w:numPr>
          <w:ilvl w:val="0"/>
          <w:numId w:val="104"/>
        </w:numPr>
        <w:tabs>
          <w:tab w:pos="1126" w:val="left" w:leader="none"/>
        </w:tabs>
        <w:spacing w:line="240" w:lineRule="auto" w:before="59" w:after="0"/>
        <w:ind w:left="1126" w:right="389" w:hanging="454"/>
        <w:jc w:val="both"/>
        <w:rPr>
          <w:sz w:val="20"/>
        </w:rPr>
      </w:pPr>
      <w:r>
        <w:rPr>
          <w:sz w:val="20"/>
        </w:rPr>
        <w:t>el revestimiento de las paredes y el suelo debe ser impermeable y fácil de limpiar; los encuen- tros entre las paredes y el suelo deben ser</w:t>
      </w:r>
      <w:r>
        <w:rPr>
          <w:spacing w:val="-6"/>
          <w:sz w:val="20"/>
        </w:rPr>
        <w:t> </w:t>
      </w:r>
      <w:r>
        <w:rPr>
          <w:sz w:val="20"/>
        </w:rPr>
        <w:t>redondeados;</w:t>
      </w:r>
    </w:p>
    <w:p>
      <w:pPr>
        <w:pStyle w:val="ListParagraph"/>
        <w:numPr>
          <w:ilvl w:val="0"/>
          <w:numId w:val="104"/>
        </w:numPr>
        <w:tabs>
          <w:tab w:pos="1126" w:val="left" w:leader="none"/>
        </w:tabs>
        <w:spacing w:line="240" w:lineRule="auto" w:before="61" w:after="0"/>
        <w:ind w:left="1126" w:right="391" w:hanging="454"/>
        <w:jc w:val="both"/>
        <w:rPr>
          <w:sz w:val="20"/>
        </w:rPr>
      </w:pPr>
      <w:r>
        <w:rPr>
          <w:sz w:val="20"/>
        </w:rPr>
        <w:t>debe contar al menos con una toma de agua dotada de válvula de cierre y un sumidero sifóni- co antimúridos en el</w:t>
      </w:r>
      <w:r>
        <w:rPr>
          <w:spacing w:val="-1"/>
          <w:sz w:val="20"/>
        </w:rPr>
        <w:t> </w:t>
      </w:r>
      <w:r>
        <w:rPr>
          <w:sz w:val="20"/>
        </w:rPr>
        <w:t>suelo;</w:t>
      </w:r>
    </w:p>
    <w:p>
      <w:pPr>
        <w:pStyle w:val="ListParagraph"/>
        <w:numPr>
          <w:ilvl w:val="0"/>
          <w:numId w:val="104"/>
        </w:numPr>
        <w:tabs>
          <w:tab w:pos="1126" w:val="left" w:leader="none"/>
        </w:tabs>
        <w:spacing w:line="240" w:lineRule="auto" w:before="59" w:after="0"/>
        <w:ind w:left="1126" w:right="396" w:hanging="454"/>
        <w:jc w:val="both"/>
        <w:rPr>
          <w:sz w:val="20"/>
        </w:rPr>
      </w:pPr>
      <w:r>
        <w:rPr>
          <w:sz w:val="20"/>
        </w:rPr>
        <w:t>debe disponer de una iluminación artificial que proporcione 100 lux como mínimo a una altura respecto del suelo de 1 m y de una base de enchufe fija 16A 2p+T según UNE</w:t>
      </w:r>
      <w:r>
        <w:rPr>
          <w:spacing w:val="-10"/>
          <w:sz w:val="20"/>
        </w:rPr>
        <w:t> </w:t>
      </w:r>
      <w:r>
        <w:rPr>
          <w:sz w:val="20"/>
        </w:rPr>
        <w:t>20.315:1994;</w:t>
      </w:r>
    </w:p>
    <w:p>
      <w:pPr>
        <w:pStyle w:val="ListParagraph"/>
        <w:numPr>
          <w:ilvl w:val="0"/>
          <w:numId w:val="104"/>
        </w:numPr>
        <w:tabs>
          <w:tab w:pos="1126" w:val="left" w:leader="none"/>
        </w:tabs>
        <w:spacing w:line="240" w:lineRule="auto" w:before="60" w:after="0"/>
        <w:ind w:left="1126" w:right="396" w:hanging="454"/>
        <w:jc w:val="both"/>
        <w:rPr>
          <w:sz w:val="20"/>
        </w:rPr>
      </w:pPr>
      <w:r>
        <w:rPr>
          <w:sz w:val="20"/>
        </w:rPr>
        <w:t>satisfará las condiciones de protección contra incendios que se establecen para los almacenes de residuos en el apartado 2 de la Sección SI-1 del DB-SI Seguridad en caso de</w:t>
      </w:r>
      <w:r>
        <w:rPr>
          <w:spacing w:val="-10"/>
          <w:sz w:val="20"/>
        </w:rPr>
        <w:t> </w:t>
      </w:r>
      <w:r>
        <w:rPr>
          <w:sz w:val="20"/>
        </w:rPr>
        <w:t>incendio;</w:t>
      </w:r>
    </w:p>
    <w:p>
      <w:pPr>
        <w:pStyle w:val="ListParagraph"/>
        <w:numPr>
          <w:ilvl w:val="0"/>
          <w:numId w:val="104"/>
        </w:numPr>
        <w:tabs>
          <w:tab w:pos="1126" w:val="left" w:leader="none"/>
        </w:tabs>
        <w:spacing w:line="240" w:lineRule="auto" w:before="61" w:after="0"/>
        <w:ind w:left="1126" w:right="391" w:hanging="454"/>
        <w:jc w:val="both"/>
        <w:rPr>
          <w:sz w:val="20"/>
        </w:rPr>
      </w:pPr>
      <w:r>
        <w:rPr>
          <w:sz w:val="20"/>
        </w:rPr>
        <w:t>en el caso de traslado de </w:t>
      </w:r>
      <w:r>
        <w:rPr>
          <w:i/>
          <w:sz w:val="20"/>
        </w:rPr>
        <w:t>residuos </w:t>
      </w:r>
      <w:r>
        <w:rPr>
          <w:sz w:val="20"/>
        </w:rPr>
        <w:t>por </w:t>
      </w:r>
      <w:r>
        <w:rPr>
          <w:i/>
          <w:sz w:val="20"/>
        </w:rPr>
        <w:t>bajante</w:t>
      </w:r>
      <w:r>
        <w:rPr>
          <w:sz w:val="20"/>
        </w:rPr>
        <w:t>, si se dispone una tolva intermedia para alma- cenar los </w:t>
      </w:r>
      <w:r>
        <w:rPr>
          <w:i/>
          <w:sz w:val="20"/>
        </w:rPr>
        <w:t>residuos </w:t>
      </w:r>
      <w:r>
        <w:rPr>
          <w:sz w:val="20"/>
        </w:rPr>
        <w:t>hasta su paso a los contenedores, ésta debe ir provista de una compuerta para su vaciado y limpieza, así como de un punto de luz que proporcione 1.000 lúmenes situa- do en su interior sobre la compuerta, y cuyo interruptor esté situado fuera de la</w:t>
      </w:r>
      <w:r>
        <w:rPr>
          <w:spacing w:val="-9"/>
          <w:sz w:val="20"/>
        </w:rPr>
        <w:t> </w:t>
      </w:r>
      <w:r>
        <w:rPr>
          <w:sz w:val="20"/>
        </w:rPr>
        <w:t>tolva..</w:t>
      </w:r>
    </w:p>
    <w:p>
      <w:pPr>
        <w:spacing w:after="0" w:line="240" w:lineRule="auto"/>
        <w:jc w:val="both"/>
        <w:rPr>
          <w:sz w:val="20"/>
        </w:rPr>
        <w:sectPr>
          <w:type w:val="continuous"/>
          <w:pgSz w:w="11910" w:h="16840"/>
          <w:pgMar w:top="1580" w:bottom="280" w:left="1200" w:right="740"/>
        </w:sectPr>
      </w:pPr>
    </w:p>
    <w:p>
      <w:pPr>
        <w:pStyle w:val="ListParagraph"/>
        <w:numPr>
          <w:ilvl w:val="1"/>
          <w:numId w:val="99"/>
        </w:numPr>
        <w:tabs>
          <w:tab w:pos="675" w:val="left" w:leader="none"/>
        </w:tabs>
        <w:spacing w:line="240" w:lineRule="auto" w:before="92" w:after="0"/>
        <w:ind w:left="674" w:right="0" w:hanging="457"/>
        <w:jc w:val="left"/>
        <w:rPr>
          <w:b/>
          <w:i/>
          <w:sz w:val="24"/>
        </w:rPr>
      </w:pPr>
      <w:r>
        <w:rPr>
          <w:b/>
          <w:sz w:val="24"/>
        </w:rPr>
        <w:t>Instalaciones de traslado por</w:t>
      </w:r>
      <w:r>
        <w:rPr>
          <w:b/>
          <w:spacing w:val="-1"/>
          <w:sz w:val="24"/>
        </w:rPr>
        <w:t> </w:t>
      </w:r>
      <w:r>
        <w:rPr>
          <w:b/>
          <w:i/>
          <w:sz w:val="24"/>
        </w:rPr>
        <w:t>bajantes</w:t>
      </w:r>
    </w:p>
    <w:p>
      <w:pPr>
        <w:pStyle w:val="Heading5"/>
        <w:numPr>
          <w:ilvl w:val="2"/>
          <w:numId w:val="99"/>
        </w:numPr>
        <w:tabs>
          <w:tab w:pos="787" w:val="left" w:leader="none"/>
        </w:tabs>
        <w:spacing w:line="240" w:lineRule="auto" w:before="201" w:after="0"/>
        <w:ind w:left="786" w:right="0" w:hanging="569"/>
        <w:jc w:val="left"/>
      </w:pPr>
      <w:r>
        <w:rPr/>
        <w:t>Condiciones</w:t>
      </w:r>
      <w:r>
        <w:rPr>
          <w:spacing w:val="-1"/>
        </w:rPr>
        <w:t> </w:t>
      </w:r>
      <w:r>
        <w:rPr/>
        <w:t>generales</w:t>
      </w:r>
    </w:p>
    <w:p>
      <w:pPr>
        <w:pStyle w:val="ListParagraph"/>
        <w:numPr>
          <w:ilvl w:val="0"/>
          <w:numId w:val="105"/>
        </w:numPr>
        <w:tabs>
          <w:tab w:pos="672" w:val="left" w:leader="none"/>
          <w:tab w:pos="673" w:val="left" w:leader="none"/>
        </w:tabs>
        <w:spacing w:line="240" w:lineRule="auto" w:before="97" w:after="0"/>
        <w:ind w:left="672" w:right="394" w:hanging="454"/>
        <w:jc w:val="left"/>
        <w:rPr>
          <w:sz w:val="20"/>
        </w:rPr>
      </w:pPr>
      <w:r>
        <w:rPr/>
        <w:pict>
          <v:group style="position:absolute;margin-left:428.823517pt;margin-top:26.957733pt;width:109pt;height:134.85pt;mso-position-horizontal-relative:page;mso-position-vertical-relative:paragraph;z-index:251820032" coordorigin="8576,539" coordsize="2180,2697">
            <v:shape style="position:absolute;left:1541;top:1139;width:5385;height:2" coordorigin="1541,1140" coordsize="5385,0" path="m9950,540l9748,540m9698,540l9690,540m9640,540l9439,540m9388,540l9380,540m9078,540l9070,540m9021,540l8877,540e" filled="false" stroked="true" strokeweight=".099454pt" strokecolor="#000000">
              <v:path arrowok="t"/>
              <v:stroke dashstyle="solid"/>
            </v:shape>
            <v:shape style="position:absolute;left:8576;top:539;width:1231;height:2697" type="#_x0000_t75" stroked="false">
              <v:imagedata r:id="rId63" o:title=""/>
            </v:shape>
            <v:shape style="position:absolute;left:5619;top:14684;width:1302;height:2" coordorigin="5620,14685" coordsize="1302,0" path="m9949,3233l9748,3233m9697,3233l9689,3233e" filled="false" stroked="true" strokeweight=".099454pt" strokecolor="#000000">
              <v:path arrowok="t"/>
              <v:stroke dashstyle="solid"/>
            </v:shape>
            <v:shape style="position:absolute;left:9961;top:539;width:795;height:2697" type="#_x0000_t75" stroked="false">
              <v:imagedata r:id="rId64" o:title=""/>
            </v:shape>
            <w10:wrap type="none"/>
          </v:group>
        </w:pict>
      </w:r>
      <w:r>
        <w:rPr>
          <w:sz w:val="20"/>
        </w:rPr>
        <w:t>Las compuertas de vertido deben situarse en zonas comunes y a una distancia de las viviendas menor que 30 m, medidos</w:t>
      </w:r>
      <w:r>
        <w:rPr>
          <w:spacing w:val="-3"/>
          <w:sz w:val="20"/>
        </w:rPr>
        <w:t> </w:t>
      </w:r>
      <w:r>
        <w:rPr>
          <w:sz w:val="20"/>
        </w:rPr>
        <w:t>horizontalmente.</w:t>
      </w:r>
    </w:p>
    <w:p>
      <w:pPr>
        <w:pStyle w:val="ListParagraph"/>
        <w:numPr>
          <w:ilvl w:val="0"/>
          <w:numId w:val="105"/>
        </w:numPr>
        <w:tabs>
          <w:tab w:pos="672" w:val="left" w:leader="none"/>
          <w:tab w:pos="673" w:val="left" w:leader="none"/>
        </w:tabs>
        <w:spacing w:line="240" w:lineRule="auto" w:before="62" w:after="0"/>
        <w:ind w:left="672" w:right="2775" w:hanging="454"/>
        <w:jc w:val="left"/>
        <w:rPr>
          <w:sz w:val="20"/>
        </w:rPr>
      </w:pPr>
      <w:r>
        <w:rPr>
          <w:sz w:val="20"/>
        </w:rPr>
        <w:t>El traslado del vidrio no se debe realizar mediante el sistema de traslado por</w:t>
      </w:r>
      <w:r>
        <w:rPr>
          <w:spacing w:val="-1"/>
          <w:sz w:val="20"/>
        </w:rPr>
        <w:t> </w:t>
      </w:r>
      <w:r>
        <w:rPr>
          <w:i/>
          <w:sz w:val="20"/>
        </w:rPr>
        <w:t>bajantes</w:t>
      </w:r>
      <w:r>
        <w:rPr>
          <w:sz w:val="20"/>
        </w:rPr>
        <w:t>.</w:t>
      </w:r>
    </w:p>
    <w:p>
      <w:pPr>
        <w:pStyle w:val="BodyText"/>
        <w:spacing w:before="5"/>
        <w:rPr>
          <w:sz w:val="17"/>
        </w:rPr>
      </w:pPr>
    </w:p>
    <w:p>
      <w:pPr>
        <w:pStyle w:val="Heading5"/>
        <w:numPr>
          <w:ilvl w:val="2"/>
          <w:numId w:val="99"/>
        </w:numPr>
        <w:tabs>
          <w:tab w:pos="787" w:val="left" w:leader="none"/>
        </w:tabs>
        <w:spacing w:line="240" w:lineRule="auto" w:before="0" w:after="0"/>
        <w:ind w:left="786" w:right="0" w:hanging="569"/>
        <w:jc w:val="both"/>
        <w:rPr>
          <w:i/>
        </w:rPr>
      </w:pPr>
      <w:r>
        <w:rPr/>
        <w:t>Condiciones particulares de las</w:t>
      </w:r>
      <w:r>
        <w:rPr>
          <w:spacing w:val="-4"/>
        </w:rPr>
        <w:t> </w:t>
      </w:r>
      <w:r>
        <w:rPr>
          <w:i/>
        </w:rPr>
        <w:t>bajantes</w:t>
      </w:r>
    </w:p>
    <w:p>
      <w:pPr>
        <w:pStyle w:val="ListParagraph"/>
        <w:numPr>
          <w:ilvl w:val="0"/>
          <w:numId w:val="106"/>
        </w:numPr>
        <w:tabs>
          <w:tab w:pos="673" w:val="left" w:leader="none"/>
        </w:tabs>
        <w:spacing w:line="240" w:lineRule="auto" w:before="99" w:after="0"/>
        <w:ind w:left="672" w:right="2773" w:hanging="454"/>
        <w:jc w:val="both"/>
        <w:rPr>
          <w:sz w:val="20"/>
        </w:rPr>
      </w:pPr>
      <w:r>
        <w:rPr>
          <w:sz w:val="20"/>
        </w:rPr>
        <w:t>Las </w:t>
      </w:r>
      <w:r>
        <w:rPr>
          <w:i/>
          <w:sz w:val="20"/>
        </w:rPr>
        <w:t>bajantes </w:t>
      </w:r>
      <w:r>
        <w:rPr>
          <w:sz w:val="20"/>
        </w:rPr>
        <w:t>deben ser metálicas o de cualquier material de clase de reacción al fuego A1, impermeable, anticorrosivo, imputrescible y resis- tente a los golpes. Las superficies interiores deben ser</w:t>
      </w:r>
      <w:r>
        <w:rPr>
          <w:spacing w:val="-5"/>
          <w:sz w:val="20"/>
        </w:rPr>
        <w:t> </w:t>
      </w:r>
      <w:r>
        <w:rPr>
          <w:sz w:val="20"/>
        </w:rPr>
        <w:t>lisas.</w:t>
      </w:r>
    </w:p>
    <w:p>
      <w:pPr>
        <w:pStyle w:val="ListParagraph"/>
        <w:numPr>
          <w:ilvl w:val="0"/>
          <w:numId w:val="106"/>
        </w:numPr>
        <w:tabs>
          <w:tab w:pos="673" w:val="left" w:leader="none"/>
        </w:tabs>
        <w:spacing w:line="240" w:lineRule="auto" w:before="59" w:after="0"/>
        <w:ind w:left="672" w:right="2773" w:hanging="454"/>
        <w:jc w:val="both"/>
        <w:rPr>
          <w:sz w:val="20"/>
        </w:rPr>
      </w:pPr>
      <w:r>
        <w:rPr>
          <w:sz w:val="20"/>
        </w:rPr>
        <w:t>Las </w:t>
      </w:r>
      <w:r>
        <w:rPr>
          <w:i/>
          <w:sz w:val="20"/>
        </w:rPr>
        <w:t>bajantes </w:t>
      </w:r>
      <w:r>
        <w:rPr>
          <w:sz w:val="20"/>
        </w:rPr>
        <w:t>deben separarse del resto de los recintos del edificio me- diante muros que en función de las características de resistencia a fuego sean de clase</w:t>
      </w:r>
      <w:r>
        <w:rPr>
          <w:spacing w:val="-2"/>
          <w:sz w:val="20"/>
        </w:rPr>
        <w:t> </w:t>
      </w:r>
      <w:r>
        <w:rPr>
          <w:sz w:val="20"/>
        </w:rPr>
        <w:t>EI-120.</w:t>
      </w:r>
    </w:p>
    <w:p>
      <w:pPr>
        <w:pStyle w:val="ListParagraph"/>
        <w:numPr>
          <w:ilvl w:val="0"/>
          <w:numId w:val="106"/>
        </w:numPr>
        <w:tabs>
          <w:tab w:pos="673" w:val="left" w:leader="none"/>
        </w:tabs>
        <w:spacing w:line="240" w:lineRule="auto" w:before="60" w:after="0"/>
        <w:ind w:left="672" w:right="0" w:hanging="455"/>
        <w:jc w:val="both"/>
        <w:rPr>
          <w:sz w:val="20"/>
        </w:rPr>
      </w:pPr>
      <w:r>
        <w:rPr>
          <w:sz w:val="20"/>
        </w:rPr>
        <w:t>Las </w:t>
      </w:r>
      <w:r>
        <w:rPr>
          <w:i/>
          <w:sz w:val="20"/>
        </w:rPr>
        <w:t>bajantes </w:t>
      </w:r>
      <w:r>
        <w:rPr>
          <w:sz w:val="20"/>
        </w:rPr>
        <w:t>deben disponerse verticalmente, aunque pueden</w:t>
      </w:r>
      <w:r>
        <w:rPr>
          <w:spacing w:val="8"/>
          <w:sz w:val="20"/>
        </w:rPr>
        <w:t> </w:t>
      </w:r>
      <w:r>
        <w:rPr>
          <w:sz w:val="20"/>
        </w:rPr>
        <w:t>realizarse</w:t>
      </w:r>
    </w:p>
    <w:p>
      <w:pPr>
        <w:pStyle w:val="BodyText"/>
        <w:ind w:left="672" w:right="391"/>
        <w:jc w:val="both"/>
      </w:pPr>
      <w:r>
        <w:rPr/>
        <w:t>cambios de dirección respecto a la vertical no mayores que 30º. Para evitar los ruidos producidos por una velocidad excesiva en la caída de los </w:t>
      </w:r>
      <w:r>
        <w:rPr>
          <w:i/>
        </w:rPr>
        <w:t>residuos</w:t>
      </w:r>
      <w:r>
        <w:rPr/>
        <w:t>, cada 10 m de conducto debe disponerse una acodadura con cuatro codos de 15º cada uno como máximo según la figura 2.1, o adoptarse otra solución que produzca el mismo</w:t>
      </w:r>
      <w:r>
        <w:rPr>
          <w:spacing w:val="-6"/>
        </w:rPr>
        <w:t> </w:t>
      </w:r>
      <w:r>
        <w:rPr/>
        <w:t>efecto.</w:t>
      </w:r>
    </w:p>
    <w:p>
      <w:pPr>
        <w:pStyle w:val="ListParagraph"/>
        <w:numPr>
          <w:ilvl w:val="0"/>
          <w:numId w:val="106"/>
        </w:numPr>
        <w:tabs>
          <w:tab w:pos="673" w:val="left" w:leader="none"/>
        </w:tabs>
        <w:spacing w:line="240" w:lineRule="auto" w:before="61" w:after="0"/>
        <w:ind w:left="672" w:right="0" w:hanging="455"/>
        <w:jc w:val="both"/>
        <w:rPr>
          <w:sz w:val="20"/>
        </w:rPr>
      </w:pPr>
      <w:r>
        <w:rPr>
          <w:sz w:val="20"/>
        </w:rPr>
        <w:t>Las </w:t>
      </w:r>
      <w:r>
        <w:rPr>
          <w:i/>
          <w:sz w:val="20"/>
        </w:rPr>
        <w:t>bajantes </w:t>
      </w:r>
      <w:r>
        <w:rPr>
          <w:sz w:val="20"/>
        </w:rPr>
        <w:t>deben tener un diámetro de 450 mm como</w:t>
      </w:r>
      <w:r>
        <w:rPr>
          <w:spacing w:val="-7"/>
          <w:sz w:val="20"/>
        </w:rPr>
        <w:t> </w:t>
      </w:r>
      <w:r>
        <w:rPr>
          <w:sz w:val="20"/>
        </w:rPr>
        <w:t>mínimo.</w:t>
      </w:r>
    </w:p>
    <w:p>
      <w:pPr>
        <w:pStyle w:val="ListParagraph"/>
        <w:numPr>
          <w:ilvl w:val="0"/>
          <w:numId w:val="106"/>
        </w:numPr>
        <w:tabs>
          <w:tab w:pos="673" w:val="left" w:leader="none"/>
        </w:tabs>
        <w:spacing w:line="240" w:lineRule="auto" w:before="59" w:after="0"/>
        <w:ind w:left="672" w:right="392" w:hanging="454"/>
        <w:jc w:val="both"/>
        <w:rPr>
          <w:sz w:val="20"/>
        </w:rPr>
      </w:pPr>
      <w:r>
        <w:rPr>
          <w:sz w:val="20"/>
        </w:rPr>
        <w:t>Las </w:t>
      </w:r>
      <w:r>
        <w:rPr>
          <w:i/>
          <w:sz w:val="20"/>
        </w:rPr>
        <w:t>bajantes </w:t>
      </w:r>
      <w:r>
        <w:rPr>
          <w:sz w:val="20"/>
        </w:rPr>
        <w:t>de los sistemas de traslado por gravedad deben ventilarse por el extremo superior con un aspirador estático y, en dicho extremo, debe disponerse una toma de agua con racor para man- guera y una compuerta para limpieza dotada de cierre hermético y</w:t>
      </w:r>
      <w:r>
        <w:rPr>
          <w:spacing w:val="-8"/>
          <w:sz w:val="20"/>
        </w:rPr>
        <w:t> </w:t>
      </w:r>
      <w:r>
        <w:rPr>
          <w:sz w:val="20"/>
        </w:rPr>
        <w:t>cerradura.</w:t>
      </w:r>
    </w:p>
    <w:p>
      <w:pPr>
        <w:pStyle w:val="ListParagraph"/>
        <w:numPr>
          <w:ilvl w:val="0"/>
          <w:numId w:val="106"/>
        </w:numPr>
        <w:tabs>
          <w:tab w:pos="673" w:val="left" w:leader="none"/>
        </w:tabs>
        <w:spacing w:line="240" w:lineRule="auto" w:before="60" w:after="0"/>
        <w:ind w:left="672" w:right="394" w:hanging="454"/>
        <w:jc w:val="both"/>
        <w:rPr>
          <w:sz w:val="20"/>
        </w:rPr>
      </w:pPr>
      <w:r>
        <w:rPr>
          <w:sz w:val="20"/>
        </w:rPr>
        <w:t>Las </w:t>
      </w:r>
      <w:r>
        <w:rPr>
          <w:i/>
          <w:sz w:val="20"/>
        </w:rPr>
        <w:t>bajantes </w:t>
      </w:r>
      <w:r>
        <w:rPr>
          <w:sz w:val="20"/>
        </w:rPr>
        <w:t>de los sistemas neumáticos deben conectarse a un conducto de ventilación de una sección no menor que 350</w:t>
      </w:r>
      <w:r>
        <w:rPr>
          <w:spacing w:val="-2"/>
          <w:sz w:val="20"/>
        </w:rPr>
        <w:t> </w:t>
      </w:r>
      <w:r>
        <w:rPr>
          <w:sz w:val="20"/>
        </w:rPr>
        <w:t>cm</w:t>
      </w:r>
      <w:r>
        <w:rPr>
          <w:sz w:val="20"/>
          <w:vertAlign w:val="superscript"/>
        </w:rPr>
        <w:t>2</w:t>
      </w:r>
      <w:r>
        <w:rPr>
          <w:sz w:val="20"/>
          <w:vertAlign w:val="baseline"/>
        </w:rPr>
        <w:t>.</w:t>
      </w:r>
    </w:p>
    <w:p>
      <w:pPr>
        <w:pStyle w:val="ListParagraph"/>
        <w:numPr>
          <w:ilvl w:val="0"/>
          <w:numId w:val="106"/>
        </w:numPr>
        <w:tabs>
          <w:tab w:pos="673" w:val="left" w:leader="none"/>
        </w:tabs>
        <w:spacing w:line="240" w:lineRule="auto" w:before="61" w:after="0"/>
        <w:ind w:left="672" w:right="389" w:hanging="454"/>
        <w:jc w:val="both"/>
        <w:rPr>
          <w:sz w:val="20"/>
        </w:rPr>
      </w:pPr>
      <w:r>
        <w:rPr>
          <w:sz w:val="20"/>
        </w:rPr>
        <w:t>El extremo superior de la </w:t>
      </w:r>
      <w:r>
        <w:rPr>
          <w:i/>
          <w:sz w:val="20"/>
        </w:rPr>
        <w:t>bajante </w:t>
      </w:r>
      <w:r>
        <w:rPr>
          <w:sz w:val="20"/>
        </w:rPr>
        <w:t>en los sistemas de traslado por gravedad y del conducto de venti- lación en los sistemas neumáticos deben desembocar en un espacio exterior adecuado de tal ma- nera que (véase la figura 2.2) el tramo exterior sobre la cubierta tenga una altura de 1 m como mí- nimo y supere las siguientes alturas en función de su</w:t>
      </w:r>
      <w:r>
        <w:rPr>
          <w:spacing w:val="-3"/>
          <w:sz w:val="20"/>
        </w:rPr>
        <w:t> </w:t>
      </w:r>
      <w:r>
        <w:rPr>
          <w:sz w:val="20"/>
        </w:rPr>
        <w:t>emplazamiento:</w:t>
      </w:r>
    </w:p>
    <w:p>
      <w:pPr>
        <w:pStyle w:val="ListParagraph"/>
        <w:numPr>
          <w:ilvl w:val="1"/>
          <w:numId w:val="106"/>
        </w:numPr>
        <w:tabs>
          <w:tab w:pos="1126" w:val="left" w:leader="none"/>
        </w:tabs>
        <w:spacing w:line="240" w:lineRule="auto" w:before="60" w:after="0"/>
        <w:ind w:left="1126" w:right="0" w:hanging="454"/>
        <w:jc w:val="both"/>
        <w:rPr>
          <w:sz w:val="20"/>
        </w:rPr>
      </w:pPr>
      <w:r>
        <w:rPr>
          <w:sz w:val="20"/>
        </w:rPr>
        <w:t>la altura de cualquier obstáculo que esté a una distancia comprendida entre 2 y 10</w:t>
      </w:r>
      <w:r>
        <w:rPr>
          <w:spacing w:val="-12"/>
          <w:sz w:val="20"/>
        </w:rPr>
        <w:t> </w:t>
      </w:r>
      <w:r>
        <w:rPr>
          <w:sz w:val="20"/>
        </w:rPr>
        <w:t>m;</w:t>
      </w:r>
    </w:p>
    <w:p>
      <w:pPr>
        <w:pStyle w:val="ListParagraph"/>
        <w:numPr>
          <w:ilvl w:val="1"/>
          <w:numId w:val="106"/>
        </w:numPr>
        <w:tabs>
          <w:tab w:pos="1126" w:val="left" w:leader="none"/>
        </w:tabs>
        <w:spacing w:line="240" w:lineRule="auto" w:before="60" w:after="0"/>
        <w:ind w:left="1126" w:right="0" w:hanging="454"/>
        <w:jc w:val="both"/>
        <w:rPr>
          <w:sz w:val="20"/>
        </w:rPr>
      </w:pPr>
      <w:r>
        <w:rPr>
          <w:sz w:val="20"/>
        </w:rPr>
        <w:t>1,3 veces la altura de cualquier obstáculo que esté a una distancia menor o igual que 2</w:t>
      </w:r>
      <w:r>
        <w:rPr>
          <w:spacing w:val="-8"/>
          <w:sz w:val="20"/>
        </w:rPr>
        <w:t> </w:t>
      </w:r>
      <w:r>
        <w:rPr>
          <w:sz w:val="20"/>
        </w:rPr>
        <w:t>m.</w:t>
      </w:r>
    </w:p>
    <w:p>
      <w:pPr>
        <w:pStyle w:val="BodyText"/>
        <w:spacing w:before="9"/>
        <w:rPr>
          <w:sz w:val="14"/>
        </w:rPr>
      </w:pPr>
      <w:r>
        <w:rPr/>
        <w:pict>
          <v:group style="position:absolute;margin-left:76.583282pt;margin-top:31.498686pt;width:207.95pt;height:64.4pt;mso-position-horizontal-relative:page;mso-position-vertical-relative:paragraph;z-index:-251525120;mso-wrap-distance-left:0;mso-wrap-distance-right:0" coordorigin="1532,630" coordsize="4159,1288">
            <v:line style="position:absolute" from="1532,1911" to="1742,1911" stroked="true" strokeweight=".631313pt" strokecolor="#000000">
              <v:stroke dashstyle="solid"/>
            </v:line>
            <v:line style="position:absolute" from="1742,1911" to="1742,1305" stroked="true" strokeweight=".629142pt" strokecolor="#808080">
              <v:stroke dashstyle="solid"/>
            </v:line>
            <v:line style="position:absolute" from="1742,1305" to="1839,1305" stroked="true" strokeweight=".631313pt" strokecolor="#808080">
              <v:stroke dashstyle="solid"/>
            </v:line>
            <v:line style="position:absolute" from="5480,1911" to="5690,1911" stroked="true" strokeweight=".631313pt" strokecolor="#000000">
              <v:stroke dashstyle="solid"/>
            </v:line>
            <v:line style="position:absolute" from="3320,1305" to="5408,1305" stroked="true" strokeweight=".631313pt" strokecolor="#000000">
              <v:stroke dashstyle="solid"/>
            </v:line>
            <v:line style="position:absolute" from="5408,1305" to="5501,1305" stroked="true" strokeweight=".631313pt" strokecolor="#000000">
              <v:stroke dashstyle="solid"/>
            </v:line>
            <v:line style="position:absolute" from="5501,1305" to="5501,1911" stroked="true" strokeweight=".629142pt" strokecolor="#000000">
              <v:stroke dashstyle="solid"/>
            </v:line>
            <v:shape style="position:absolute;left:4944;top:693;width:352;height:644" type="#_x0000_t75" stroked="false">
              <v:imagedata r:id="rId65" o:title=""/>
            </v:shape>
            <v:line style="position:absolute" from="2365,883" to="3320,883" stroked="true" strokeweight=".631313pt" strokecolor="#808080">
              <v:stroke dashstyle="solid"/>
            </v:line>
            <v:line style="position:absolute" from="1839,1305" to="2365,1305" stroked="true" strokeweight=".631313pt" strokecolor="#808080">
              <v:stroke dashstyle="solid"/>
            </v:line>
            <v:line style="position:absolute" from="2365,1305" to="2365,883" stroked="true" strokeweight=".629142pt" strokecolor="#808080">
              <v:stroke dashstyle="solid"/>
            </v:line>
            <v:line style="position:absolute" from="3320,1075" to="3320,1037" stroked="true" strokeweight=".629142pt" strokecolor="#000000">
              <v:stroke dashstyle="solid"/>
            </v:line>
            <v:line style="position:absolute" from="4768,692" to="4768,1305" stroked="true" strokeweight=".629154pt" strokecolor="#000000">
              <v:stroke dashstyle="solid"/>
            </v:line>
            <v:line style="position:absolute" from="3320,1097" to="4768,1097" stroked="true" strokeweight=".631313pt" strokecolor="#000000">
              <v:stroke dashstyle="solid"/>
            </v:line>
            <v:line style="position:absolute" from="3350,1067" to="3291,1122" stroked="true" strokeweight=".630294pt" strokecolor="#000000">
              <v:stroke dashstyle="solid"/>
            </v:line>
            <v:line style="position:absolute" from="4739,1122" to="4798,1067" stroked="true" strokeweight=".630294pt" strokecolor="#000000">
              <v:stroke dashstyle="solid"/>
            </v:line>
            <v:shape style="position:absolute;left:3633;top:962;width:501;height:111" type="#_x0000_t75" stroked="false">
              <v:imagedata r:id="rId66" o:title=""/>
            </v:shape>
            <v:line style="position:absolute" from="4175,986" to="4183,982" stroked="true" strokeweight=".630876pt" strokecolor="#000000">
              <v:stroke dashstyle="solid"/>
            </v:line>
            <v:line style="position:absolute" from="4183,982" to="4200,969" stroked="true" strokeweight=".630528pt" strokecolor="#000000">
              <v:stroke dashstyle="solid"/>
            </v:line>
            <v:line style="position:absolute" from="4200,969" to="4200,1067" stroked="true" strokeweight=".629142pt" strokecolor="#000000">
              <v:stroke dashstyle="solid"/>
            </v:line>
            <v:shape style="position:absolute;left:4248;top:962;width:207;height:111" type="#_x0000_t75" stroked="false">
              <v:imagedata r:id="rId67" o:title=""/>
            </v:shape>
            <v:line style="position:absolute" from="3320,1305" to="3320,883" stroked="true" strokeweight=".629142pt" strokecolor="#808080">
              <v:stroke dashstyle="solid"/>
            </v:line>
            <v:shape style="position:absolute;left:2992;top:851;width:308;height:486" type="#_x0000_t75" stroked="false">
              <v:imagedata r:id="rId68" o:title=""/>
            </v:shape>
            <v:line style="position:absolute" from="4768,636" to="4928,636" stroked="true" strokeweight=".631313pt" strokecolor="#000000">
              <v:stroke dashstyle="solid"/>
            </v:line>
            <v:line style="position:absolute" from="4768,653" to="4928,653" stroked="true" strokeweight=".631313pt" strokecolor="#000000">
              <v:stroke dashstyle="solid"/>
            </v:line>
            <v:line style="position:absolute" from="4768,670" to="4928,670" stroked="true" strokeweight=".631313pt" strokecolor="#000000">
              <v:stroke dashstyle="solid"/>
            </v:line>
            <v:line style="position:absolute" from="4768,692" to="4928,692" stroked="true" strokeweight=".631313pt" strokecolor="#000000">
              <v:stroke dashstyle="solid"/>
            </v:line>
            <v:line style="position:absolute" from="4768,709" to="4928,709" stroked="true" strokeweight=".631313pt" strokecolor="#000000">
              <v:stroke dashstyle="solid"/>
            </v:line>
            <v:line style="position:absolute" from="4768,726" to="4928,726" stroked="true" strokeweight=".631313pt" strokecolor="#000000">
              <v:stroke dashstyle="solid"/>
            </v:line>
            <v:line style="position:absolute" from="4762,640" to="4775,640" stroked="true" strokeweight=".421083pt" strokecolor="#000000">
              <v:stroke dashstyle="solid"/>
            </v:line>
            <v:line style="position:absolute" from="4762,660" to="4775,660" stroked="true" strokeweight=".652679pt" strokecolor="#000000">
              <v:stroke dashstyle="solid"/>
            </v:line>
            <v:line style="position:absolute" from="4762,677" to="4775,677" stroked="true" strokeweight=".631624pt" strokecolor="#000000">
              <v:stroke dashstyle="solid"/>
            </v:line>
            <v:line style="position:absolute" from="4922,640" to="4934,640" stroked="true" strokeweight=".421083pt" strokecolor="#000000">
              <v:stroke dashstyle="solid"/>
            </v:line>
            <v:line style="position:absolute" from="4922,660" to="4934,660" stroked="true" strokeweight=".652679pt" strokecolor="#000000">
              <v:stroke dashstyle="solid"/>
            </v:line>
            <v:line style="position:absolute" from="4922,677" to="4934,677" stroked="true" strokeweight=".631624pt" strokecolor="#000000">
              <v:stroke dashstyle="solid"/>
            </v:line>
            <v:line style="position:absolute" from="4928,692" to="4928,1305" stroked="true" strokeweight=".629154pt" strokecolor="#000000">
              <v:stroke dashstyle="solid"/>
            </v:line>
            <v:line style="position:absolute" from="1742,1911" to="1742,1305" stroked="true" strokeweight=".629142pt" strokecolor="#000000">
              <v:stroke dashstyle="solid"/>
            </v:line>
            <v:line style="position:absolute" from="1742,1305" to="1839,1305" stroked="true" strokeweight=".631313pt" strokecolor="#000000">
              <v:stroke dashstyle="solid"/>
            </v:line>
            <v:line style="position:absolute" from="1839,1305" to="2365,1305" stroked="true" strokeweight=".631313pt" strokecolor="#000000">
              <v:stroke dashstyle="solid"/>
            </v:line>
            <v:line style="position:absolute" from="2365,1305" to="2365,883" stroked="true" strokeweight=".629142pt" strokecolor="#000000">
              <v:stroke dashstyle="solid"/>
            </v:line>
            <v:line style="position:absolute" from="2365,883" to="3320,883" stroked="true" strokeweight=".631313pt" strokecolor="#000000">
              <v:stroke dashstyle="solid"/>
            </v:line>
            <v:line style="position:absolute" from="3320,883" to="3320,1305" stroked="true" strokeweight=".629142pt" strokecolor="#000000">
              <v:stroke dashstyle="solid"/>
            </v:line>
            <v:line style="position:absolute" from="3320,1305" to="4768,1305" stroked="true" strokeweight=".631313pt" strokecolor="#000000">
              <v:stroke dashstyle="solid"/>
            </v:line>
            <v:line style="position:absolute" from="4768,1305" to="5408,1305" stroked="true" strokeweight=".631313pt" strokecolor="#000000">
              <v:stroke dashstyle="solid"/>
            </v:line>
            <v:line style="position:absolute" from="5408,1305" to="5501,1305" stroked="true" strokeweight=".631313pt" strokecolor="#000000">
              <v:stroke dashstyle="solid"/>
            </v:line>
            <v:line style="position:absolute" from="5501,1305" to="5501,1911" stroked="true" strokeweight=".629142pt" strokecolor="#000000">
              <v:stroke dashstyle="solid"/>
            </v:line>
            <w10:wrap type="topAndBottom"/>
          </v:group>
        </w:pict>
      </w:r>
      <w:r>
        <w:rPr/>
        <w:pict>
          <v:group style="position:absolute;margin-left:292.969513pt;margin-top:10.474538pt;width:227.95pt;height:85.95pt;mso-position-horizontal-relative:page;mso-position-vertical-relative:paragraph;z-index:-251524096;mso-wrap-distance-left:0;mso-wrap-distance-right:0" coordorigin="5859,209" coordsize="4559,1719">
            <v:line style="position:absolute" from="5859,1921" to="6185,1921" stroked="true" strokeweight=".67602pt" strokecolor="#000000">
              <v:stroke dashstyle="solid"/>
            </v:line>
            <v:line style="position:absolute" from="8460,1295" to="10124,1295" stroked="true" strokeweight=".67602pt" strokecolor="#808080">
              <v:stroke dashstyle="solid"/>
            </v:line>
            <v:line style="position:absolute" from="9644,1295" to="9974,1295" stroked="true" strokeweight=".67602pt" strokecolor="#000000">
              <v:stroke dashstyle="solid"/>
            </v:line>
            <v:line style="position:absolute" from="9917,1295" to="9917,1146" stroked="true" strokeweight=".679857pt" strokecolor="#000000">
              <v:stroke dashstyle="solid"/>
            </v:line>
            <v:line style="position:absolute" from="9886,1264" to="9943,1322" stroked="true" strokeweight=".677942pt" strokecolor="#000000">
              <v:stroke dashstyle="solid"/>
            </v:line>
            <v:line style="position:absolute" from="9644,824" to="9974,824" stroked="true" strokeweight=".67602pt" strokecolor="#000000">
              <v:stroke dashstyle="solid"/>
            </v:line>
            <v:line style="position:absolute" from="9917,824" to="9917,969" stroked="true" strokeweight=".679857pt" strokecolor="#000000">
              <v:stroke dashstyle="solid"/>
            </v:line>
            <v:line style="position:absolute" from="9943,855" to="9886,793" stroked="true" strokeweight=".678097pt" strokecolor="#000000">
              <v:stroke dashstyle="solid"/>
            </v:line>
            <v:line style="position:absolute" from="9705,1014" to="9780,1058" stroked="true" strokeweight=".677002pt" strokecolor="#000000">
              <v:stroke dashstyle="solid"/>
            </v:line>
            <v:line style="position:absolute" from="9780,1058" to="9705,1097" stroked="true" strokeweight=".676858pt" strokecolor="#000000">
              <v:stroke dashstyle="solid"/>
            </v:line>
            <v:line style="position:absolute" from="9828,1018" to="9837,1014" stroked="true" strokeweight=".67678pt" strokecolor="#000000">
              <v:stroke dashstyle="solid"/>
            </v:line>
            <v:line style="position:absolute" from="9837,1014" to="9851,1000" stroked="true" strokeweight=".677877pt" strokecolor="#000000">
              <v:stroke dashstyle="solid"/>
            </v:line>
            <v:line style="position:absolute" from="9851,1000" to="9851,1097" stroked="true" strokeweight=".679857pt" strokecolor="#000000">
              <v:stroke dashstyle="solid"/>
            </v:line>
            <v:line style="position:absolute" from="9925,1093" to="9921,1097" stroked="true" strokeweight=".677928pt" strokecolor="#000000">
              <v:stroke dashstyle="solid"/>
            </v:line>
            <v:line style="position:absolute" from="9921,1097" to="9917,1093" stroked="true" strokeweight=".677928pt" strokecolor="#000000">
              <v:stroke dashstyle="solid"/>
            </v:line>
            <v:line style="position:absolute" from="9917,1093" to="9921,1089" stroked="true" strokeweight=".677928pt" strokecolor="#000000">
              <v:stroke dashstyle="solid"/>
            </v:line>
            <v:line style="position:absolute" from="9921,1089" to="9925,1093" stroked="true" strokeweight=".677928pt" strokecolor="#000000">
              <v:stroke dashstyle="solid"/>
            </v:line>
            <v:line style="position:absolute" from="9919,1100" to="9932,1100" stroked="true" strokeweight=".654534pt" strokecolor="#000000">
              <v:stroke dashstyle="solid"/>
            </v:line>
            <v:line style="position:absolute" from="9925,1106" to="9921,1115" stroked="true" strokeweight=".679083pt" strokecolor="#000000">
              <v:stroke dashstyle="solid"/>
            </v:line>
            <v:line style="position:absolute" from="9921,1115" to="9917,1119" stroked="true" strokeweight=".677928pt" strokecolor="#000000">
              <v:stroke dashstyle="solid"/>
            </v:line>
            <v:line style="position:absolute" from="9965,1000" to="10018,1000" stroked="true" strokeweight=".67602pt" strokecolor="#000000">
              <v:stroke dashstyle="solid"/>
            </v:line>
            <v:line style="position:absolute" from="10018,1000" to="9992,1035" stroked="true" strokeweight=".678466pt" strokecolor="#000000">
              <v:stroke dashstyle="solid"/>
            </v:line>
            <v:line style="position:absolute" from="9992,1035" to="10005,1035" stroked="true" strokeweight=".67602pt" strokecolor="#000000">
              <v:stroke dashstyle="solid"/>
            </v:line>
            <v:line style="position:absolute" from="10005,1035" to="10014,1040" stroked="true" strokeweight=".676903pt" strokecolor="#000000">
              <v:stroke dashstyle="solid"/>
            </v:line>
            <v:line style="position:absolute" from="10014,1040" to="10018,1049" stroked="true" strokeweight=".679083pt" strokecolor="#000000">
              <v:stroke dashstyle="solid"/>
            </v:line>
            <v:line style="position:absolute" from="10018,1049" to="10022,1062" stroked="true" strokeweight=".679469pt" strokecolor="#000000">
              <v:stroke dashstyle="solid"/>
            </v:line>
            <v:line style="position:absolute" from="10015,1066" to="10029,1066" stroked="true" strokeweight=".436356pt" strokecolor="#000000">
              <v:stroke dashstyle="solid"/>
            </v:line>
            <v:line style="position:absolute" from="10022,1071" to="10018,1084" stroked="true" strokeweight=".679469pt" strokecolor="#000000">
              <v:stroke dashstyle="solid"/>
            </v:line>
            <v:line style="position:absolute" from="10018,1084" to="10009,1093" stroked="true" strokeweight=".678021pt" strokecolor="#000000">
              <v:stroke dashstyle="solid"/>
            </v:line>
            <v:line style="position:absolute" from="10009,1093" to="9996,1097" stroked="true" strokeweight=".6764pt" strokecolor="#000000">
              <v:stroke dashstyle="solid"/>
            </v:line>
            <v:line style="position:absolute" from="9996,1097" to="9983,1097" stroked="true" strokeweight=".67602pt" strokecolor="#000000">
              <v:stroke dashstyle="solid"/>
            </v:line>
            <v:line style="position:absolute" from="9983,1097" to="9965,1093" stroked="true" strokeweight=".676235pt" strokecolor="#000000">
              <v:stroke dashstyle="solid"/>
            </v:line>
            <v:line style="position:absolute" from="9965,1093" to="9960,1089" stroked="true" strokeweight=".677928pt" strokecolor="#000000">
              <v:stroke dashstyle="solid"/>
            </v:line>
            <v:line style="position:absolute" from="9960,1089" to="9956,1079" stroked="true" strokeweight=".679141pt" strokecolor="#000000">
              <v:stroke dashstyle="solid"/>
            </v:line>
            <v:line style="position:absolute" from="10057,1000" to="10057,1097" stroked="true" strokeweight=".679857pt" strokecolor="#000000">
              <v:stroke dashstyle="solid"/>
            </v:line>
            <v:line style="position:absolute" from="10124,1000" to="10124,1097" stroked="true" strokeweight=".679857pt" strokecolor="#000000">
              <v:stroke dashstyle="solid"/>
            </v:line>
            <v:line style="position:absolute" from="10057,1049" to="10124,1049" stroked="true" strokeweight=".67602pt" strokecolor="#000000">
              <v:stroke dashstyle="solid"/>
            </v:line>
            <v:line style="position:absolute" from="8460,860" to="5969,1727" stroked="true" strokeweight=".676435pt" strokecolor="#000000">
              <v:stroke dashstyle="solid"/>
            </v:line>
            <v:line style="position:absolute" from="5969,1797" to="6075,1797" stroked="true" strokeweight=".67602pt" strokecolor="#000000">
              <v:stroke dashstyle="solid"/>
            </v:line>
            <v:line style="position:absolute" from="5969,1727" to="5969,1797" stroked="true" strokeweight=".679857pt" strokecolor="#000000">
              <v:stroke dashstyle="solid"/>
            </v:line>
            <v:line style="position:absolute" from="6075,1797" to="6075,1921" stroked="true" strokeweight=".679857pt" strokecolor="#000000">
              <v:stroke dashstyle="solid"/>
            </v:line>
            <v:line style="position:absolute" from="8460,1370" to="8460,1573" stroked="true" strokeweight=".679857pt" strokecolor="#000000">
              <v:stroke dashstyle="solid"/>
            </v:line>
            <v:line style="position:absolute" from="9455,1370" to="9455,1573" stroked="true" strokeweight=".679857pt" strokecolor="#000000">
              <v:stroke dashstyle="solid"/>
            </v:line>
            <v:line style="position:absolute" from="8460,1511" to="9455,1511" stroked="true" strokeweight=".67602pt" strokecolor="#000000">
              <v:stroke dashstyle="solid"/>
            </v:line>
            <v:line style="position:absolute" from="8491,1485" to="8434,1542" stroked="true" strokeweight=".677948pt" strokecolor="#000000">
              <v:stroke dashstyle="solid"/>
            </v:line>
            <v:line style="position:absolute" from="9424,1542" to="9486,1485" stroked="true" strokeweight=".677784pt" strokecolor="#000000">
              <v:stroke dashstyle="solid"/>
            </v:line>
            <v:shape style="position:absolute;left:8818;top:1376;width:296;height:120" type="#_x0000_t75" stroked="false">
              <v:imagedata r:id="rId69" o:title=""/>
            </v:shape>
            <v:line style="position:absolute" from="8460,842" to="8460,287" stroked="true" strokeweight=".679857pt" strokecolor="#000000">
              <v:stroke dashstyle="solid"/>
            </v:line>
            <v:line style="position:absolute" from="7910,485" to="7910,287" stroked="true" strokeweight=".679857pt" strokecolor="#000000">
              <v:stroke dashstyle="solid"/>
            </v:line>
            <v:line style="position:absolute" from="7910,344" to="8460,344" stroked="true" strokeweight=".67602pt" strokecolor="#000000">
              <v:stroke dashstyle="solid"/>
            </v:line>
            <v:line style="position:absolute" from="7936,318" to="7879,375" stroked="true" strokeweight=".677957pt" strokecolor="#000000">
              <v:stroke dashstyle="solid"/>
            </v:line>
            <v:line style="position:absolute" from="8434,375" to="8491,318" stroked="true" strokeweight=".677963pt" strokecolor="#000000">
              <v:stroke dashstyle="solid"/>
            </v:line>
            <v:shape style="position:absolute;left:8043;top:209;width:296;height:120" type="#_x0000_t75" stroked="false">
              <v:imagedata r:id="rId70" o:title=""/>
            </v:shape>
            <v:line style="position:absolute" from="7560,831" to="7560,844" stroked="true" strokeweight=".219416pt" strokecolor="#000000">
              <v:stroke dashstyle="solid"/>
            </v:line>
            <v:line style="position:absolute" from="7562,837" to="7571,829" stroked="true" strokeweight=".677966pt" strokecolor="#000000">
              <v:stroke dashstyle="solid"/>
            </v:line>
            <v:line style="position:absolute" from="7571,829" to="7571,877" stroked="true" strokeweight=".679857pt" strokecolor="#000000">
              <v:stroke dashstyle="solid"/>
            </v:line>
            <v:line style="position:absolute" from="8460,1295" to="8460,860" stroked="true" strokeweight=".679857pt" strokecolor="#808080">
              <v:stroke dashstyle="solid"/>
            </v:line>
            <v:line style="position:absolute" from="7743,565" to="7743,1110" stroked="true" strokeweight=".679868pt" strokecolor="#000000">
              <v:stroke dashstyle="solid"/>
            </v:line>
            <v:line style="position:absolute" from="7910,565" to="7910,1053" stroked="true" strokeweight=".679869pt" strokecolor="#000000">
              <v:stroke dashstyle="solid"/>
            </v:line>
            <v:line style="position:absolute" from="7743,507" to="7910,507" stroked="true" strokeweight=".67602pt" strokecolor="#000000">
              <v:stroke dashstyle="solid"/>
            </v:line>
            <v:line style="position:absolute" from="7743,529" to="7910,529" stroked="true" strokeweight=".67602pt" strokecolor="#000000">
              <v:stroke dashstyle="solid"/>
            </v:line>
            <v:line style="position:absolute" from="7743,547" to="7910,547" stroked="true" strokeweight=".67602pt" strokecolor="#000000">
              <v:stroke dashstyle="solid"/>
            </v:line>
            <v:line style="position:absolute" from="7743,565" to="7910,565" stroked="true" strokeweight=".67602pt" strokecolor="#000000">
              <v:stroke dashstyle="solid"/>
            </v:line>
            <v:line style="position:absolute" from="7743,582" to="7910,582" stroked="true" strokeweight=".67602pt" strokecolor="#000000">
              <v:stroke dashstyle="solid"/>
            </v:line>
            <v:line style="position:absolute" from="7743,604" to="7910,604" stroked="true" strokeweight=".67602pt" strokecolor="#000000">
              <v:stroke dashstyle="solid"/>
            </v:line>
            <v:line style="position:absolute" from="7736,514" to="7750,514" stroked="true" strokeweight=".676351pt" strokecolor="#000000">
              <v:stroke dashstyle="solid"/>
            </v:line>
            <v:line style="position:absolute" from="7736,534" to="7750,534" stroked="true" strokeweight=".436356pt" strokecolor="#000000">
              <v:stroke dashstyle="solid"/>
            </v:line>
            <v:line style="position:absolute" from="7736,551" to="7750,551" stroked="true" strokeweight=".436356pt" strokecolor="#000000">
              <v:stroke dashstyle="solid"/>
            </v:line>
            <v:line style="position:absolute" from="7903,514" to="7917,514" stroked="true" strokeweight=".676351pt" strokecolor="#000000">
              <v:stroke dashstyle="solid"/>
            </v:line>
            <v:line style="position:absolute" from="7903,534" to="7917,534" stroked="true" strokeweight=".436356pt" strokecolor="#000000">
              <v:stroke dashstyle="solid"/>
            </v:line>
            <v:line style="position:absolute" from="7903,551" to="7917,551" stroked="true" strokeweight=".436356pt" strokecolor="#000000">
              <v:stroke dashstyle="solid"/>
            </v:line>
            <v:line style="position:absolute" from="7721,604" to="7272,604" stroked="true" strokeweight=".67602pt" strokecolor="#000000">
              <v:stroke dashstyle="solid"/>
            </v:line>
            <v:line style="position:absolute" from="7888,1053" to="7272,1053" stroked="true" strokeweight=".67602pt" strokecolor="#000000">
              <v:stroke dashstyle="solid"/>
            </v:line>
            <v:line style="position:absolute" from="7334,604" to="7334,740" stroked="true" strokeweight=".679857pt" strokecolor="#000000">
              <v:stroke dashstyle="solid"/>
            </v:line>
            <v:line style="position:absolute" from="7334,1053" to="7334,917" stroked="true" strokeweight=".679857pt" strokecolor="#000000">
              <v:stroke dashstyle="solid"/>
            </v:line>
            <v:line style="position:absolute" from="7364,635" to="7302,573" stroked="true" strokeweight=".677928pt" strokecolor="#000000">
              <v:stroke dashstyle="solid"/>
            </v:line>
            <v:line style="position:absolute" from="7302,1022" to="7364,1084" stroked="true" strokeweight=".677928pt" strokecolor="#000000">
              <v:stroke dashstyle="solid"/>
            </v:line>
            <v:line style="position:absolute" from="7127,784" to="7202,824" stroked="true" strokeweight=".67686pt" strokecolor="#000000">
              <v:stroke dashstyle="solid"/>
            </v:line>
            <v:line style="position:absolute" from="7202,824" to="7127,868" stroked="true" strokeweight=".677005pt" strokecolor="#000000">
              <v:stroke dashstyle="solid"/>
            </v:line>
            <v:line style="position:absolute" from="7250,789" to="7259,784" stroked="true" strokeweight=".67678pt" strokecolor="#000000">
              <v:stroke dashstyle="solid"/>
            </v:line>
            <v:line style="position:absolute" from="7259,784" to="7272,767" stroked="true" strokeweight=".678468pt" strokecolor="#000000">
              <v:stroke dashstyle="solid"/>
            </v:line>
            <v:line style="position:absolute" from="7272,767" to="7272,868" stroked="true" strokeweight=".679857pt" strokecolor="#000000">
              <v:stroke dashstyle="solid"/>
            </v:line>
            <v:line style="position:absolute" from="7342,864" to="7338,868" stroked="true" strokeweight=".677928pt" strokecolor="#000000">
              <v:stroke dashstyle="solid"/>
            </v:line>
            <v:line style="position:absolute" from="7338,868" to="7334,864" stroked="true" strokeweight=".677928pt" strokecolor="#000000">
              <v:stroke dashstyle="solid"/>
            </v:line>
            <v:line style="position:absolute" from="7334,864" to="7338,860" stroked="true" strokeweight=".677928pt" strokecolor="#000000">
              <v:stroke dashstyle="solid"/>
            </v:line>
            <v:line style="position:absolute" from="7338,860" to="7342,864" stroked="true" strokeweight=".677928pt" strokecolor="#000000">
              <v:stroke dashstyle="solid"/>
            </v:line>
            <v:line style="position:absolute" from="7336,868" to="7349,868" stroked="true" strokeweight=".436356pt" strokecolor="#000000">
              <v:stroke dashstyle="solid"/>
            </v:line>
            <v:line style="position:absolute" from="7342,873" to="7338,881" stroked="true" strokeweight=".679083pt" strokecolor="#000000">
              <v:stroke dashstyle="solid"/>
            </v:line>
            <v:line style="position:absolute" from="7338,881" to="7334,886" stroked="true" strokeweight=".677928pt" strokecolor="#000000">
              <v:stroke dashstyle="solid"/>
            </v:line>
            <v:line style="position:absolute" from="7386,767" to="7439,767" stroked="true" strokeweight=".67602pt" strokecolor="#000000">
              <v:stroke dashstyle="solid"/>
            </v:line>
            <v:line style="position:absolute" from="7439,767" to="7408,807" stroked="true" strokeweight=".678421pt" strokecolor="#000000">
              <v:stroke dashstyle="solid"/>
            </v:line>
            <v:line style="position:absolute" from="7408,807" to="7421,807" stroked="true" strokeweight=".67602pt" strokecolor="#000000">
              <v:stroke dashstyle="solid"/>
            </v:line>
            <v:line style="position:absolute" from="7421,807" to="7434,811" stroked="true" strokeweight=".6764pt" strokecolor="#000000">
              <v:stroke dashstyle="solid"/>
            </v:line>
            <v:line style="position:absolute" from="7434,811" to="7439,815" stroked="true" strokeweight=".677935pt" strokecolor="#000000">
              <v:stroke dashstyle="solid"/>
            </v:line>
            <v:line style="position:absolute" from="7439,815" to="7444,829" stroked="true" strokeweight=".679398pt" strokecolor="#000000">
              <v:stroke dashstyle="solid"/>
            </v:line>
            <v:line style="position:absolute" from="7437,835" to="7450,835" stroked="true" strokeweight=".654534pt" strokecolor="#000000">
              <v:stroke dashstyle="solid"/>
            </v:line>
            <v:line style="position:absolute" from="7444,842" to="7439,855" stroked="true" strokeweight=".679424pt" strokecolor="#000000">
              <v:stroke dashstyle="solid"/>
            </v:line>
            <v:line style="position:absolute" from="7439,855" to="7430,864" stroked="true" strokeweight=".677931pt" strokecolor="#000000">
              <v:stroke dashstyle="solid"/>
            </v:line>
            <v:line style="position:absolute" from="7430,864" to="7413,868" stroked="true" strokeweight=".676243pt" strokecolor="#000000">
              <v:stroke dashstyle="solid"/>
            </v:line>
            <v:line style="position:absolute" from="7413,868" to="7399,868" stroked="true" strokeweight=".67602pt" strokecolor="#000000">
              <v:stroke dashstyle="solid"/>
            </v:line>
            <v:line style="position:absolute" from="7399,868" to="7386,864" stroked="true" strokeweight=".6764pt" strokecolor="#000000">
              <v:stroke dashstyle="solid"/>
            </v:line>
            <v:line style="position:absolute" from="7386,864" to="7382,860" stroked="true" strokeweight=".677928pt" strokecolor="#000000">
              <v:stroke dashstyle="solid"/>
            </v:line>
            <v:line style="position:absolute" from="7382,860" to="7377,851" stroked="true" strokeweight=".679083pt" strokecolor="#000000">
              <v:stroke dashstyle="solid"/>
            </v:line>
            <v:line style="position:absolute" from="7474,767" to="7474,868" stroked="true" strokeweight=".679857pt" strokecolor="#000000">
              <v:stroke dashstyle="solid"/>
            </v:line>
            <v:line style="position:absolute" from="7540,767" to="7540,868" stroked="true" strokeweight=".679857pt" strokecolor="#000000">
              <v:stroke dashstyle="solid"/>
            </v:line>
            <v:line style="position:absolute" from="7474,815" to="7540,815" stroked="true" strokeweight=".67602pt" strokecolor="#000000">
              <v:stroke dashstyle="solid"/>
            </v:line>
            <v:line style="position:absolute" from="9014,1097" to="9014,1097" stroked="true" strokeweight=".67602pt" strokecolor="#000000">
              <v:stroke dashstyle="solid"/>
            </v:line>
            <v:line style="position:absolute" from="9014,1097" to="9019,1093" stroked="true" strokeweight=".677928pt" strokecolor="#000000">
              <v:stroke dashstyle="solid"/>
            </v:line>
            <v:line style="position:absolute" from="9012,1091" to="9026,1091" stroked="true" strokeweight=".218178pt" strokecolor="#000000">
              <v:stroke dashstyle="solid"/>
            </v:line>
            <v:line style="position:absolute" from="9019,1089" to="9028,1089" stroked="true" strokeweight=".67602pt" strokecolor="#000000">
              <v:stroke dashstyle="solid"/>
            </v:line>
            <v:line style="position:absolute" from="9028,1089" to="9036,1089" stroked="true" strokeweight=".67602pt" strokecolor="#000000">
              <v:stroke dashstyle="solid"/>
            </v:line>
            <v:line style="position:absolute" from="9039,1082" to="9039,1095" stroked="true" strokeweight=".23697pt" strokecolor="#000000">
              <v:stroke dashstyle="solid"/>
            </v:line>
            <v:line style="position:absolute" from="9034,1091" to="9048,1091" stroked="true" strokeweight=".218178pt" strokecolor="#000000">
              <v:stroke dashstyle="solid"/>
            </v:line>
            <v:line style="position:absolute" from="9041,1093" to="9045,1097" stroked="true" strokeweight=".677928pt" strokecolor="#000000">
              <v:stroke dashstyle="solid"/>
            </v:line>
            <v:line style="position:absolute" from="9039,1100" to="9052,1100" stroked="true" strokeweight=".218178pt" strokecolor="#000000">
              <v:stroke dashstyle="solid"/>
            </v:line>
            <v:line style="position:absolute" from="9045,1102" to="9041,1106" stroked="true" strokeweight=".677928pt" strokecolor="#000000">
              <v:stroke dashstyle="solid"/>
            </v:line>
            <v:line style="position:absolute" from="9041,1106" to="9036,1115" stroked="true" strokeweight=".678983pt" strokecolor="#000000">
              <v:stroke dashstyle="solid"/>
            </v:line>
            <v:line style="position:absolute" from="9036,1115" to="9014,1137" stroked="true" strokeweight=".677966pt" strokecolor="#000000">
              <v:stroke dashstyle="solid"/>
            </v:line>
            <v:line style="position:absolute" from="9014,1137" to="9045,1137" stroked="true" strokeweight=".67602pt" strokecolor="#000000">
              <v:stroke dashstyle="solid"/>
            </v:line>
            <v:line style="position:absolute" from="8685,983" to="8689,978" stroked="true" strokeweight=".677928pt" strokecolor="#000000">
              <v:stroke dashstyle="solid"/>
            </v:line>
            <v:line style="position:absolute" from="8689,978" to="8698,974" stroked="true" strokeweight=".67678pt" strokecolor="#000000">
              <v:stroke dashstyle="solid"/>
            </v:line>
            <v:line style="position:absolute" from="8698,974" to="8698,1022" stroked="true" strokeweight=".679857pt" strokecolor="#000000">
              <v:stroke dashstyle="solid"/>
            </v:line>
            <v:line style="position:absolute" from="8526,860" to="9023,860" stroked="true" strokeweight=".67602pt" strokecolor="#000000">
              <v:stroke dashstyle="solid"/>
            </v:line>
            <v:line style="position:absolute" from="8526,1295" to="9023,1295" stroked="true" strokeweight=".67602pt" strokecolor="#000000">
              <v:stroke dashstyle="solid"/>
            </v:line>
            <v:line style="position:absolute" from="8962,860" to="8962,996" stroked="true" strokeweight=".679857pt" strokecolor="#000000">
              <v:stroke dashstyle="solid"/>
            </v:line>
            <v:line style="position:absolute" from="8962,1295" to="8962,1159" stroked="true" strokeweight=".679857pt" strokecolor="#000000">
              <v:stroke dashstyle="solid"/>
            </v:line>
            <v:line style="position:absolute" from="8992,890" to="8931,833" stroked="true" strokeweight=".6778pt" strokecolor="#000000">
              <v:stroke dashstyle="solid"/>
            </v:line>
            <v:line style="position:absolute" from="8931,1264" to="8992,1322" stroked="true" strokeweight=".6778pt" strokecolor="#000000">
              <v:stroke dashstyle="solid"/>
            </v:line>
            <v:line style="position:absolute" from="8931,1027" to="8931,1128" stroked="true" strokeweight=".679857pt" strokecolor="#000000">
              <v:stroke dashstyle="solid"/>
            </v:line>
            <v:line style="position:absolute" from="8997,1027" to="8997,1128" stroked="true" strokeweight=".679857pt" strokecolor="#000000">
              <v:stroke dashstyle="solid"/>
            </v:line>
            <v:line style="position:absolute" from="8931,1075" to="8997,1075" stroked="true" strokeweight=".67602pt" strokecolor="#000000">
              <v:stroke dashstyle="solid"/>
            </v:line>
            <v:shape style="position:absolute;left:8526;top:802;width:168;height:313" type="#_x0000_t75" stroked="false">
              <v:imagedata r:id="rId71" o:title=""/>
            </v:shape>
            <v:line style="position:absolute" from="9622,802" to="9622,1295" stroked="true" strokeweight=".679858pt" strokecolor="#000000">
              <v:stroke dashstyle="solid"/>
            </v:line>
            <v:line style="position:absolute" from="9455,802" to="9455,1295" stroked="true" strokeweight=".679858pt" strokecolor="#000000">
              <v:stroke dashstyle="solid"/>
            </v:line>
            <v:line style="position:absolute" from="9615,791" to="9629,791" stroked="true" strokeweight=".654534pt" strokecolor="#000000">
              <v:stroke dashstyle="solid"/>
            </v:line>
            <v:line style="position:absolute" from="9615,771" to="9629,771" stroked="true" strokeweight=".436356pt" strokecolor="#000000">
              <v:stroke dashstyle="solid"/>
            </v:line>
            <v:line style="position:absolute" from="9615,752" to="9629,752" stroked="true" strokeweight=".676351pt" strokecolor="#000000">
              <v:stroke dashstyle="solid"/>
            </v:line>
            <v:line style="position:absolute" from="9615,734" to="9629,734" stroked="true" strokeweight=".654534pt" strokecolor="#000000">
              <v:stroke dashstyle="solid"/>
            </v:line>
            <v:line style="position:absolute" from="9448,791" to="9462,791" stroked="true" strokeweight=".654534pt" strokecolor="#000000">
              <v:stroke dashstyle="solid"/>
            </v:line>
            <v:line style="position:absolute" from="9448,771" to="9462,771" stroked="true" strokeweight=".436356pt" strokecolor="#000000">
              <v:stroke dashstyle="solid"/>
            </v:line>
            <v:line style="position:absolute" from="9448,752" to="9462,752" stroked="true" strokeweight=".676351pt" strokecolor="#000000">
              <v:stroke dashstyle="solid"/>
            </v:line>
            <v:line style="position:absolute" from="9448,734" to="9462,734" stroked="true" strokeweight=".654534pt" strokecolor="#000000">
              <v:stroke dashstyle="solid"/>
            </v:line>
            <v:line style="position:absolute" from="9455,824" to="9622,824" stroked="true" strokeweight=".67602pt" strokecolor="#000000">
              <v:stroke dashstyle="solid"/>
            </v:line>
            <v:line style="position:absolute" from="9455,802" to="9622,802" stroked="true" strokeweight=".67602pt" strokecolor="#000000">
              <v:stroke dashstyle="solid"/>
            </v:line>
            <v:line style="position:absolute" from="9455,784" to="9622,784" stroked="true" strokeweight=".67602pt" strokecolor="#000000">
              <v:stroke dashstyle="solid"/>
            </v:line>
            <v:line style="position:absolute" from="9455,767" to="9622,767" stroked="true" strokeweight=".67602pt" strokecolor="#000000">
              <v:stroke dashstyle="solid"/>
            </v:line>
            <v:line style="position:absolute" from="9455,745" to="9622,745" stroked="true" strokeweight=".67602pt" strokecolor="#000000">
              <v:stroke dashstyle="solid"/>
            </v:line>
            <v:line style="position:absolute" from="9455,727" to="9622,727" stroked="true" strokeweight=".67602pt" strokecolor="#000000">
              <v:stroke dashstyle="solid"/>
            </v:line>
            <v:line style="position:absolute" from="10141,1066" to="10141,1066" stroked="true" strokeweight=".67602pt" strokecolor="#000000">
              <v:stroke dashstyle="solid"/>
            </v:line>
            <v:line style="position:absolute" from="10141,1066" to="10146,1058" stroked="true" strokeweight=".679083pt" strokecolor="#000000">
              <v:stroke dashstyle="solid"/>
            </v:line>
            <v:line style="position:absolute" from="10148,1051" to="10148,1064" stroked="true" strokeweight=".219416pt" strokecolor="#000000">
              <v:stroke dashstyle="solid"/>
            </v:line>
            <v:line style="position:absolute" from="10152,1051" to="10152,1064" stroked="true" strokeweight=".219416pt" strokecolor="#000000">
              <v:stroke dashstyle="solid"/>
            </v:line>
            <v:line style="position:absolute" from="10154,1058" to="10163,1058" stroked="true" strokeweight=".67602pt" strokecolor="#000000">
              <v:stroke dashstyle="solid"/>
            </v:line>
            <v:line style="position:absolute" from="10165,1051" to="10165,1064" stroked="true" strokeweight=".219416pt" strokecolor="#000000">
              <v:stroke dashstyle="solid"/>
            </v:line>
            <v:line style="position:absolute" from="10167,1058" to="10167,1058" stroked="true" strokeweight=".67602pt" strokecolor="#000000">
              <v:stroke dashstyle="solid"/>
            </v:line>
            <v:line style="position:absolute" from="10167,1058" to="10172,1066" stroked="true" strokeweight=".679083pt" strokecolor="#000000">
              <v:stroke dashstyle="solid"/>
            </v:line>
            <v:line style="position:absolute" from="10165,1069" to="10179,1069" stroked="true" strokeweight=".218178pt" strokecolor="#000000">
              <v:stroke dashstyle="solid"/>
            </v:line>
            <v:line style="position:absolute" from="10172,1071" to="10167,1075" stroked="true" strokeweight=".677928pt" strokecolor="#000000">
              <v:stroke dashstyle="solid"/>
            </v:line>
            <v:line style="position:absolute" from="10167,1075" to="10163,1079" stroked="true" strokeweight=".677928pt" strokecolor="#000000">
              <v:stroke dashstyle="solid"/>
            </v:line>
            <v:line style="position:absolute" from="10163,1079" to="10141,1106" stroked="true" strokeweight=".678305pt" strokecolor="#000000">
              <v:stroke dashstyle="solid"/>
            </v:line>
            <v:line style="position:absolute" from="10141,1106" to="10176,1106" stroked="true" strokeweight=".67602pt" strokecolor="#000000">
              <v:stroke dashstyle="solid"/>
            </v:line>
            <v:line style="position:absolute" from="10092,1921" to="10418,1921" stroked="true" strokeweight=".67602pt" strokecolor="#000000">
              <v:stroke dashstyle="solid"/>
            </v:line>
            <v:line style="position:absolute" from="10224,1295" to="10224,1921" stroked="true" strokeweight=".679857pt" strokecolor="#808080">
              <v:stroke dashstyle="solid"/>
            </v:line>
            <v:line style="position:absolute" from="6075,1921" to="6075,1797" stroked="true" strokeweight=".679857pt" strokecolor="#000000">
              <v:stroke dashstyle="solid"/>
            </v:line>
            <v:line style="position:absolute" from="6075,1797" to="5969,1797" stroked="true" strokeweight=".67602pt" strokecolor="#000000">
              <v:stroke dashstyle="solid"/>
            </v:line>
            <v:line style="position:absolute" from="5969,1797" to="5969,1727" stroked="true" strokeweight=".679857pt" strokecolor="#000000">
              <v:stroke dashstyle="solid"/>
            </v:line>
            <v:line style="position:absolute" from="5969,1727" to="8460,860" stroked="true" strokeweight=".676435pt" strokecolor="#000000">
              <v:stroke dashstyle="solid"/>
            </v:line>
            <v:line style="position:absolute" from="8460,860" to="8460,1295" stroked="true" strokeweight=".679857pt" strokecolor="#000000">
              <v:stroke dashstyle="solid"/>
            </v:line>
            <v:line style="position:absolute" from="8460,1295" to="10124,1295" stroked="true" strokeweight=".67602pt" strokecolor="#000000">
              <v:stroke dashstyle="solid"/>
            </v:line>
            <v:line style="position:absolute" from="10124,1295" to="10224,1295" stroked="true" strokeweight=".67602pt" strokecolor="#000000">
              <v:stroke dashstyle="solid"/>
            </v:line>
            <v:line style="position:absolute" from="10224,1295" to="10224,1921" stroked="true" strokeweight=".679857pt" strokecolor="#000000">
              <v:stroke dashstyle="solid"/>
            </v:line>
            <w10:wrap type="topAndBottom"/>
          </v:group>
        </w:pict>
      </w:r>
    </w:p>
    <w:p>
      <w:pPr>
        <w:pStyle w:val="BodyText"/>
        <w:spacing w:before="11"/>
        <w:rPr>
          <w:sz w:val="21"/>
        </w:rPr>
      </w:pPr>
    </w:p>
    <w:p>
      <w:pPr>
        <w:spacing w:before="0"/>
        <w:ind w:left="1182" w:right="1355" w:firstLine="0"/>
        <w:jc w:val="center"/>
        <w:rPr>
          <w:b/>
          <w:sz w:val="18"/>
        </w:rPr>
      </w:pPr>
      <w:r>
        <w:rPr/>
        <w:pict>
          <v:line style="position:absolute;mso-position-horizontal-relative:page;mso-position-vertical-relative:paragraph;z-index:251793408" from="91.724808pt,-14.936738pt" to="92.58422pt,-14.936738pt" stroked="true" strokeweight=".631313pt" strokecolor="#000000">
            <v:stroke dashstyle="solid"/>
            <w10:wrap type="none"/>
          </v:line>
        </w:pict>
      </w:r>
      <w:r>
        <w:rPr/>
        <w:pict>
          <v:line style="position:absolute;mso-position-horizontal-relative:page;mso-position-vertical-relative:paragraph;z-index:251794432" from="97.407509pt,-14.936738pt" to="116.365783pt,-14.936738pt" stroked="true" strokeweight=".631313pt" strokecolor="#000000">
            <v:stroke dashstyle="solid"/>
            <w10:wrap type="none"/>
          </v:line>
        </w:pict>
      </w:r>
      <w:r>
        <w:rPr/>
        <w:pict>
          <v:line style="position:absolute;mso-position-horizontal-relative:page;mso-position-vertical-relative:paragraph;z-index:251795456" from="121.189911pt,-14.936737pt" to="122.028342pt,-14.936737pt" stroked="true" strokeweight=".631313pt" strokecolor="#000000">
            <v:stroke dashstyle="solid"/>
            <w10:wrap type="none"/>
          </v:line>
        </w:pict>
      </w:r>
      <w:r>
        <w:rPr/>
        <w:pict>
          <v:line style="position:absolute;mso-position-horizontal-relative:page;mso-position-vertical-relative:paragraph;z-index:251796480" from="126.872604pt,-14.936737pt" to="145.809897pt,-14.936737pt" stroked="true" strokeweight=".631313pt" strokecolor="#000000">
            <v:stroke dashstyle="solid"/>
            <w10:wrap type="none"/>
          </v:line>
        </w:pict>
      </w:r>
      <w:r>
        <w:rPr/>
        <w:pict>
          <v:line style="position:absolute;mso-position-horizontal-relative:page;mso-position-vertical-relative:paragraph;z-index:251797504" from="150.654160pt,-14.936737pt" to="151.493430pt,-14.936737pt" stroked="true" strokeweight=".631313pt" strokecolor="#000000">
            <v:stroke dashstyle="solid"/>
            <w10:wrap type="none"/>
          </v:line>
        </w:pict>
      </w:r>
      <w:r>
        <w:rPr/>
        <w:pict>
          <v:line style="position:absolute;mso-position-horizontal-relative:page;mso-position-vertical-relative:paragraph;z-index:251798528" from="156.337708pt,-14.936737pt" to="175.271643pt,-14.936737pt" stroked="true" strokeweight=".631313pt" strokecolor="#000000">
            <v:stroke dashstyle="solid"/>
            <w10:wrap type="none"/>
          </v:line>
        </w:pict>
      </w:r>
      <w:r>
        <w:rPr/>
        <w:pict>
          <v:line style="position:absolute;mso-position-horizontal-relative:page;mso-position-vertical-relative:paragraph;z-index:251799552" from="180.12262pt,-14.936737pt" to="180.96189pt,-14.936737pt" stroked="true" strokeweight=".631313pt" strokecolor="#000000">
            <v:stroke dashstyle="solid"/>
            <w10:wrap type="none"/>
          </v:line>
        </w:pict>
      </w:r>
      <w:r>
        <w:rPr/>
        <w:pict>
          <v:line style="position:absolute;mso-position-horizontal-relative:page;mso-position-vertical-relative:paragraph;z-index:251800576" from="185.804474pt,-14.936736pt" to="204.738409pt,-14.936736pt" stroked="true" strokeweight=".631313pt" strokecolor="#000000">
            <v:stroke dashstyle="solid"/>
            <w10:wrap type="none"/>
          </v:line>
        </w:pict>
      </w:r>
      <w:r>
        <w:rPr/>
        <w:pict>
          <v:line style="position:absolute;mso-position-horizontal-relative:page;mso-position-vertical-relative:paragraph;z-index:251801600" from="209.581009pt,-14.936736pt" to="210.420279pt,-14.936736pt" stroked="true" strokeweight=".631313pt" strokecolor="#000000">
            <v:stroke dashstyle="solid"/>
            <w10:wrap type="none"/>
          </v:line>
        </w:pict>
      </w:r>
      <w:r>
        <w:rPr/>
        <w:pict>
          <v:line style="position:absolute;mso-position-horizontal-relative:page;mso-position-vertical-relative:paragraph;z-index:251802624" from="215.061432pt,-14.936736pt" to="234.205185pt,-14.936736pt" stroked="true" strokeweight=".631313pt" strokecolor="#000000">
            <v:stroke dashstyle="solid"/>
            <w10:wrap type="none"/>
          </v:line>
        </w:pict>
      </w:r>
      <w:r>
        <w:rPr/>
        <w:pict>
          <v:line style="position:absolute;mso-position-horizontal-relative:page;mso-position-vertical-relative:paragraph;z-index:251803648" from="239.047775pt,-14.936736pt" to="239.677228pt,-14.936736pt" stroked="true" strokeweight=".631313pt" strokecolor="#000000">
            <v:stroke dashstyle="solid"/>
            <w10:wrap type="none"/>
          </v:line>
        </w:pict>
      </w:r>
      <w:r>
        <w:rPr/>
        <w:pict>
          <v:line style="position:absolute;mso-position-horizontal-relative:page;mso-position-vertical-relative:paragraph;z-index:251804672" from="244.519821pt,-14.936736pt" to="263.671967pt,-14.936736pt" stroked="true" strokeweight=".631313pt" strokecolor="#000000">
            <v:stroke dashstyle="solid"/>
            <w10:wrap type="none"/>
          </v:line>
        </w:pict>
      </w:r>
      <w:r>
        <w:rPr/>
        <w:pict>
          <v:line style="position:absolute;mso-position-horizontal-relative:page;mso-position-vertical-relative:paragraph;z-index:251805696" from="268.304749pt,-14.936735pt" to="269.144019pt,-14.936735pt" stroked="true" strokeweight=".631313pt" strokecolor="#000000">
            <v:stroke dashstyle="solid"/>
            <w10:wrap type="none"/>
          </v:line>
        </w:pict>
      </w:r>
      <w:r>
        <w:rPr/>
        <w:pict>
          <v:line style="position:absolute;mso-position-horizontal-relative:page;mso-position-vertical-relative:paragraph;z-index:251806720" from="314.30835pt,-14.444411pt" to="315.185137pt,-14.444411pt" stroked="true" strokeweight=".67602pt" strokecolor="#000000">
            <v:stroke dashstyle="solid"/>
            <w10:wrap type="none"/>
          </v:line>
        </w:pict>
      </w:r>
      <w:r>
        <w:rPr/>
        <w:pict>
          <v:line style="position:absolute;mso-position-horizontal-relative:page;mso-position-vertical-relative:paragraph;z-index:251807744" from="320.032501pt,-14.444411pt" to="340.054678pt,-14.444411pt" stroked="true" strokeweight=".67602pt" strokecolor="#000000">
            <v:stroke dashstyle="solid"/>
            <w10:wrap type="none"/>
          </v:line>
        </w:pict>
      </w:r>
      <w:r>
        <w:rPr/>
        <w:pict>
          <v:line style="position:absolute;mso-position-horizontal-relative:page;mso-position-vertical-relative:paragraph;z-index:251808768" from="345.099487pt,-14.44441pt" to="345.7788pt,-14.44441pt" stroked="true" strokeweight=".67602pt" strokecolor="#000000">
            <v:stroke dashstyle="solid"/>
            <w10:wrap type="none"/>
          </v:line>
        </w:pict>
      </w:r>
      <w:r>
        <w:rPr/>
        <w:pict>
          <v:line style="position:absolute;mso-position-horizontal-relative:page;mso-position-vertical-relative:paragraph;z-index:251809792" from="350.822723pt,-14.44441pt" to="370.845778pt,-14.44441pt" stroked="true" strokeweight=".67602pt" strokecolor="#000000">
            <v:stroke dashstyle="solid"/>
            <w10:wrap type="none"/>
          </v:line>
        </w:pict>
      </w:r>
      <w:r>
        <w:rPr/>
        <w:pict>
          <v:line style="position:absolute;mso-position-horizontal-relative:page;mso-position-vertical-relative:paragraph;z-index:251810816" from="375.692261pt,-14.44441pt" to="376.569926pt,-14.44441pt" stroked="true" strokeweight=".67602pt" strokecolor="#000000">
            <v:stroke dashstyle="solid"/>
            <w10:wrap type="none"/>
          </v:line>
        </w:pict>
      </w:r>
      <w:r>
        <w:rPr/>
        <w:pict>
          <v:line style="position:absolute;mso-position-horizontal-relative:page;mso-position-vertical-relative:paragraph;z-index:251811840" from="381.637573pt,-14.44441pt" to="401.657117pt,-14.44441pt" stroked="true" strokeweight=".67602pt" strokecolor="#000000">
            <v:stroke dashstyle="solid"/>
            <w10:wrap type="none"/>
          </v:line>
        </w:pict>
      </w:r>
      <w:r>
        <w:rPr/>
        <w:pict>
          <v:line style="position:absolute;mso-position-horizontal-relative:page;mso-position-vertical-relative:paragraph;z-index:251812864" from="406.501831pt,-14.444409pt" to="407.379496pt,-14.444409pt" stroked="true" strokeweight=".67602pt" strokecolor="#000000">
            <v:stroke dashstyle="solid"/>
            <w10:wrap type="none"/>
          </v:line>
        </w:pict>
      </w:r>
      <w:r>
        <w:rPr/>
        <w:pict>
          <v:line style="position:absolute;mso-position-horizontal-relative:page;mso-position-vertical-relative:paragraph;z-index:251813888" from="412.452393pt,-14.444409pt" to="432.25252pt,-14.444409pt" stroked="true" strokeweight=".67602pt" strokecolor="#000000">
            <v:stroke dashstyle="solid"/>
            <w10:wrap type="none"/>
          </v:line>
        </w:pict>
      </w:r>
      <w:r>
        <w:rPr/>
        <w:pict>
          <v:line style="position:absolute;mso-position-horizontal-relative:page;mso-position-vertical-relative:paragraph;z-index:251814912" from="437.299103pt,-14.444409pt" to="438.176768pt,-14.444409pt" stroked="true" strokeweight=".67602pt" strokecolor="#000000">
            <v:stroke dashstyle="solid"/>
            <w10:wrap type="none"/>
          </v:line>
        </w:pict>
      </w:r>
      <w:r>
        <w:rPr/>
        <w:pict>
          <v:line style="position:absolute;mso-position-horizontal-relative:page;mso-position-vertical-relative:paragraph;z-index:251815936" from="443.240875pt,-14.444409pt" to="463.041003pt,-14.444409pt" stroked="true" strokeweight=".67602pt" strokecolor="#000000">
            <v:stroke dashstyle="solid"/>
            <w10:wrap type="none"/>
          </v:line>
        </w:pict>
      </w:r>
      <w:r>
        <w:rPr/>
        <w:pict>
          <v:line style="position:absolute;mso-position-horizontal-relative:page;mso-position-vertical-relative:paragraph;z-index:251816960" from="468.105133pt,-14.444409pt" to="468.982798pt,-14.444409pt" stroked="true" strokeweight=".67602pt" strokecolor="#000000">
            <v:stroke dashstyle="solid"/>
            <w10:wrap type="none"/>
          </v:line>
        </w:pict>
      </w:r>
      <w:r>
        <w:rPr/>
        <w:pict>
          <v:line style="position:absolute;mso-position-horizontal-relative:page;mso-position-vertical-relative:paragraph;z-index:251817984" from="473.836304pt,-14.444409pt" to="493.855847pt,-14.444409pt" stroked="true" strokeweight=".67602pt" strokecolor="#000000">
            <v:stroke dashstyle="solid"/>
            <w10:wrap type="none"/>
          </v:line>
        </w:pict>
      </w:r>
      <w:r>
        <w:rPr/>
        <w:pict>
          <v:line style="position:absolute;mso-position-horizontal-relative:page;mso-position-vertical-relative:paragraph;z-index:251819008" from="498.919952pt,-14.444408pt" to="499.797618pt,-14.444408pt" stroked="true" strokeweight=".67602pt" strokecolor="#000000">
            <v:stroke dashstyle="solid"/>
            <w10:wrap type="none"/>
          </v:line>
        </w:pict>
      </w:r>
      <w:r>
        <w:rPr>
          <w:b/>
          <w:sz w:val="18"/>
        </w:rPr>
        <w:t>Figura 2.2 Ejemplos de altura libre del extremo superior de la </w:t>
      </w:r>
      <w:r>
        <w:rPr>
          <w:b/>
          <w:i/>
          <w:sz w:val="18"/>
        </w:rPr>
        <w:t>bajante </w:t>
      </w:r>
      <w:r>
        <w:rPr>
          <w:b/>
          <w:sz w:val="18"/>
        </w:rPr>
        <w:t>sobre la cubierta</w:t>
      </w:r>
    </w:p>
    <w:p>
      <w:pPr>
        <w:pStyle w:val="BodyText"/>
        <w:rPr>
          <w:b/>
          <w:sz w:val="18"/>
        </w:rPr>
      </w:pPr>
    </w:p>
    <w:p>
      <w:pPr>
        <w:pStyle w:val="ListParagraph"/>
        <w:numPr>
          <w:ilvl w:val="0"/>
          <w:numId w:val="106"/>
        </w:numPr>
        <w:tabs>
          <w:tab w:pos="673" w:val="left" w:leader="none"/>
        </w:tabs>
        <w:spacing w:line="240" w:lineRule="auto" w:before="1" w:after="0"/>
        <w:ind w:left="672" w:right="391" w:hanging="454"/>
        <w:jc w:val="both"/>
        <w:rPr>
          <w:sz w:val="20"/>
        </w:rPr>
      </w:pPr>
      <w:r>
        <w:rPr>
          <w:sz w:val="20"/>
        </w:rPr>
        <w:t>En el extremo inferior de la </w:t>
      </w:r>
      <w:r>
        <w:rPr>
          <w:i/>
          <w:sz w:val="20"/>
        </w:rPr>
        <w:t>bajante </w:t>
      </w:r>
      <w:r>
        <w:rPr>
          <w:sz w:val="20"/>
        </w:rPr>
        <w:t>en los sistemas de traslado por gravedad debe disponerse una compuerta de cierre y un sistema que impida que, como consecuencia de la acumulación de los </w:t>
      </w:r>
      <w:r>
        <w:rPr>
          <w:i/>
          <w:sz w:val="20"/>
        </w:rPr>
        <w:t>re- </w:t>
      </w:r>
      <w:r>
        <w:rPr>
          <w:i/>
          <w:sz w:val="20"/>
        </w:rPr>
        <w:t>siduos </w:t>
      </w:r>
      <w:r>
        <w:rPr>
          <w:sz w:val="20"/>
        </w:rPr>
        <w:t>en el tramo de la </w:t>
      </w:r>
      <w:r>
        <w:rPr>
          <w:i/>
          <w:sz w:val="20"/>
        </w:rPr>
        <w:t>bajante </w:t>
      </w:r>
      <w:r>
        <w:rPr>
          <w:sz w:val="20"/>
        </w:rPr>
        <w:t>inmediatamente superior a la compuerta de cierre, los </w:t>
      </w:r>
      <w:r>
        <w:rPr>
          <w:i/>
          <w:sz w:val="20"/>
        </w:rPr>
        <w:t>residuos </w:t>
      </w:r>
      <w:r>
        <w:rPr>
          <w:sz w:val="20"/>
        </w:rPr>
        <w:t>al- cancen la compuerta de vertido más</w:t>
      </w:r>
      <w:r>
        <w:rPr>
          <w:spacing w:val="-3"/>
          <w:sz w:val="20"/>
        </w:rPr>
        <w:t> </w:t>
      </w:r>
      <w:r>
        <w:rPr>
          <w:sz w:val="20"/>
        </w:rPr>
        <w:t>baja.</w:t>
      </w:r>
    </w:p>
    <w:p>
      <w:pPr>
        <w:pStyle w:val="BodyText"/>
        <w:spacing w:before="6"/>
        <w:rPr>
          <w:sz w:val="17"/>
        </w:rPr>
      </w:pPr>
    </w:p>
    <w:p>
      <w:pPr>
        <w:pStyle w:val="Heading5"/>
        <w:numPr>
          <w:ilvl w:val="2"/>
          <w:numId w:val="99"/>
        </w:numPr>
        <w:tabs>
          <w:tab w:pos="787" w:val="left" w:leader="none"/>
        </w:tabs>
        <w:spacing w:line="240" w:lineRule="auto" w:before="0" w:after="0"/>
        <w:ind w:left="786" w:right="0" w:hanging="569"/>
        <w:jc w:val="both"/>
      </w:pPr>
      <w:r>
        <w:rPr/>
        <w:t>Condiciones particulares de las compuertas de</w:t>
      </w:r>
      <w:r>
        <w:rPr>
          <w:spacing w:val="-5"/>
        </w:rPr>
        <w:t> </w:t>
      </w:r>
      <w:r>
        <w:rPr/>
        <w:t>vertido</w:t>
      </w:r>
    </w:p>
    <w:p>
      <w:pPr>
        <w:pStyle w:val="ListParagraph"/>
        <w:numPr>
          <w:ilvl w:val="0"/>
          <w:numId w:val="107"/>
        </w:numPr>
        <w:tabs>
          <w:tab w:pos="673" w:val="left" w:leader="none"/>
        </w:tabs>
        <w:spacing w:line="240" w:lineRule="auto" w:before="98" w:after="0"/>
        <w:ind w:left="672" w:right="389" w:hanging="454"/>
        <w:jc w:val="both"/>
        <w:rPr>
          <w:sz w:val="20"/>
        </w:rPr>
      </w:pPr>
      <w:r>
        <w:rPr>
          <w:sz w:val="20"/>
        </w:rPr>
        <w:t>Las compuertas de vertido deben ser metálicas o de material con clase de reacción al fuego A1, impermeable, anticorrosivo, imputrescible y resistente a los golpes. En función de las características de resistencia a fuego deben ser de clase EI-60. Las superficies interiores deben ser</w:t>
      </w:r>
      <w:r>
        <w:rPr>
          <w:spacing w:val="-8"/>
          <w:sz w:val="20"/>
        </w:rPr>
        <w:t> </w:t>
      </w:r>
      <w:r>
        <w:rPr>
          <w:sz w:val="20"/>
        </w:rPr>
        <w:t>lisas.</w:t>
      </w:r>
    </w:p>
    <w:p>
      <w:pPr>
        <w:pStyle w:val="ListParagraph"/>
        <w:numPr>
          <w:ilvl w:val="0"/>
          <w:numId w:val="107"/>
        </w:numPr>
        <w:tabs>
          <w:tab w:pos="673" w:val="left" w:leader="none"/>
        </w:tabs>
        <w:spacing w:line="240" w:lineRule="auto" w:before="60" w:after="0"/>
        <w:ind w:left="672" w:right="393" w:hanging="454"/>
        <w:jc w:val="both"/>
        <w:rPr>
          <w:sz w:val="20"/>
        </w:rPr>
      </w:pPr>
      <w:r>
        <w:rPr>
          <w:sz w:val="20"/>
        </w:rPr>
        <w:t>Para que la unión de las compuertas con las </w:t>
      </w:r>
      <w:r>
        <w:rPr>
          <w:i/>
          <w:sz w:val="20"/>
        </w:rPr>
        <w:t>bajantes </w:t>
      </w:r>
      <w:r>
        <w:rPr>
          <w:sz w:val="20"/>
        </w:rPr>
        <w:t>sea estanca, debe disponerse un cierre con burlete elástico o adoptarse otra solución que produzca el mismo</w:t>
      </w:r>
      <w:r>
        <w:rPr>
          <w:spacing w:val="-7"/>
          <w:sz w:val="20"/>
        </w:rPr>
        <w:t> </w:t>
      </w:r>
      <w:r>
        <w:rPr>
          <w:sz w:val="20"/>
        </w:rPr>
        <w:t>efecto.</w:t>
      </w:r>
    </w:p>
    <w:p>
      <w:pPr>
        <w:pStyle w:val="ListParagraph"/>
        <w:numPr>
          <w:ilvl w:val="0"/>
          <w:numId w:val="107"/>
        </w:numPr>
        <w:tabs>
          <w:tab w:pos="673" w:val="left" w:leader="none"/>
        </w:tabs>
        <w:spacing w:line="240" w:lineRule="auto" w:before="61" w:after="0"/>
        <w:ind w:left="672" w:right="0" w:hanging="455"/>
        <w:jc w:val="both"/>
        <w:rPr>
          <w:sz w:val="20"/>
        </w:rPr>
      </w:pPr>
      <w:r>
        <w:rPr>
          <w:sz w:val="20"/>
        </w:rPr>
        <w:t>Las compuertas deben ser de tal forma que</w:t>
      </w:r>
      <w:r>
        <w:rPr>
          <w:spacing w:val="-6"/>
          <w:sz w:val="20"/>
        </w:rPr>
        <w:t> </w:t>
      </w:r>
      <w:r>
        <w:rPr>
          <w:sz w:val="20"/>
        </w:rPr>
        <w:t>permitan</w:t>
      </w:r>
    </w:p>
    <w:p>
      <w:pPr>
        <w:pStyle w:val="ListParagraph"/>
        <w:numPr>
          <w:ilvl w:val="1"/>
          <w:numId w:val="107"/>
        </w:numPr>
        <w:tabs>
          <w:tab w:pos="1126" w:val="left" w:leader="none"/>
        </w:tabs>
        <w:spacing w:line="240" w:lineRule="auto" w:before="59" w:after="0"/>
        <w:ind w:left="1126" w:right="0" w:hanging="454"/>
        <w:jc w:val="both"/>
        <w:rPr>
          <w:sz w:val="20"/>
        </w:rPr>
      </w:pPr>
      <w:r>
        <w:rPr>
          <w:sz w:val="20"/>
        </w:rPr>
        <w:t>el vertido de los </w:t>
      </w:r>
      <w:r>
        <w:rPr>
          <w:i/>
          <w:sz w:val="20"/>
        </w:rPr>
        <w:t>residuos </w:t>
      </w:r>
      <w:r>
        <w:rPr>
          <w:sz w:val="20"/>
        </w:rPr>
        <w:t>con</w:t>
      </w:r>
      <w:r>
        <w:rPr>
          <w:spacing w:val="-3"/>
          <w:sz w:val="20"/>
        </w:rPr>
        <w:t> </w:t>
      </w:r>
      <w:r>
        <w:rPr>
          <w:sz w:val="20"/>
        </w:rPr>
        <w:t>facilidad;</w:t>
      </w:r>
    </w:p>
    <w:p>
      <w:pPr>
        <w:spacing w:after="0" w:line="240" w:lineRule="auto"/>
        <w:jc w:val="both"/>
        <w:rPr>
          <w:sz w:val="20"/>
        </w:rPr>
        <w:sectPr>
          <w:pgSz w:w="11910" w:h="16840"/>
          <w:pgMar w:header="724" w:footer="636" w:top="1320" w:bottom="840" w:left="1200" w:right="740"/>
        </w:sectPr>
      </w:pPr>
    </w:p>
    <w:p>
      <w:pPr>
        <w:pStyle w:val="ListParagraph"/>
        <w:numPr>
          <w:ilvl w:val="1"/>
          <w:numId w:val="107"/>
        </w:numPr>
        <w:tabs>
          <w:tab w:pos="1126" w:val="left" w:leader="none"/>
        </w:tabs>
        <w:spacing w:line="240" w:lineRule="auto" w:before="91" w:after="0"/>
        <w:ind w:left="1126" w:right="0" w:hanging="454"/>
        <w:jc w:val="both"/>
        <w:rPr>
          <w:sz w:val="20"/>
        </w:rPr>
      </w:pPr>
      <w:r>
        <w:rPr>
          <w:sz w:val="20"/>
        </w:rPr>
        <w:t>su limpieza interior con</w:t>
      </w:r>
      <w:r>
        <w:rPr>
          <w:spacing w:val="-3"/>
          <w:sz w:val="20"/>
        </w:rPr>
        <w:t> </w:t>
      </w:r>
      <w:r>
        <w:rPr>
          <w:sz w:val="20"/>
        </w:rPr>
        <w:t>facilidad;</w:t>
      </w:r>
    </w:p>
    <w:p>
      <w:pPr>
        <w:pStyle w:val="ListParagraph"/>
        <w:numPr>
          <w:ilvl w:val="1"/>
          <w:numId w:val="107"/>
        </w:numPr>
        <w:tabs>
          <w:tab w:pos="1126" w:val="left" w:leader="none"/>
        </w:tabs>
        <w:spacing w:line="240" w:lineRule="auto" w:before="59" w:after="0"/>
        <w:ind w:left="1126" w:right="0" w:hanging="454"/>
        <w:jc w:val="both"/>
        <w:rPr>
          <w:sz w:val="20"/>
        </w:rPr>
      </w:pPr>
      <w:r>
        <w:rPr>
          <w:sz w:val="20"/>
        </w:rPr>
        <w:t>el acceso para eliminar los atascos que se produzcan en las</w:t>
      </w:r>
      <w:r>
        <w:rPr>
          <w:spacing w:val="-6"/>
          <w:sz w:val="20"/>
        </w:rPr>
        <w:t> </w:t>
      </w:r>
      <w:r>
        <w:rPr>
          <w:i/>
          <w:sz w:val="20"/>
        </w:rPr>
        <w:t>bajantes</w:t>
      </w:r>
      <w:r>
        <w:rPr>
          <w:sz w:val="20"/>
        </w:rPr>
        <w:t>.</w:t>
      </w:r>
    </w:p>
    <w:p>
      <w:pPr>
        <w:pStyle w:val="ListParagraph"/>
        <w:numPr>
          <w:ilvl w:val="0"/>
          <w:numId w:val="107"/>
        </w:numPr>
        <w:tabs>
          <w:tab w:pos="673" w:val="left" w:leader="none"/>
        </w:tabs>
        <w:spacing w:line="240" w:lineRule="auto" w:before="61" w:after="0"/>
        <w:ind w:left="672" w:right="390" w:hanging="454"/>
        <w:jc w:val="both"/>
        <w:rPr>
          <w:sz w:val="20"/>
        </w:rPr>
      </w:pPr>
      <w:r>
        <w:rPr>
          <w:sz w:val="20"/>
        </w:rPr>
        <w:t>Las compuertas deben ir provistas de cierre hermético y silencioso. Para evitar que cuando haya una compuerta abierta se pueda abrir otra, debe disponerse un sistema de enclavamiento eléctrico o adoptarse otra solución que produzca el mismo</w:t>
      </w:r>
      <w:r>
        <w:rPr>
          <w:spacing w:val="-4"/>
          <w:sz w:val="20"/>
        </w:rPr>
        <w:t> </w:t>
      </w:r>
      <w:r>
        <w:rPr>
          <w:sz w:val="20"/>
        </w:rPr>
        <w:t>efecto.</w:t>
      </w:r>
    </w:p>
    <w:p>
      <w:pPr>
        <w:pStyle w:val="ListParagraph"/>
        <w:numPr>
          <w:ilvl w:val="0"/>
          <w:numId w:val="107"/>
        </w:numPr>
        <w:tabs>
          <w:tab w:pos="673" w:val="left" w:leader="none"/>
        </w:tabs>
        <w:spacing w:line="240" w:lineRule="auto" w:before="60" w:after="0"/>
        <w:ind w:left="672" w:right="392" w:hanging="454"/>
        <w:jc w:val="both"/>
        <w:rPr>
          <w:sz w:val="20"/>
        </w:rPr>
      </w:pPr>
      <w:r>
        <w:rPr>
          <w:sz w:val="20"/>
        </w:rPr>
        <w:t>Cuando las compuertas sean circulares deben tener un diámetro comprendido entre 300 y 350 mm y, cuando sean rectangulares, deben tener unas dimensiones comprendidas entre 300x300 y 350x350 mm.</w:t>
      </w:r>
    </w:p>
    <w:p>
      <w:pPr>
        <w:pStyle w:val="ListParagraph"/>
        <w:numPr>
          <w:ilvl w:val="0"/>
          <w:numId w:val="107"/>
        </w:numPr>
        <w:tabs>
          <w:tab w:pos="673" w:val="left" w:leader="none"/>
        </w:tabs>
        <w:spacing w:line="240" w:lineRule="auto" w:before="60" w:after="0"/>
        <w:ind w:left="672" w:right="398" w:hanging="454"/>
        <w:jc w:val="both"/>
        <w:rPr>
          <w:sz w:val="20"/>
        </w:rPr>
      </w:pPr>
      <w:r>
        <w:rPr/>
        <w:pict>
          <v:group style="position:absolute;margin-left:177.414642pt;margin-top:29.795906pt;width:138.050pt;height:156.75pt;mso-position-horizontal-relative:page;mso-position-vertical-relative:paragraph;z-index:251821056" coordorigin="3548,596" coordsize="2761,3135">
            <v:shape style="position:absolute;left:5540;top:595;width:769;height:309" type="#_x0000_t75" stroked="false">
              <v:imagedata r:id="rId72" o:title=""/>
            </v:shape>
            <v:shape style="position:absolute;left:3548;top:781;width:2514;height:2949" type="#_x0000_t75" stroked="false">
              <v:imagedata r:id="rId73" o:title=""/>
            </v:shape>
            <w10:wrap type="none"/>
          </v:group>
        </w:pict>
      </w:r>
      <w:r>
        <w:rPr/>
        <w:pict>
          <v:group style="position:absolute;margin-left:330.118408pt;margin-top:39.086914pt;width:126pt;height:121.75pt;mso-position-horizontal-relative:page;mso-position-vertical-relative:paragraph;z-index:251822080" coordorigin="6602,782" coordsize="2520,2435">
            <v:line style="position:absolute" from="8110,1591" to="9121,1591" stroked="true" strokeweight=".750484pt" strokecolor="#000000">
              <v:stroke dashstyle="solid"/>
            </v:line>
            <v:shape style="position:absolute;left:9182;top:9064;width:2027;height:30" coordorigin="9182,9064" coordsize="2027,30" path="m9121,1599l8110,1599,8125,1584,9121,1584,9121,1599xm9121,1599l8110,1599,8125,1584,9121,1584,9121,1599e" filled="false" stroked="true" strokeweight=".124834pt" strokecolor="#000000">
              <v:path arrowok="t"/>
              <v:stroke dashstyle="solid"/>
            </v:shape>
            <v:line style="position:absolute" from="8118,1340" to="8118,1599" stroked="true" strokeweight=".748239pt" strokecolor="#000000">
              <v:stroke dashstyle="solid"/>
            </v:line>
            <v:shape style="position:absolute;left:9182;top:8577;width:30;height:517" coordorigin="9182,8578" coordsize="30,517" path="m8110,1599l8110,1340,8125,1355,8125,1584,8110,1599xm8110,1599l8110,1340,8125,1355,8125,1584,8110,1599e" filled="false" stroked="true" strokeweight=".124834pt" strokecolor="#000000">
              <v:path arrowok="t"/>
              <v:stroke dashstyle="solid"/>
            </v:shape>
            <v:line style="position:absolute" from="8110,1348" to="9121,1348" stroked="true" strokeweight=".750484pt" strokecolor="#000000">
              <v:stroke dashstyle="solid"/>
            </v:line>
            <v:shape style="position:absolute;left:9182;top:8577;width:2027;height:30" coordorigin="9182,8578" coordsize="2027,30" path="m8110,1340l9121,1340,9121,1355,8125,1355,8110,1340xm8110,1340l9121,1340,9121,1355,8125,1355,8110,1340e" filled="false" stroked="true" strokeweight=".124834pt" strokecolor="#000000">
              <v:path arrowok="t"/>
              <v:stroke dashstyle="solid"/>
            </v:shape>
            <v:line style="position:absolute" from="6610,1348" to="7641,1348" stroked="true" strokeweight=".750484pt" strokecolor="#000000">
              <v:stroke dashstyle="solid"/>
            </v:line>
            <v:shape style="position:absolute;left:6175;top:8577;width:2067;height:30" coordorigin="6175,8578" coordsize="2067,30" path="m6610,1340l7641,1340,7623,1355,6610,1355,6610,1340xm6610,1340l7641,1340,7623,1355,6610,1355,6610,1340e" filled="false" stroked="true" strokeweight=".124834pt" strokecolor="#000000">
              <v:path arrowok="t"/>
              <v:stroke dashstyle="solid"/>
            </v:shape>
            <v:line style="position:absolute" from="7632,1340" to="7632,1599" stroked="true" strokeweight=".872945pt" strokecolor="#000000">
              <v:stroke dashstyle="solid"/>
            </v:line>
            <v:shape style="position:absolute;left:8206;top:8577;width:35;height:517" coordorigin="8206,8578" coordsize="35,517" path="m7641,1340l7641,1599,7623,1584,7623,1355,7641,1340xm7641,1340l7641,1599,7623,1584,7623,1355,7641,1340e" filled="false" stroked="true" strokeweight=".124834pt" strokecolor="#000000">
              <v:path arrowok="t"/>
              <v:stroke dashstyle="solid"/>
            </v:shape>
            <v:line style="position:absolute" from="6610,1591" to="7641,1591" stroked="true" strokeweight=".750484pt" strokecolor="#000000">
              <v:stroke dashstyle="solid"/>
            </v:line>
            <v:shape style="position:absolute;left:6175;top:8592;width:3993;height:3732" coordorigin="6175,8593" coordsize="3993,3732" path="m7641,1599l6610,1599,6610,1584,7623,1584,7641,1599xm7641,1599l6610,1599,6610,1584,7623,1584,7641,1599m7633,1348l8118,1348m7633,1591l8118,1591m7147,3215l8602,3215m7147,1591l7147,3215m8602,1591l8602,3215m7086,3215l6822,3215m7062,1591l6822,1591m6902,3054l6902,1754e" filled="false" stroked="true" strokeweight=".124834pt" strokecolor="#000000">
              <v:path arrowok="t"/>
              <v:stroke dashstyle="solid"/>
            </v:shape>
            <v:shape style="position:absolute;left:6874;top:3054;width:56;height:161" coordorigin="6874,3054" coordsize="56,161" path="m6929,3054l6874,3054,6902,3215,6929,3054xe" filled="true" fillcolor="#000000" stroked="false">
              <v:path arrowok="t"/>
              <v:fill type="solid"/>
            </v:shape>
            <v:shape style="position:absolute;left:6705;top:12003;width:111;height:321" coordorigin="6705,12004" coordsize="111,321" path="m6874,3054l6929,3054,6902,3215,6874,3054xm6874,3054l6929,3054,6902,3215,6874,3054e" filled="false" stroked="true" strokeweight=".124834pt" strokecolor="#000000">
              <v:path arrowok="t"/>
              <v:stroke dashstyle="solid"/>
            </v:shape>
            <v:shape style="position:absolute;left:6874;top:1591;width:56;height:164" coordorigin="6874,1591" coordsize="56,164" path="m6902,1591l6874,1754,6929,1754,6902,1591xe" filled="true" fillcolor="#000000" stroked="false">
              <v:path arrowok="t"/>
              <v:fill type="solid"/>
            </v:shape>
            <v:shape style="position:absolute;left:6705;top:9079;width:111;height:326" coordorigin="6705,9079" coordsize="111,326" path="m6874,1754l6929,1754,6902,1591,6874,1754xm6874,1754l6929,1754,6902,1591,6874,1754e" filled="false" stroked="true" strokeweight=".124834pt" strokecolor="#000000">
              <v:path arrowok="t"/>
              <v:stroke dashstyle="solid"/>
            </v:shape>
            <v:shape style="position:absolute;left:6659;top:2502;width:68;height:66" coordorigin="6660,2502" coordsize="68,66" path="m6700,2502l6687,2502,6660,2567,6672,2567,6692,2517,6706,2517,6700,2502xm6706,2517l6692,2517,6715,2567,6727,2567,6706,2517xe" filled="true" fillcolor="#000000" stroked="false">
              <v:path arrowok="t"/>
              <v:fill type="solid"/>
            </v:shape>
            <v:shape style="position:absolute;left:6275;top:10900;width:136;height:131" coordorigin="6275,10900" coordsize="136,131" path="m6700,2502l6727,2567,6715,2567,6692,2517,6672,2567,6660,2567,6687,2502,6700,2502,6700,2502xm6700,2502l6727,2567,6715,2567,6692,2517,6672,2567,6660,2567,6687,2502,6700,2502,6700,2502e" filled="false" stroked="true" strokeweight=".124834pt" strokecolor="#000000">
              <v:path arrowok="t"/>
              <v:stroke dashstyle="solid"/>
            </v:shape>
            <v:shape style="position:absolute;left:6644;top:2406;width:95;height:36" coordorigin="6645,2407" coordsize="95,36" path="m6740,2407l6645,2407,6645,2414,6652,2422,6657,2424,6660,2429,6665,2434,6665,2439,6667,2442,6680,2442,6677,2437,6675,2434,6675,2429,6672,2429,6670,2424,6665,2419,6740,2419,6740,2407xe" filled="true" fillcolor="#000000" stroked="false">
              <v:path arrowok="t"/>
              <v:fill type="solid"/>
            </v:shape>
            <v:shape style="position:absolute;left:6245;top:10709;width:191;height:71" coordorigin="6245,10709" coordsize="191,71" path="m6740,2407l6740,2419,6665,2419,6667,2422,6670,2424,6672,2429,6675,2429,6675,2434,6677,2437,6680,2442,6680,2442,6667,2442,6665,2439,6665,2434,6662,2432,6660,2429,6657,2424,6652,2422,6650,2419,6647,2417,6645,2414,6645,2407,6740,2407,6740,2407xm6740,2407l6740,2419,6665,2419,6667,2422,6670,2424,6672,2429,6675,2429,6675,2434,6677,2437,6680,2442,6680,2442,6667,2442,6665,2439,6665,2434,6662,2432,6660,2429,6657,2424,6652,2422,6650,2419,6647,2417,6645,2414,6645,2407,6740,2407,6740,2407e" filled="false" stroked="true" strokeweight=".124834pt" strokecolor="#000000">
              <v:path arrowok="t"/>
              <v:stroke dashstyle="solid"/>
            </v:shape>
            <v:shape style="position:absolute;left:6669;top:2238;width:71;height:96" coordorigin="6670,2238" coordsize="71,96" path="m6740,2324l6670,2324,6670,2334,6740,2334,6740,2324xm6740,2238l6690,2238,6685,2241,6680,2241,6672,2248,6670,2253,6670,2266,6672,2271,6672,2274,6675,2276,6677,2281,6682,2284,6677,2284,6675,2286,6672,2291,6670,2294,6670,2311,6672,2316,6680,2324,6697,2324,6692,2321,6687,2321,6685,2319,6680,2309,6680,2299,6682,2296,6687,2294,6740,2294,6740,2281,6690,2281,6685,2276,6682,2271,6680,2269,6680,2261,6682,2256,6682,2253,6687,2253,6692,2251,6740,2251,6740,2238xe" filled="true" fillcolor="#000000" stroked="false">
              <v:path arrowok="t"/>
              <v:fill type="solid"/>
            </v:shape>
            <v:shape style="position:absolute;left:6295;top:10373;width:141;height:191" coordorigin="6295,10373" coordsize="141,191" path="m6740,2334l6670,2334,6670,2324,6680,2324,6677,2321,6675,2319,6672,2316,6670,2311,6670,2309,6670,2299,6670,2294,6672,2291,6672,2291,6675,2286,6677,2284,6682,2284,6677,2281,6675,2276,6672,2274,6672,2271,6670,2266,6670,2264,6670,2256,6670,2253,6672,2248,6675,2246,6675,2246,6677,2243,6680,2241,6685,2241,6690,2238,6740,2238,6740,2251,6697,2251,6692,2251,6687,2253,6687,2253,6682,2253,6682,2256,6680,2261,6680,2264,6680,2269,6682,2271,6685,2276,6685,2276,6687,2279,6690,2281,6695,2281,6700,2281,6740,2281,6740,2294,6690,2294,6687,2294,6682,2296,6680,2299,6680,2304,6680,2306,6680,2309,6682,2314,6682,2314,6685,2319,6687,2321,6690,2321,6692,2321,6697,2324,6740,2324,6740,2334,6740,2334xm6740,2334l6670,2334,6670,2324,6680,2324,6677,2321,6675,2319,6672,2316,6670,2311,6670,2309,6670,2304,6670,2304,6670,2299,6670,2294,6672,2291,6672,2291,6675,2286,6677,2284,6682,2284,6677,2281,6675,2276,6672,2274,6672,2271,6670,2266,6670,2264,6670,2261,6670,2256,6670,2253,6672,2248,6675,2246,6675,2246,6677,2243,6680,2241,6685,2241,6690,2238,6692,2238,6740,2238,6740,2251,6697,2251,6692,2251,6687,2253,6687,2253,6682,2253,6682,2256,6680,2261,6680,2264,6680,2269,6682,2271,6685,2276,6685,2276,6687,2279,6690,2281,6695,2281,6700,2281,6700,2281,6740,2281,6740,2294,6695,2294,6690,2294,6687,2294,6682,2296,6680,2299,6680,2304,6680,2306,6680,2309,6682,2314,6682,2314,6685,2319,6687,2321,6690,2321,6692,2321,6697,2324,6702,2324,6705,2324,6740,2324,6740,2334,6740,2334e" filled="false" stroked="true" strokeweight=".124834pt" strokecolor="#000000">
              <v:path arrowok="t"/>
              <v:stroke dashstyle="solid"/>
            </v:shape>
            <v:line style="position:absolute" from="6605,1759" to="6605,1516" stroked="true" strokeweight=".249288pt" strokecolor="#000000">
              <v:stroke dashstyle="solid"/>
            </v:line>
            <v:line style="position:absolute" from="6602,1464" to="6607,1464" stroked="true" strokeweight=".375241pt" strokecolor="#000000">
              <v:stroke dashstyle="solid"/>
            </v:line>
            <v:shape style="position:absolute;left:6165;top:8231;width:5034;height:1184" coordorigin="6165,8232" coordsize="5034,1184" path="m6605,1410l6605,1167m9116,1759l9116,1516e" filled="false" stroked="true" strokeweight=".249662pt" strokecolor="#000000">
              <v:path arrowok="t"/>
              <v:stroke dashstyle="solid"/>
            </v:shape>
            <v:line style="position:absolute" from="9113,1464" to="9118,1464" stroked="true" strokeweight=".375241pt" strokecolor="#000000">
              <v:stroke dashstyle="solid"/>
            </v:line>
            <v:line style="position:absolute" from="9116,1410" to="9116,1167" stroked="true" strokeweight=".249288pt" strokecolor="#000000">
              <v:stroke dashstyle="solid"/>
            </v:line>
            <v:line style="position:absolute" from="7865,1478" to="8295,783" stroked="true" strokeweight=".12475pt" strokecolor="#000000">
              <v:stroke dashstyle="solid"/>
            </v:line>
            <w10:wrap type="none"/>
          </v:group>
        </w:pict>
      </w:r>
      <w:r>
        <w:rPr/>
        <w:drawing>
          <wp:anchor distT="0" distB="0" distL="0" distR="0" allowOverlap="1" layoutInCell="1" locked="0" behindDoc="0" simplePos="0" relativeHeight="251824128">
            <wp:simplePos x="0" y="0"/>
            <wp:positionH relativeFrom="page">
              <wp:posOffset>5318659</wp:posOffset>
            </wp:positionH>
            <wp:positionV relativeFrom="paragraph">
              <wp:posOffset>378408</wp:posOffset>
            </wp:positionV>
            <wp:extent cx="488191" cy="196024"/>
            <wp:effectExtent l="0" t="0" r="0" b="0"/>
            <wp:wrapNone/>
            <wp:docPr id="9" name="image66.png"/>
            <wp:cNvGraphicFramePr>
              <a:graphicFrameLocks noChangeAspect="1"/>
            </wp:cNvGraphicFramePr>
            <a:graphic>
              <a:graphicData uri="http://schemas.openxmlformats.org/drawingml/2006/picture">
                <pic:pic>
                  <pic:nvPicPr>
                    <pic:cNvPr id="10" name="image66.png"/>
                    <pic:cNvPicPr/>
                  </pic:nvPicPr>
                  <pic:blipFill>
                    <a:blip r:embed="rId74" cstate="print"/>
                    <a:stretch>
                      <a:fillRect/>
                    </a:stretch>
                  </pic:blipFill>
                  <pic:spPr>
                    <a:xfrm>
                      <a:off x="0" y="0"/>
                      <a:ext cx="488191" cy="196024"/>
                    </a:xfrm>
                    <a:prstGeom prst="rect">
                      <a:avLst/>
                    </a:prstGeom>
                  </pic:spPr>
                </pic:pic>
              </a:graphicData>
            </a:graphic>
          </wp:anchor>
        </w:drawing>
      </w:r>
      <w:r>
        <w:rPr>
          <w:sz w:val="20"/>
        </w:rPr>
        <w:t>La zona situada alrededor de la compuerta y el suelo adyacente de acuerdo con la figura 2.3 deben revestirse con un acabado impermeable que sea fácilmente</w:t>
      </w:r>
      <w:r>
        <w:rPr>
          <w:spacing w:val="-4"/>
          <w:sz w:val="20"/>
        </w:rPr>
        <w:t> </w:t>
      </w:r>
      <w:r>
        <w:rPr>
          <w:sz w:val="20"/>
        </w:rPr>
        <w:t>lavable: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2"/>
        </w:rPr>
      </w:pPr>
    </w:p>
    <w:p>
      <w:pPr>
        <w:spacing w:before="0"/>
        <w:ind w:left="1180" w:right="1355" w:firstLine="0"/>
        <w:jc w:val="center"/>
        <w:rPr>
          <w:b/>
          <w:sz w:val="18"/>
        </w:rPr>
      </w:pPr>
      <w:r>
        <w:rPr/>
        <w:drawing>
          <wp:anchor distT="0" distB="0" distL="0" distR="0" allowOverlap="1" layoutInCell="1" locked="0" behindDoc="0" simplePos="0" relativeHeight="251823104">
            <wp:simplePos x="0" y="0"/>
            <wp:positionH relativeFrom="page">
              <wp:posOffset>4833582</wp:posOffset>
            </wp:positionH>
            <wp:positionV relativeFrom="paragraph">
              <wp:posOffset>-139102</wp:posOffset>
            </wp:positionV>
            <wp:extent cx="350529" cy="95250"/>
            <wp:effectExtent l="0" t="0" r="0" b="0"/>
            <wp:wrapNone/>
            <wp:docPr id="11" name="image67.png"/>
            <wp:cNvGraphicFramePr>
              <a:graphicFrameLocks noChangeAspect="1"/>
            </wp:cNvGraphicFramePr>
            <a:graphic>
              <a:graphicData uri="http://schemas.openxmlformats.org/drawingml/2006/picture">
                <pic:pic>
                  <pic:nvPicPr>
                    <pic:cNvPr id="12" name="image67.png"/>
                    <pic:cNvPicPr/>
                  </pic:nvPicPr>
                  <pic:blipFill>
                    <a:blip r:embed="rId75" cstate="print"/>
                    <a:stretch>
                      <a:fillRect/>
                    </a:stretch>
                  </pic:blipFill>
                  <pic:spPr>
                    <a:xfrm>
                      <a:off x="0" y="0"/>
                      <a:ext cx="350529" cy="95250"/>
                    </a:xfrm>
                    <a:prstGeom prst="rect">
                      <a:avLst/>
                    </a:prstGeom>
                  </pic:spPr>
                </pic:pic>
              </a:graphicData>
            </a:graphic>
          </wp:anchor>
        </w:drawing>
      </w:r>
      <w:r>
        <w:rPr>
          <w:b/>
          <w:sz w:val="18"/>
        </w:rPr>
        <w:t>Figura 2.3 Zona de acabado impermeable y lavable</w:t>
      </w:r>
    </w:p>
    <w:p>
      <w:pPr>
        <w:pStyle w:val="BodyText"/>
        <w:spacing w:before="7"/>
        <w:rPr>
          <w:b/>
          <w:sz w:val="17"/>
        </w:rPr>
      </w:pPr>
    </w:p>
    <w:p>
      <w:pPr>
        <w:pStyle w:val="Heading5"/>
        <w:numPr>
          <w:ilvl w:val="2"/>
          <w:numId w:val="99"/>
        </w:numPr>
        <w:tabs>
          <w:tab w:pos="787" w:val="left" w:leader="none"/>
        </w:tabs>
        <w:spacing w:line="240" w:lineRule="auto" w:before="0" w:after="0"/>
        <w:ind w:left="786" w:right="0" w:hanging="569"/>
        <w:jc w:val="both"/>
      </w:pPr>
      <w:r>
        <w:rPr/>
        <w:t>Condiciones particulares de las estaciones de carga de los sistemas</w:t>
      </w:r>
      <w:r>
        <w:rPr>
          <w:spacing w:val="-8"/>
        </w:rPr>
        <w:t> </w:t>
      </w:r>
      <w:r>
        <w:rPr/>
        <w:t>neumáticos</w:t>
      </w:r>
    </w:p>
    <w:p>
      <w:pPr>
        <w:pStyle w:val="ListParagraph"/>
        <w:numPr>
          <w:ilvl w:val="0"/>
          <w:numId w:val="108"/>
        </w:numPr>
        <w:tabs>
          <w:tab w:pos="673" w:val="left" w:leader="none"/>
        </w:tabs>
        <w:spacing w:line="240" w:lineRule="auto" w:before="98" w:after="0"/>
        <w:ind w:left="672" w:right="390" w:hanging="454"/>
        <w:jc w:val="both"/>
        <w:rPr>
          <w:sz w:val="20"/>
        </w:rPr>
      </w:pPr>
      <w:r>
        <w:rPr>
          <w:sz w:val="20"/>
        </w:rPr>
        <w:t>La </w:t>
      </w:r>
      <w:r>
        <w:rPr>
          <w:i/>
          <w:sz w:val="20"/>
        </w:rPr>
        <w:t>estación de carga </w:t>
      </w:r>
      <w:r>
        <w:rPr>
          <w:sz w:val="20"/>
        </w:rPr>
        <w:t>debe disponer de un tramo vertical de 2,5 m de </w:t>
      </w:r>
      <w:r>
        <w:rPr>
          <w:i/>
          <w:sz w:val="20"/>
        </w:rPr>
        <w:t>bajante </w:t>
      </w:r>
      <w:r>
        <w:rPr>
          <w:sz w:val="20"/>
        </w:rPr>
        <w:t>para almacenamiento de los </w:t>
      </w:r>
      <w:r>
        <w:rPr>
          <w:i/>
          <w:sz w:val="20"/>
        </w:rPr>
        <w:t>residuos</w:t>
      </w:r>
      <w:r>
        <w:rPr>
          <w:sz w:val="20"/>
        </w:rPr>
        <w:t>, una válvula de </w:t>
      </w:r>
      <w:r>
        <w:rPr>
          <w:i/>
          <w:sz w:val="20"/>
        </w:rPr>
        <w:t>residuos </w:t>
      </w:r>
      <w:r>
        <w:rPr>
          <w:sz w:val="20"/>
        </w:rPr>
        <w:t>situada en el extremo inferior del tramo vertical y una vál- vula de aire situada a la misma altura que la válvula de</w:t>
      </w:r>
      <w:r>
        <w:rPr>
          <w:spacing w:val="-5"/>
          <w:sz w:val="20"/>
        </w:rPr>
        <w:t> </w:t>
      </w:r>
      <w:r>
        <w:rPr>
          <w:i/>
          <w:sz w:val="20"/>
        </w:rPr>
        <w:t>residuos</w:t>
      </w:r>
      <w:r>
        <w:rPr>
          <w:sz w:val="20"/>
        </w:rPr>
        <w:t>.</w:t>
      </w:r>
    </w:p>
    <w:p>
      <w:pPr>
        <w:pStyle w:val="ListParagraph"/>
        <w:numPr>
          <w:ilvl w:val="0"/>
          <w:numId w:val="108"/>
        </w:numPr>
        <w:tabs>
          <w:tab w:pos="673" w:val="left" w:leader="none"/>
        </w:tabs>
        <w:spacing w:line="240" w:lineRule="auto" w:before="60" w:after="0"/>
        <w:ind w:left="672" w:right="0" w:hanging="455"/>
        <w:jc w:val="both"/>
        <w:rPr>
          <w:sz w:val="20"/>
        </w:rPr>
      </w:pPr>
      <w:r>
        <w:rPr>
          <w:sz w:val="20"/>
        </w:rPr>
        <w:t>Las estaciones de carga deben situarse en un recinto que tenga las siguientes</w:t>
      </w:r>
      <w:r>
        <w:rPr>
          <w:spacing w:val="-10"/>
          <w:sz w:val="20"/>
        </w:rPr>
        <w:t> </w:t>
      </w:r>
      <w:r>
        <w:rPr>
          <w:sz w:val="20"/>
        </w:rPr>
        <w:t>características:</w:t>
      </w:r>
    </w:p>
    <w:p>
      <w:pPr>
        <w:pStyle w:val="ListParagraph"/>
        <w:numPr>
          <w:ilvl w:val="1"/>
          <w:numId w:val="108"/>
        </w:numPr>
        <w:tabs>
          <w:tab w:pos="1125" w:val="left" w:leader="none"/>
          <w:tab w:pos="1126" w:val="left" w:leader="none"/>
        </w:tabs>
        <w:spacing w:line="240" w:lineRule="auto" w:before="60" w:after="0"/>
        <w:ind w:left="1126" w:right="0" w:hanging="454"/>
        <w:jc w:val="left"/>
        <w:rPr>
          <w:sz w:val="20"/>
        </w:rPr>
      </w:pPr>
      <w:r>
        <w:rPr>
          <w:sz w:val="20"/>
        </w:rPr>
        <w:t>los cerramientos deben dimensionarse para una depresión de 2,95 kPa como</w:t>
      </w:r>
      <w:r>
        <w:rPr>
          <w:spacing w:val="-7"/>
          <w:sz w:val="20"/>
        </w:rPr>
        <w:t> </w:t>
      </w:r>
      <w:r>
        <w:rPr>
          <w:sz w:val="20"/>
        </w:rPr>
        <w:t>mínimo;</w:t>
      </w:r>
    </w:p>
    <w:p>
      <w:pPr>
        <w:pStyle w:val="ListParagraph"/>
        <w:numPr>
          <w:ilvl w:val="1"/>
          <w:numId w:val="108"/>
        </w:numPr>
        <w:tabs>
          <w:tab w:pos="1125" w:val="left" w:leader="none"/>
          <w:tab w:pos="1126" w:val="left" w:leader="none"/>
        </w:tabs>
        <w:spacing w:line="240" w:lineRule="auto" w:before="61" w:after="0"/>
        <w:ind w:left="1126" w:right="396" w:hanging="454"/>
        <w:jc w:val="left"/>
        <w:rPr>
          <w:sz w:val="20"/>
        </w:rPr>
      </w:pPr>
      <w:r>
        <w:rPr>
          <w:sz w:val="20"/>
        </w:rPr>
        <w:t>debe disponer de una iluminación artificial que proporcione 100 lux como mínimo a una altura respecto del suelo de 1 m y de una base de enchufe fija 16A 2p+T según UNE</w:t>
      </w:r>
      <w:r>
        <w:rPr>
          <w:spacing w:val="-11"/>
          <w:sz w:val="20"/>
        </w:rPr>
        <w:t> </w:t>
      </w:r>
      <w:r>
        <w:rPr>
          <w:sz w:val="20"/>
        </w:rPr>
        <w:t>20.315:1994;</w:t>
      </w:r>
    </w:p>
    <w:p>
      <w:pPr>
        <w:pStyle w:val="ListParagraph"/>
        <w:numPr>
          <w:ilvl w:val="1"/>
          <w:numId w:val="108"/>
        </w:numPr>
        <w:tabs>
          <w:tab w:pos="1125" w:val="left" w:leader="none"/>
          <w:tab w:pos="1126" w:val="left" w:leader="none"/>
        </w:tabs>
        <w:spacing w:line="240" w:lineRule="auto" w:before="59" w:after="0"/>
        <w:ind w:left="1126" w:right="0" w:hanging="454"/>
        <w:jc w:val="left"/>
        <w:rPr>
          <w:sz w:val="20"/>
        </w:rPr>
      </w:pPr>
      <w:r>
        <w:rPr>
          <w:sz w:val="20"/>
        </w:rPr>
        <w:t>debe disponer de una puerta de acceso batiente hacia</w:t>
      </w:r>
      <w:r>
        <w:rPr>
          <w:spacing w:val="-5"/>
          <w:sz w:val="20"/>
        </w:rPr>
        <w:t> </w:t>
      </w:r>
      <w:r>
        <w:rPr>
          <w:sz w:val="20"/>
        </w:rPr>
        <w:t>fuera;</w:t>
      </w:r>
    </w:p>
    <w:p>
      <w:pPr>
        <w:pStyle w:val="ListParagraph"/>
        <w:numPr>
          <w:ilvl w:val="1"/>
          <w:numId w:val="108"/>
        </w:numPr>
        <w:tabs>
          <w:tab w:pos="1126" w:val="left" w:leader="none"/>
        </w:tabs>
        <w:spacing w:line="240" w:lineRule="auto" w:before="61" w:after="0"/>
        <w:ind w:left="1126" w:right="395" w:hanging="454"/>
        <w:jc w:val="both"/>
        <w:rPr>
          <w:sz w:val="20"/>
        </w:rPr>
      </w:pPr>
      <w:r>
        <w:rPr>
          <w:sz w:val="20"/>
        </w:rPr>
        <w:t>el revestimiento de las paredes y el suelo debe ser impermeable y fácil de limpiar y el de aquel último debe ser además antideslizante; los encuentros entre las paredes y el suelo deben ser redondeados;</w:t>
      </w:r>
    </w:p>
    <w:p>
      <w:pPr>
        <w:pStyle w:val="ListParagraph"/>
        <w:numPr>
          <w:ilvl w:val="1"/>
          <w:numId w:val="108"/>
        </w:numPr>
        <w:tabs>
          <w:tab w:pos="1126" w:val="left" w:leader="none"/>
        </w:tabs>
        <w:spacing w:line="240" w:lineRule="auto" w:before="59" w:after="0"/>
        <w:ind w:left="1126" w:right="391" w:hanging="454"/>
        <w:jc w:val="both"/>
        <w:rPr>
          <w:sz w:val="20"/>
        </w:rPr>
      </w:pPr>
      <w:r>
        <w:rPr>
          <w:sz w:val="20"/>
        </w:rPr>
        <w:t>debe contar al menos con una toma de agua dotada de válvula de cierre y un desagüe antimú- ridos.</w:t>
      </w:r>
    </w:p>
    <w:p>
      <w:pPr>
        <w:pStyle w:val="BodyText"/>
        <w:spacing w:before="6"/>
        <w:rPr>
          <w:sz w:val="24"/>
        </w:rPr>
      </w:pPr>
    </w:p>
    <w:p>
      <w:pPr>
        <w:pStyle w:val="ListParagraph"/>
        <w:numPr>
          <w:ilvl w:val="1"/>
          <w:numId w:val="99"/>
        </w:numPr>
        <w:tabs>
          <w:tab w:pos="675" w:val="left" w:leader="none"/>
        </w:tabs>
        <w:spacing w:line="240" w:lineRule="auto" w:before="0" w:after="0"/>
        <w:ind w:left="674" w:right="0" w:hanging="457"/>
        <w:jc w:val="both"/>
        <w:rPr>
          <w:b/>
          <w:sz w:val="24"/>
        </w:rPr>
      </w:pPr>
      <w:r>
        <w:rPr>
          <w:b/>
          <w:sz w:val="24"/>
        </w:rPr>
        <w:t>Espacios de </w:t>
      </w:r>
      <w:r>
        <w:rPr>
          <w:b/>
          <w:i/>
          <w:sz w:val="24"/>
        </w:rPr>
        <w:t>almacenamiento inmediato </w:t>
      </w:r>
      <w:r>
        <w:rPr>
          <w:b/>
          <w:sz w:val="24"/>
        </w:rPr>
        <w:t>en las viviendas</w:t>
      </w:r>
    </w:p>
    <w:p>
      <w:pPr>
        <w:pStyle w:val="ListParagraph"/>
        <w:numPr>
          <w:ilvl w:val="0"/>
          <w:numId w:val="109"/>
        </w:numPr>
        <w:tabs>
          <w:tab w:pos="673" w:val="left" w:leader="none"/>
        </w:tabs>
        <w:spacing w:line="240" w:lineRule="auto" w:before="98" w:after="0"/>
        <w:ind w:left="672" w:right="395" w:hanging="454"/>
        <w:jc w:val="both"/>
        <w:rPr>
          <w:sz w:val="20"/>
        </w:rPr>
      </w:pPr>
      <w:r>
        <w:rPr>
          <w:sz w:val="20"/>
        </w:rPr>
        <w:t>Deben disponerse en cada vivienda espacios para almacenar cada una de las cinco fracciones de los </w:t>
      </w:r>
      <w:r>
        <w:rPr>
          <w:i/>
          <w:sz w:val="20"/>
        </w:rPr>
        <w:t>residuos ordinarios </w:t>
      </w:r>
      <w:r>
        <w:rPr>
          <w:sz w:val="20"/>
        </w:rPr>
        <w:t>generados en</w:t>
      </w:r>
      <w:r>
        <w:rPr>
          <w:spacing w:val="-1"/>
          <w:sz w:val="20"/>
        </w:rPr>
        <w:t> </w:t>
      </w:r>
      <w:r>
        <w:rPr>
          <w:sz w:val="20"/>
        </w:rPr>
        <w:t>ella.</w:t>
      </w:r>
    </w:p>
    <w:p>
      <w:pPr>
        <w:pStyle w:val="ListParagraph"/>
        <w:numPr>
          <w:ilvl w:val="0"/>
          <w:numId w:val="109"/>
        </w:numPr>
        <w:tabs>
          <w:tab w:pos="673" w:val="left" w:leader="none"/>
        </w:tabs>
        <w:spacing w:line="240" w:lineRule="auto" w:before="61" w:after="0"/>
        <w:ind w:left="672" w:right="391" w:hanging="454"/>
        <w:jc w:val="both"/>
        <w:rPr>
          <w:sz w:val="20"/>
        </w:rPr>
      </w:pPr>
      <w:r>
        <w:rPr>
          <w:sz w:val="20"/>
        </w:rPr>
        <w:t>En el caso de viviendas aisladas o agrupadas horizontalmente, para las fracciones de papel / cartón y vidrio, puede utilizarse como espacio de </w:t>
      </w:r>
      <w:r>
        <w:rPr>
          <w:i/>
          <w:sz w:val="20"/>
        </w:rPr>
        <w:t>almacenamiento inmediato </w:t>
      </w:r>
      <w:r>
        <w:rPr>
          <w:sz w:val="20"/>
        </w:rPr>
        <w:t>el almacén de </w:t>
      </w:r>
      <w:r>
        <w:rPr>
          <w:i/>
          <w:sz w:val="20"/>
        </w:rPr>
        <w:t>contenedores </w:t>
      </w:r>
      <w:r>
        <w:rPr>
          <w:i/>
          <w:sz w:val="20"/>
        </w:rPr>
        <w:t>de edificio</w:t>
      </w:r>
      <w:r>
        <w:rPr>
          <w:sz w:val="20"/>
        </w:rPr>
        <w:t>.</w:t>
      </w:r>
    </w:p>
    <w:p>
      <w:pPr>
        <w:pStyle w:val="ListParagraph"/>
        <w:numPr>
          <w:ilvl w:val="0"/>
          <w:numId w:val="109"/>
        </w:numPr>
        <w:tabs>
          <w:tab w:pos="673" w:val="left" w:leader="none"/>
        </w:tabs>
        <w:spacing w:line="240" w:lineRule="auto" w:before="60" w:after="0"/>
        <w:ind w:left="672" w:right="0" w:hanging="455"/>
        <w:jc w:val="both"/>
        <w:rPr>
          <w:sz w:val="20"/>
        </w:rPr>
      </w:pPr>
      <w:r>
        <w:rPr>
          <w:sz w:val="20"/>
        </w:rPr>
        <w:t>La capacidad de almacenamiento para cada fracción debe calcularse mediante la siguiente</w:t>
      </w:r>
      <w:r>
        <w:rPr>
          <w:spacing w:val="-9"/>
          <w:sz w:val="20"/>
        </w:rPr>
        <w:t> </w:t>
      </w:r>
      <w:r>
        <w:rPr>
          <w:sz w:val="20"/>
        </w:rPr>
        <w:t>fórmula:</w:t>
      </w:r>
    </w:p>
    <w:p>
      <w:pPr>
        <w:spacing w:after="0" w:line="240" w:lineRule="auto"/>
        <w:jc w:val="both"/>
        <w:rPr>
          <w:sz w:val="20"/>
        </w:rPr>
        <w:sectPr>
          <w:pgSz w:w="11910" w:h="16840"/>
          <w:pgMar w:header="724" w:footer="636" w:top="1320" w:bottom="840" w:left="1200" w:right="740"/>
        </w:sectPr>
      </w:pPr>
    </w:p>
    <w:p>
      <w:pPr>
        <w:spacing w:before="65"/>
        <w:ind w:left="703" w:right="0" w:firstLine="0"/>
        <w:jc w:val="left"/>
        <w:rPr>
          <w:sz w:val="13"/>
        </w:rPr>
      </w:pPr>
      <w:r>
        <w:rPr>
          <w:w w:val="110"/>
          <w:sz w:val="19"/>
        </w:rPr>
        <w:t>C </w:t>
      </w:r>
      <w:r>
        <w:rPr>
          <w:rFonts w:ascii="Symbol" w:hAnsi="Symbol"/>
          <w:w w:val="110"/>
          <w:sz w:val="19"/>
        </w:rPr>
        <w:t></w:t>
      </w:r>
      <w:r>
        <w:rPr>
          <w:rFonts w:ascii="Times New Roman" w:hAnsi="Times New Roman"/>
          <w:w w:val="110"/>
          <w:sz w:val="19"/>
        </w:rPr>
        <w:t> </w:t>
      </w:r>
      <w:r>
        <w:rPr>
          <w:w w:val="110"/>
          <w:sz w:val="19"/>
        </w:rPr>
        <w:t>CA </w:t>
      </w:r>
      <w:r>
        <w:rPr>
          <w:rFonts w:ascii="Symbol" w:hAnsi="Symbol"/>
          <w:w w:val="110"/>
          <w:sz w:val="19"/>
        </w:rPr>
        <w:t></w:t>
      </w:r>
      <w:r>
        <w:rPr>
          <w:w w:val="110"/>
          <w:sz w:val="19"/>
        </w:rPr>
        <w:t>P</w:t>
      </w:r>
      <w:r>
        <w:rPr>
          <w:w w:val="110"/>
          <w:position w:val="-4"/>
          <w:sz w:val="13"/>
        </w:rPr>
        <w:t>v</w:t>
      </w:r>
    </w:p>
    <w:p>
      <w:pPr>
        <w:pStyle w:val="BodyText"/>
        <w:spacing w:before="79"/>
        <w:ind w:left="672"/>
      </w:pPr>
      <w:r>
        <w:rPr/>
        <w:t>siendo</w:t>
      </w:r>
    </w:p>
    <w:p>
      <w:pPr>
        <w:pStyle w:val="BodyText"/>
        <w:tabs>
          <w:tab w:pos="1058" w:val="left" w:leader="none"/>
        </w:tabs>
        <w:spacing w:before="59"/>
        <w:ind w:left="672"/>
      </w:pPr>
      <w:r>
        <w:rPr/>
        <w:t>C</w:t>
        <w:tab/>
        <w:t>la capacidad de almacenamiento en la vivienda por fracción</w:t>
      </w:r>
      <w:r>
        <w:rPr>
          <w:spacing w:val="-10"/>
        </w:rPr>
        <w:t> </w:t>
      </w:r>
      <w:r>
        <w:rPr/>
        <w:t>[dm</w:t>
      </w:r>
      <w:r>
        <w:rPr>
          <w:vertAlign w:val="superscript"/>
        </w:rPr>
        <w:t>3</w:t>
      </w:r>
      <w:r>
        <w:rPr>
          <w:vertAlign w:val="baseline"/>
        </w:rPr>
        <w:t>];</w:t>
      </w:r>
    </w:p>
    <w:p>
      <w:pPr>
        <w:pStyle w:val="BodyText"/>
        <w:spacing w:before="66"/>
        <w:ind w:left="672"/>
      </w:pPr>
      <w:r>
        <w:rPr/>
        <w:br w:type="column"/>
      </w:r>
      <w:r>
        <w:rPr/>
        <w:t>(2.3)</w:t>
      </w:r>
    </w:p>
    <w:p>
      <w:pPr>
        <w:spacing w:after="0"/>
        <w:sectPr>
          <w:type w:val="continuous"/>
          <w:pgSz w:w="11910" w:h="16840"/>
          <w:pgMar w:top="1580" w:bottom="280" w:left="1200" w:right="740"/>
          <w:cols w:num="2" w:equalWidth="0">
            <w:col w:w="6974" w:space="1501"/>
            <w:col w:w="1495"/>
          </w:cols>
        </w:sectPr>
      </w:pPr>
    </w:p>
    <w:p>
      <w:pPr>
        <w:pStyle w:val="BodyText"/>
        <w:spacing w:before="60"/>
        <w:ind w:left="1058" w:right="398" w:hanging="387"/>
      </w:pPr>
      <w:r>
        <w:rPr/>
        <w:t>CA el coeficiente de almacenamiento [dm</w:t>
      </w:r>
      <w:r>
        <w:rPr>
          <w:vertAlign w:val="superscript"/>
        </w:rPr>
        <w:t>3</w:t>
      </w:r>
      <w:r>
        <w:rPr>
          <w:vertAlign w:val="baseline"/>
        </w:rPr>
        <w:t>/persona] cuyo valor para cada fracción se obtiene en la tabla 2.3;</w:t>
      </w:r>
    </w:p>
    <w:p>
      <w:pPr>
        <w:tabs>
          <w:tab w:pos="3234" w:val="left" w:leader="none"/>
          <w:tab w:pos="9643" w:val="left" w:leader="none"/>
        </w:tabs>
        <w:spacing w:before="59"/>
        <w:ind w:left="684" w:right="0" w:firstLine="0"/>
        <w:jc w:val="left"/>
        <w:rPr>
          <w:b/>
          <w:sz w:val="18"/>
        </w:rPr>
      </w:pPr>
      <w:r>
        <w:rPr>
          <w:b/>
          <w:sz w:val="18"/>
          <w:u w:val="single"/>
        </w:rPr>
        <w:t> </w:t>
        <w:tab/>
        <w:t>Tabla 2.3 Coeficiente de almacenamiento,</w:t>
      </w:r>
      <w:r>
        <w:rPr>
          <w:b/>
          <w:spacing w:val="-5"/>
          <w:sz w:val="18"/>
          <w:u w:val="single"/>
        </w:rPr>
        <w:t> </w:t>
      </w:r>
      <w:r>
        <w:rPr>
          <w:b/>
          <w:sz w:val="18"/>
          <w:u w:val="single"/>
        </w:rPr>
        <w:t>CA</w:t>
        <w:tab/>
      </w:r>
    </w:p>
    <w:p>
      <w:pPr>
        <w:spacing w:after="0"/>
        <w:jc w:val="left"/>
        <w:rPr>
          <w:sz w:val="18"/>
        </w:rPr>
        <w:sectPr>
          <w:type w:val="continuous"/>
          <w:pgSz w:w="11910" w:h="16840"/>
          <w:pgMar w:top="1580" w:bottom="280" w:left="1200" w:right="740"/>
        </w:sectPr>
      </w:pPr>
    </w:p>
    <w:p>
      <w:pPr>
        <w:pStyle w:val="BodyText"/>
        <w:spacing w:before="2"/>
        <w:rPr>
          <w:b/>
          <w:sz w:val="8"/>
        </w:r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55"/>
        <w:gridCol w:w="4504"/>
      </w:tblGrid>
      <w:tr>
        <w:trPr>
          <w:trHeight w:val="205" w:hRule="atLeast"/>
        </w:trPr>
        <w:tc>
          <w:tcPr>
            <w:tcW w:w="4455" w:type="dxa"/>
            <w:tcBorders>
              <w:left w:val="nil"/>
            </w:tcBorders>
          </w:tcPr>
          <w:p>
            <w:pPr>
              <w:pStyle w:val="TableParagraph"/>
              <w:spacing w:line="186" w:lineRule="exact"/>
              <w:ind w:left="2069" w:right="1589"/>
              <w:rPr>
                <w:b/>
                <w:sz w:val="18"/>
              </w:rPr>
            </w:pPr>
            <w:r>
              <w:rPr>
                <w:b/>
                <w:sz w:val="18"/>
              </w:rPr>
              <w:t>Fracción</w:t>
            </w:r>
          </w:p>
        </w:tc>
        <w:tc>
          <w:tcPr>
            <w:tcW w:w="4504" w:type="dxa"/>
            <w:tcBorders>
              <w:right w:val="nil"/>
            </w:tcBorders>
          </w:tcPr>
          <w:p>
            <w:pPr>
              <w:pStyle w:val="TableParagraph"/>
              <w:spacing w:line="186" w:lineRule="exact"/>
              <w:ind w:left="1933" w:right="1925"/>
              <w:rPr>
                <w:b/>
                <w:sz w:val="18"/>
              </w:rPr>
            </w:pPr>
            <w:r>
              <w:rPr>
                <w:b/>
                <w:sz w:val="18"/>
              </w:rPr>
              <w:t>CA</w:t>
            </w:r>
          </w:p>
        </w:tc>
      </w:tr>
      <w:tr>
        <w:trPr>
          <w:trHeight w:val="1396" w:hRule="atLeast"/>
        </w:trPr>
        <w:tc>
          <w:tcPr>
            <w:tcW w:w="4455" w:type="dxa"/>
            <w:tcBorders>
              <w:left w:val="nil"/>
            </w:tcBorders>
          </w:tcPr>
          <w:p>
            <w:pPr>
              <w:pStyle w:val="TableParagraph"/>
              <w:spacing w:line="309" w:lineRule="auto" w:before="59"/>
              <w:ind w:left="1795" w:right="1312" w:hanging="1"/>
              <w:rPr>
                <w:sz w:val="18"/>
              </w:rPr>
            </w:pPr>
            <w:r>
              <w:rPr>
                <w:sz w:val="18"/>
              </w:rPr>
              <w:t>Envases ligeros Materia </w:t>
            </w:r>
            <w:r>
              <w:rPr>
                <w:spacing w:val="-3"/>
                <w:sz w:val="18"/>
              </w:rPr>
              <w:t>orgánica </w:t>
            </w:r>
            <w:r>
              <w:rPr>
                <w:sz w:val="18"/>
              </w:rPr>
              <w:t>Papel / cartón Vidrio</w:t>
            </w:r>
          </w:p>
          <w:p>
            <w:pPr>
              <w:pStyle w:val="TableParagraph"/>
              <w:ind w:left="2068" w:right="1589"/>
              <w:rPr>
                <w:sz w:val="18"/>
              </w:rPr>
            </w:pPr>
            <w:r>
              <w:rPr>
                <w:sz w:val="18"/>
              </w:rPr>
              <w:t>Varios</w:t>
            </w:r>
          </w:p>
        </w:tc>
        <w:tc>
          <w:tcPr>
            <w:tcW w:w="4504" w:type="dxa"/>
            <w:tcBorders>
              <w:right w:val="nil"/>
            </w:tcBorders>
          </w:tcPr>
          <w:p>
            <w:pPr>
              <w:pStyle w:val="TableParagraph"/>
              <w:spacing w:before="89"/>
              <w:ind w:left="1931" w:right="2075"/>
              <w:rPr>
                <w:sz w:val="18"/>
              </w:rPr>
            </w:pPr>
            <w:r>
              <w:rPr>
                <w:sz w:val="18"/>
              </w:rPr>
              <w:t>7,80</w:t>
            </w:r>
          </w:p>
          <w:p>
            <w:pPr>
              <w:pStyle w:val="TableParagraph"/>
              <w:spacing w:before="59"/>
              <w:ind w:left="1931" w:right="2075"/>
              <w:rPr>
                <w:sz w:val="18"/>
              </w:rPr>
            </w:pPr>
            <w:r>
              <w:rPr>
                <w:sz w:val="18"/>
              </w:rPr>
              <w:t>3,00</w:t>
            </w:r>
          </w:p>
          <w:p>
            <w:pPr>
              <w:pStyle w:val="TableParagraph"/>
              <w:spacing w:before="61"/>
              <w:ind w:left="1933" w:right="2075"/>
              <w:rPr>
                <w:sz w:val="18"/>
              </w:rPr>
            </w:pPr>
            <w:r>
              <w:rPr>
                <w:sz w:val="18"/>
              </w:rPr>
              <w:t>10,85</w:t>
            </w:r>
          </w:p>
          <w:p>
            <w:pPr>
              <w:pStyle w:val="TableParagraph"/>
              <w:spacing w:before="60"/>
              <w:ind w:left="1931" w:right="2075"/>
              <w:rPr>
                <w:sz w:val="18"/>
              </w:rPr>
            </w:pPr>
            <w:r>
              <w:rPr>
                <w:sz w:val="18"/>
              </w:rPr>
              <w:t>3,36</w:t>
            </w:r>
          </w:p>
          <w:p>
            <w:pPr>
              <w:pStyle w:val="TableParagraph"/>
              <w:spacing w:before="60"/>
              <w:ind w:left="1933" w:right="2075"/>
              <w:rPr>
                <w:sz w:val="18"/>
              </w:rPr>
            </w:pPr>
            <w:r>
              <w:rPr>
                <w:sz w:val="18"/>
              </w:rPr>
              <w:t>10,50</w:t>
            </w:r>
          </w:p>
        </w:tc>
      </w:tr>
    </w:tbl>
    <w:p>
      <w:pPr>
        <w:pStyle w:val="BodyText"/>
        <w:spacing w:before="6"/>
        <w:rPr>
          <w:b/>
          <w:sz w:val="11"/>
        </w:rPr>
      </w:pPr>
    </w:p>
    <w:p>
      <w:pPr>
        <w:pStyle w:val="BodyText"/>
        <w:spacing w:before="94"/>
        <w:ind w:left="938" w:right="396" w:hanging="264"/>
        <w:jc w:val="both"/>
      </w:pPr>
      <w:r>
        <w:rPr/>
        <w:t>P</w:t>
      </w:r>
      <w:r>
        <w:rPr>
          <w:vertAlign w:val="subscript"/>
        </w:rPr>
        <w:t>v</w:t>
      </w:r>
      <w:r>
        <w:rPr>
          <w:vertAlign w:val="baseline"/>
        </w:rPr>
        <w:t> el número estimado de ocupantes habituales de la vivienda que equivale a la suma del número total de dormitorios sencillos y el doble de número total de dormitorios dobles.</w:t>
      </w:r>
    </w:p>
    <w:p>
      <w:pPr>
        <w:pStyle w:val="ListParagraph"/>
        <w:numPr>
          <w:ilvl w:val="0"/>
          <w:numId w:val="109"/>
        </w:numPr>
        <w:tabs>
          <w:tab w:pos="673" w:val="left" w:leader="none"/>
        </w:tabs>
        <w:spacing w:line="240" w:lineRule="auto" w:before="61" w:after="0"/>
        <w:ind w:left="672" w:right="393" w:hanging="454"/>
        <w:jc w:val="both"/>
        <w:rPr>
          <w:sz w:val="20"/>
        </w:rPr>
      </w:pPr>
      <w:r>
        <w:rPr>
          <w:sz w:val="20"/>
        </w:rPr>
        <w:t>Con independencia de lo anteriormente expuesto, el espacio de almacenamiento de cada fracción debe tener una superficie en planta no menor que 30x30 cm y debe ser igual o mayor que 45</w:t>
      </w:r>
      <w:r>
        <w:rPr>
          <w:spacing w:val="-10"/>
          <w:sz w:val="20"/>
        </w:rPr>
        <w:t> </w:t>
      </w:r>
      <w:r>
        <w:rPr>
          <w:sz w:val="20"/>
        </w:rPr>
        <w:t>dm</w:t>
      </w:r>
      <w:r>
        <w:rPr>
          <w:sz w:val="20"/>
          <w:vertAlign w:val="superscript"/>
        </w:rPr>
        <w:t>3</w:t>
      </w:r>
      <w:r>
        <w:rPr>
          <w:sz w:val="20"/>
          <w:vertAlign w:val="baseline"/>
        </w:rPr>
        <w:t>.</w:t>
      </w:r>
    </w:p>
    <w:p>
      <w:pPr>
        <w:pStyle w:val="ListParagraph"/>
        <w:numPr>
          <w:ilvl w:val="0"/>
          <w:numId w:val="109"/>
        </w:numPr>
        <w:tabs>
          <w:tab w:pos="673" w:val="left" w:leader="none"/>
        </w:tabs>
        <w:spacing w:line="240" w:lineRule="auto" w:before="59" w:after="0"/>
        <w:ind w:left="672" w:right="396" w:hanging="454"/>
        <w:jc w:val="both"/>
        <w:rPr>
          <w:sz w:val="20"/>
        </w:rPr>
      </w:pPr>
      <w:r>
        <w:rPr>
          <w:sz w:val="20"/>
        </w:rPr>
        <w:t>Los espacios destinados a materia orgánica y envases ligeros deben disponerse en la cocina o en zonas anejas</w:t>
      </w:r>
      <w:r>
        <w:rPr>
          <w:spacing w:val="-3"/>
          <w:sz w:val="20"/>
        </w:rPr>
        <w:t> </w:t>
      </w:r>
      <w:r>
        <w:rPr>
          <w:sz w:val="20"/>
        </w:rPr>
        <w:t>auxiliares.</w:t>
      </w:r>
    </w:p>
    <w:p>
      <w:pPr>
        <w:pStyle w:val="ListParagraph"/>
        <w:numPr>
          <w:ilvl w:val="0"/>
          <w:numId w:val="109"/>
        </w:numPr>
        <w:tabs>
          <w:tab w:pos="673" w:val="left" w:leader="none"/>
        </w:tabs>
        <w:spacing w:line="240" w:lineRule="auto" w:before="60" w:after="0"/>
        <w:ind w:left="672" w:right="394" w:hanging="454"/>
        <w:jc w:val="both"/>
        <w:rPr>
          <w:sz w:val="20"/>
        </w:rPr>
      </w:pPr>
      <w:r>
        <w:rPr>
          <w:sz w:val="20"/>
        </w:rPr>
        <w:t>Estos espacios deben disponerse de tal forma que el acceso a ellos pueda realizarse sin que </w:t>
      </w:r>
      <w:r>
        <w:rPr>
          <w:spacing w:val="-3"/>
          <w:sz w:val="20"/>
        </w:rPr>
        <w:t>haya </w:t>
      </w:r>
      <w:r>
        <w:rPr>
          <w:sz w:val="20"/>
        </w:rPr>
        <w:t>necesidad de recurrir a elementos auxiliares y que el punto más alto esté situado a una altura no mayor que 1,20 m por encima del nivel del</w:t>
      </w:r>
      <w:r>
        <w:rPr>
          <w:spacing w:val="-4"/>
          <w:sz w:val="20"/>
        </w:rPr>
        <w:t> </w:t>
      </w:r>
      <w:r>
        <w:rPr>
          <w:sz w:val="20"/>
        </w:rPr>
        <w:t>suelo.</w:t>
      </w:r>
    </w:p>
    <w:p>
      <w:pPr>
        <w:pStyle w:val="ListParagraph"/>
        <w:numPr>
          <w:ilvl w:val="0"/>
          <w:numId w:val="109"/>
        </w:numPr>
        <w:tabs>
          <w:tab w:pos="673" w:val="left" w:leader="none"/>
        </w:tabs>
        <w:spacing w:line="240" w:lineRule="auto" w:before="60" w:after="0"/>
        <w:ind w:left="672" w:right="395" w:hanging="454"/>
        <w:jc w:val="both"/>
        <w:rPr>
          <w:sz w:val="20"/>
        </w:rPr>
      </w:pPr>
      <w:r>
        <w:rPr>
          <w:sz w:val="20"/>
        </w:rPr>
        <w:t>El acabado de la superficie de cualquier elemento que esté situado a menos de 30 cm de los límites del espacio de almacenamiento debe ser impermeable y fácilmente</w:t>
      </w:r>
      <w:r>
        <w:rPr>
          <w:spacing w:val="-3"/>
          <w:sz w:val="20"/>
        </w:rPr>
        <w:t> </w:t>
      </w:r>
      <w:r>
        <w:rPr>
          <w:sz w:val="20"/>
        </w:rPr>
        <w:t>lavable.</w:t>
      </w:r>
    </w:p>
    <w:p>
      <w:pPr>
        <w:pStyle w:val="BodyText"/>
        <w:rPr>
          <w:sz w:val="22"/>
        </w:rPr>
      </w:pPr>
    </w:p>
    <w:p>
      <w:pPr>
        <w:pStyle w:val="BodyText"/>
        <w:spacing w:before="10"/>
        <w:rPr>
          <w:sz w:val="19"/>
        </w:rPr>
      </w:pPr>
    </w:p>
    <w:p>
      <w:pPr>
        <w:pStyle w:val="Heading2"/>
        <w:numPr>
          <w:ilvl w:val="0"/>
          <w:numId w:val="110"/>
        </w:numPr>
        <w:tabs>
          <w:tab w:pos="504" w:val="left" w:leader="none"/>
        </w:tabs>
        <w:spacing w:line="240" w:lineRule="auto" w:before="0" w:after="0"/>
        <w:ind w:left="503" w:right="0" w:hanging="286"/>
        <w:jc w:val="left"/>
      </w:pPr>
      <w:r>
        <w:rPr/>
        <w:t>Mantenimiento y</w:t>
      </w:r>
      <w:r>
        <w:rPr>
          <w:spacing w:val="-1"/>
        </w:rPr>
        <w:t> </w:t>
      </w:r>
      <w:r>
        <w:rPr/>
        <w:t>conservación</w:t>
      </w:r>
    </w:p>
    <w:p>
      <w:pPr>
        <w:pStyle w:val="BodyText"/>
        <w:spacing w:before="4"/>
        <w:rPr>
          <w:b/>
          <w:sz w:val="24"/>
        </w:rPr>
      </w:pPr>
    </w:p>
    <w:p>
      <w:pPr>
        <w:pStyle w:val="ListParagraph"/>
        <w:numPr>
          <w:ilvl w:val="1"/>
          <w:numId w:val="110"/>
        </w:numPr>
        <w:tabs>
          <w:tab w:pos="675" w:val="left" w:leader="none"/>
        </w:tabs>
        <w:spacing w:line="240" w:lineRule="auto" w:before="1" w:after="0"/>
        <w:ind w:left="674" w:right="0" w:hanging="457"/>
        <w:jc w:val="both"/>
        <w:rPr>
          <w:b/>
          <w:i/>
          <w:sz w:val="24"/>
        </w:rPr>
      </w:pPr>
      <w:r>
        <w:rPr>
          <w:b/>
          <w:sz w:val="24"/>
        </w:rPr>
        <w:t>Almacén de </w:t>
      </w:r>
      <w:r>
        <w:rPr>
          <w:b/>
          <w:i/>
          <w:sz w:val="24"/>
        </w:rPr>
        <w:t>contenedores de</w:t>
      </w:r>
      <w:r>
        <w:rPr>
          <w:b/>
          <w:i/>
          <w:spacing w:val="-3"/>
          <w:sz w:val="24"/>
        </w:rPr>
        <w:t> </w:t>
      </w:r>
      <w:r>
        <w:rPr>
          <w:b/>
          <w:i/>
          <w:sz w:val="24"/>
        </w:rPr>
        <w:t>edificio</w:t>
      </w:r>
    </w:p>
    <w:p>
      <w:pPr>
        <w:pStyle w:val="ListParagraph"/>
        <w:numPr>
          <w:ilvl w:val="0"/>
          <w:numId w:val="111"/>
        </w:numPr>
        <w:tabs>
          <w:tab w:pos="673" w:val="left" w:leader="none"/>
        </w:tabs>
        <w:spacing w:line="240" w:lineRule="auto" w:before="97" w:after="0"/>
        <w:ind w:left="672" w:right="391" w:hanging="454"/>
        <w:jc w:val="both"/>
        <w:rPr>
          <w:sz w:val="20"/>
        </w:rPr>
      </w:pPr>
      <w:r>
        <w:rPr>
          <w:sz w:val="20"/>
        </w:rPr>
        <w:t>Deben señalizarse correctamente los contenedores, según la fracción correspondiente, y el alma- cén de contenedores. En el interior del almacén de contenedores deben disponerse en un soporte indeleble, junto con otras normas de uso y mantenimiento, instrucciones para que cada fracción se vierta en el contenedor</w:t>
      </w:r>
      <w:r>
        <w:rPr>
          <w:spacing w:val="-4"/>
          <w:sz w:val="20"/>
        </w:rPr>
        <w:t> </w:t>
      </w:r>
      <w:r>
        <w:rPr>
          <w:sz w:val="20"/>
        </w:rPr>
        <w:t>correspondiente.</w:t>
      </w:r>
    </w:p>
    <w:p>
      <w:pPr>
        <w:pStyle w:val="ListParagraph"/>
        <w:numPr>
          <w:ilvl w:val="0"/>
          <w:numId w:val="111"/>
        </w:numPr>
        <w:tabs>
          <w:tab w:pos="673" w:val="left" w:leader="none"/>
        </w:tabs>
        <w:spacing w:line="240" w:lineRule="auto" w:before="61" w:after="0"/>
        <w:ind w:left="672" w:right="390" w:hanging="454"/>
        <w:jc w:val="both"/>
        <w:rPr>
          <w:sz w:val="20"/>
        </w:rPr>
      </w:pPr>
      <w:r>
        <w:rPr>
          <w:sz w:val="20"/>
        </w:rPr>
        <w:t>Deben realizarse las operaciones de mantenimiento que, junto con su periodicidad, se incluyen </w:t>
      </w:r>
      <w:r>
        <w:rPr>
          <w:spacing w:val="2"/>
          <w:sz w:val="20"/>
        </w:rPr>
        <w:t>en </w:t>
      </w:r>
      <w:r>
        <w:rPr>
          <w:sz w:val="20"/>
        </w:rPr>
        <w:t>la tabla 3.1.</w:t>
      </w:r>
    </w:p>
    <w:p>
      <w:pPr>
        <w:spacing w:before="59" w:after="4"/>
        <w:ind w:left="1182" w:right="808" w:firstLine="0"/>
        <w:jc w:val="center"/>
        <w:rPr>
          <w:b/>
          <w:sz w:val="18"/>
        </w:rPr>
      </w:pPr>
      <w:r>
        <w:rPr>
          <w:b/>
          <w:sz w:val="18"/>
        </w:rPr>
        <w:t>Tabla 3.1 Operaciones de mantenimiento</w:t>
      </w:r>
    </w:p>
    <w:tbl>
      <w:tblPr>
        <w:tblW w:w="0" w:type="auto"/>
        <w:jc w:val="left"/>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64"/>
        <w:gridCol w:w="624"/>
        <w:gridCol w:w="1172"/>
      </w:tblGrid>
      <w:tr>
        <w:trPr>
          <w:trHeight w:val="207" w:hRule="atLeast"/>
        </w:trPr>
        <w:tc>
          <w:tcPr>
            <w:tcW w:w="7164" w:type="dxa"/>
            <w:tcBorders>
              <w:top w:val="single" w:sz="4" w:space="0" w:color="000000"/>
              <w:bottom w:val="single" w:sz="4" w:space="0" w:color="000000"/>
              <w:right w:val="single" w:sz="4" w:space="0" w:color="000000"/>
            </w:tcBorders>
          </w:tcPr>
          <w:p>
            <w:pPr>
              <w:pStyle w:val="TableParagraph"/>
              <w:spacing w:line="187" w:lineRule="exact"/>
              <w:ind w:left="84"/>
              <w:jc w:val="left"/>
              <w:rPr>
                <w:b/>
                <w:sz w:val="18"/>
              </w:rPr>
            </w:pPr>
            <w:r>
              <w:rPr>
                <w:b/>
                <w:sz w:val="18"/>
              </w:rPr>
              <w:t>Operación</w:t>
            </w:r>
          </w:p>
        </w:tc>
        <w:tc>
          <w:tcPr>
            <w:tcW w:w="1796" w:type="dxa"/>
            <w:gridSpan w:val="2"/>
            <w:tcBorders>
              <w:top w:val="single" w:sz="4" w:space="0" w:color="000000"/>
              <w:left w:val="single" w:sz="4" w:space="0" w:color="000000"/>
              <w:bottom w:val="single" w:sz="4" w:space="0" w:color="000000"/>
            </w:tcBorders>
          </w:tcPr>
          <w:p>
            <w:pPr>
              <w:pStyle w:val="TableParagraph"/>
              <w:spacing w:line="187" w:lineRule="exact"/>
              <w:ind w:left="352"/>
              <w:jc w:val="left"/>
              <w:rPr>
                <w:b/>
                <w:sz w:val="18"/>
              </w:rPr>
            </w:pPr>
            <w:r>
              <w:rPr>
                <w:b/>
                <w:sz w:val="18"/>
              </w:rPr>
              <w:t>Periodicidad</w:t>
            </w:r>
          </w:p>
        </w:tc>
      </w:tr>
      <w:tr>
        <w:trPr>
          <w:trHeight w:val="297" w:hRule="atLeast"/>
        </w:trPr>
        <w:tc>
          <w:tcPr>
            <w:tcW w:w="7164" w:type="dxa"/>
            <w:tcBorders>
              <w:top w:val="single" w:sz="4" w:space="0" w:color="000000"/>
              <w:right w:val="single" w:sz="4" w:space="0" w:color="000000"/>
            </w:tcBorders>
          </w:tcPr>
          <w:p>
            <w:pPr>
              <w:pStyle w:val="TableParagraph"/>
              <w:spacing w:before="57"/>
              <w:ind w:left="84"/>
              <w:jc w:val="left"/>
              <w:rPr>
                <w:sz w:val="18"/>
              </w:rPr>
            </w:pPr>
            <w:r>
              <w:rPr>
                <w:sz w:val="18"/>
              </w:rPr>
              <w:t>Limpieza de los contenedores</w:t>
            </w:r>
          </w:p>
        </w:tc>
        <w:tc>
          <w:tcPr>
            <w:tcW w:w="624" w:type="dxa"/>
            <w:tcBorders>
              <w:top w:val="single" w:sz="4" w:space="0" w:color="000000"/>
              <w:left w:val="single" w:sz="4" w:space="0" w:color="000000"/>
            </w:tcBorders>
          </w:tcPr>
          <w:p>
            <w:pPr>
              <w:pStyle w:val="TableParagraph"/>
              <w:spacing w:before="57"/>
              <w:ind w:right="68"/>
              <w:jc w:val="right"/>
              <w:rPr>
                <w:sz w:val="18"/>
              </w:rPr>
            </w:pPr>
            <w:r>
              <w:rPr>
                <w:w w:val="99"/>
                <w:sz w:val="18"/>
              </w:rPr>
              <w:t>3</w:t>
            </w:r>
          </w:p>
        </w:tc>
        <w:tc>
          <w:tcPr>
            <w:tcW w:w="1172" w:type="dxa"/>
            <w:tcBorders>
              <w:top w:val="single" w:sz="4" w:space="0" w:color="000000"/>
            </w:tcBorders>
          </w:tcPr>
          <w:p>
            <w:pPr>
              <w:pStyle w:val="TableParagraph"/>
              <w:spacing w:before="57"/>
              <w:ind w:left="69"/>
              <w:jc w:val="left"/>
              <w:rPr>
                <w:sz w:val="18"/>
              </w:rPr>
            </w:pPr>
            <w:r>
              <w:rPr>
                <w:sz w:val="18"/>
              </w:rPr>
              <w:t>días</w:t>
            </w:r>
          </w:p>
        </w:tc>
      </w:tr>
      <w:tr>
        <w:trPr>
          <w:trHeight w:val="266" w:hRule="atLeast"/>
        </w:trPr>
        <w:tc>
          <w:tcPr>
            <w:tcW w:w="7164" w:type="dxa"/>
            <w:tcBorders>
              <w:right w:val="single" w:sz="4" w:space="0" w:color="000000"/>
            </w:tcBorders>
          </w:tcPr>
          <w:p>
            <w:pPr>
              <w:pStyle w:val="TableParagraph"/>
              <w:spacing w:before="26"/>
              <w:ind w:left="84"/>
              <w:jc w:val="left"/>
              <w:rPr>
                <w:sz w:val="18"/>
              </w:rPr>
            </w:pPr>
            <w:r>
              <w:rPr>
                <w:sz w:val="18"/>
              </w:rPr>
              <w:t>Desinfección de los contenedores</w:t>
            </w:r>
          </w:p>
        </w:tc>
        <w:tc>
          <w:tcPr>
            <w:tcW w:w="624" w:type="dxa"/>
            <w:tcBorders>
              <w:left w:val="single" w:sz="4" w:space="0" w:color="000000"/>
            </w:tcBorders>
          </w:tcPr>
          <w:p>
            <w:pPr>
              <w:pStyle w:val="TableParagraph"/>
              <w:spacing w:before="26"/>
              <w:ind w:right="69"/>
              <w:jc w:val="right"/>
              <w:rPr>
                <w:sz w:val="18"/>
              </w:rPr>
            </w:pPr>
            <w:r>
              <w:rPr>
                <w:w w:val="95"/>
                <w:sz w:val="18"/>
              </w:rPr>
              <w:t>1,5</w:t>
            </w:r>
          </w:p>
        </w:tc>
        <w:tc>
          <w:tcPr>
            <w:tcW w:w="1172" w:type="dxa"/>
          </w:tcPr>
          <w:p>
            <w:pPr>
              <w:pStyle w:val="TableParagraph"/>
              <w:spacing w:before="26"/>
              <w:ind w:left="69"/>
              <w:jc w:val="left"/>
              <w:rPr>
                <w:sz w:val="18"/>
              </w:rPr>
            </w:pPr>
            <w:r>
              <w:rPr>
                <w:sz w:val="18"/>
              </w:rPr>
              <w:t>meses</w:t>
            </w:r>
          </w:p>
        </w:tc>
      </w:tr>
      <w:tr>
        <w:trPr>
          <w:trHeight w:val="266" w:hRule="atLeast"/>
        </w:trPr>
        <w:tc>
          <w:tcPr>
            <w:tcW w:w="7164" w:type="dxa"/>
            <w:tcBorders>
              <w:right w:val="single" w:sz="4" w:space="0" w:color="000000"/>
            </w:tcBorders>
          </w:tcPr>
          <w:p>
            <w:pPr>
              <w:pStyle w:val="TableParagraph"/>
              <w:spacing w:before="27"/>
              <w:ind w:left="84"/>
              <w:jc w:val="left"/>
              <w:rPr>
                <w:sz w:val="18"/>
              </w:rPr>
            </w:pPr>
            <w:r>
              <w:rPr>
                <w:sz w:val="18"/>
              </w:rPr>
              <w:t>Limpieza del suelo del almacén</w:t>
            </w:r>
          </w:p>
        </w:tc>
        <w:tc>
          <w:tcPr>
            <w:tcW w:w="624" w:type="dxa"/>
            <w:tcBorders>
              <w:left w:val="single" w:sz="4" w:space="0" w:color="000000"/>
            </w:tcBorders>
          </w:tcPr>
          <w:p>
            <w:pPr>
              <w:pStyle w:val="TableParagraph"/>
              <w:spacing w:before="27"/>
              <w:ind w:right="68"/>
              <w:jc w:val="right"/>
              <w:rPr>
                <w:sz w:val="18"/>
              </w:rPr>
            </w:pPr>
            <w:r>
              <w:rPr>
                <w:w w:val="99"/>
                <w:sz w:val="18"/>
              </w:rPr>
              <w:t>1</w:t>
            </w:r>
          </w:p>
        </w:tc>
        <w:tc>
          <w:tcPr>
            <w:tcW w:w="1172" w:type="dxa"/>
          </w:tcPr>
          <w:p>
            <w:pPr>
              <w:pStyle w:val="TableParagraph"/>
              <w:spacing w:before="27"/>
              <w:ind w:left="69"/>
              <w:jc w:val="left"/>
              <w:rPr>
                <w:sz w:val="18"/>
              </w:rPr>
            </w:pPr>
            <w:r>
              <w:rPr>
                <w:sz w:val="18"/>
              </w:rPr>
              <w:t>día</w:t>
            </w:r>
          </w:p>
        </w:tc>
      </w:tr>
      <w:tr>
        <w:trPr>
          <w:trHeight w:val="267" w:hRule="atLeast"/>
        </w:trPr>
        <w:tc>
          <w:tcPr>
            <w:tcW w:w="7164" w:type="dxa"/>
            <w:tcBorders>
              <w:right w:val="single" w:sz="4" w:space="0" w:color="000000"/>
            </w:tcBorders>
          </w:tcPr>
          <w:p>
            <w:pPr>
              <w:pStyle w:val="TableParagraph"/>
              <w:spacing w:before="26"/>
              <w:ind w:left="84"/>
              <w:jc w:val="left"/>
              <w:rPr>
                <w:sz w:val="18"/>
              </w:rPr>
            </w:pPr>
            <w:r>
              <w:rPr>
                <w:sz w:val="18"/>
              </w:rPr>
              <w:t>Lavado con manguera del suelo del almacén</w:t>
            </w:r>
          </w:p>
        </w:tc>
        <w:tc>
          <w:tcPr>
            <w:tcW w:w="624" w:type="dxa"/>
            <w:tcBorders>
              <w:left w:val="single" w:sz="4" w:space="0" w:color="000000"/>
            </w:tcBorders>
          </w:tcPr>
          <w:p>
            <w:pPr>
              <w:pStyle w:val="TableParagraph"/>
              <w:spacing w:before="26"/>
              <w:ind w:right="68"/>
              <w:jc w:val="right"/>
              <w:rPr>
                <w:sz w:val="18"/>
              </w:rPr>
            </w:pPr>
            <w:r>
              <w:rPr>
                <w:w w:val="99"/>
                <w:sz w:val="18"/>
              </w:rPr>
              <w:t>2</w:t>
            </w:r>
          </w:p>
        </w:tc>
        <w:tc>
          <w:tcPr>
            <w:tcW w:w="1172" w:type="dxa"/>
          </w:tcPr>
          <w:p>
            <w:pPr>
              <w:pStyle w:val="TableParagraph"/>
              <w:spacing w:before="26"/>
              <w:ind w:left="69"/>
              <w:jc w:val="left"/>
              <w:rPr>
                <w:sz w:val="18"/>
              </w:rPr>
            </w:pPr>
            <w:r>
              <w:rPr>
                <w:sz w:val="18"/>
              </w:rPr>
              <w:t>semanas</w:t>
            </w:r>
          </w:p>
        </w:tc>
      </w:tr>
      <w:tr>
        <w:trPr>
          <w:trHeight w:val="267" w:hRule="atLeast"/>
        </w:trPr>
        <w:tc>
          <w:tcPr>
            <w:tcW w:w="7164" w:type="dxa"/>
            <w:tcBorders>
              <w:right w:val="single" w:sz="4" w:space="0" w:color="000000"/>
            </w:tcBorders>
          </w:tcPr>
          <w:p>
            <w:pPr>
              <w:pStyle w:val="TableParagraph"/>
              <w:spacing w:before="27"/>
              <w:ind w:left="84"/>
              <w:jc w:val="left"/>
              <w:rPr>
                <w:sz w:val="18"/>
              </w:rPr>
            </w:pPr>
            <w:r>
              <w:rPr>
                <w:sz w:val="18"/>
              </w:rPr>
              <w:t>Limpieza de las paredes, puertas, ventanas, etc.</w:t>
            </w:r>
          </w:p>
        </w:tc>
        <w:tc>
          <w:tcPr>
            <w:tcW w:w="624" w:type="dxa"/>
            <w:tcBorders>
              <w:left w:val="single" w:sz="4" w:space="0" w:color="000000"/>
            </w:tcBorders>
          </w:tcPr>
          <w:p>
            <w:pPr>
              <w:pStyle w:val="TableParagraph"/>
              <w:spacing w:before="27"/>
              <w:ind w:right="68"/>
              <w:jc w:val="right"/>
              <w:rPr>
                <w:sz w:val="18"/>
              </w:rPr>
            </w:pPr>
            <w:r>
              <w:rPr>
                <w:w w:val="99"/>
                <w:sz w:val="18"/>
              </w:rPr>
              <w:t>4</w:t>
            </w:r>
          </w:p>
        </w:tc>
        <w:tc>
          <w:tcPr>
            <w:tcW w:w="1172" w:type="dxa"/>
          </w:tcPr>
          <w:p>
            <w:pPr>
              <w:pStyle w:val="TableParagraph"/>
              <w:spacing w:before="27"/>
              <w:ind w:left="69"/>
              <w:jc w:val="left"/>
              <w:rPr>
                <w:sz w:val="18"/>
              </w:rPr>
            </w:pPr>
            <w:r>
              <w:rPr>
                <w:sz w:val="18"/>
              </w:rPr>
              <w:t>semanas</w:t>
            </w:r>
          </w:p>
        </w:tc>
      </w:tr>
      <w:tr>
        <w:trPr>
          <w:trHeight w:val="236" w:hRule="atLeast"/>
        </w:trPr>
        <w:tc>
          <w:tcPr>
            <w:tcW w:w="7164" w:type="dxa"/>
            <w:tcBorders>
              <w:right w:val="single" w:sz="4" w:space="0" w:color="000000"/>
            </w:tcBorders>
          </w:tcPr>
          <w:p>
            <w:pPr>
              <w:pStyle w:val="TableParagraph"/>
              <w:spacing w:line="190" w:lineRule="exact" w:before="26"/>
              <w:ind w:left="84"/>
              <w:jc w:val="left"/>
              <w:rPr>
                <w:sz w:val="18"/>
              </w:rPr>
            </w:pPr>
            <w:r>
              <w:rPr>
                <w:sz w:val="18"/>
              </w:rPr>
              <w:t>Limpieza general de las paredes y techos del almacén, incluidos los elementos del</w:t>
            </w:r>
          </w:p>
        </w:tc>
        <w:tc>
          <w:tcPr>
            <w:tcW w:w="624" w:type="dxa"/>
            <w:tcBorders>
              <w:left w:val="single" w:sz="4" w:space="0" w:color="000000"/>
            </w:tcBorders>
          </w:tcPr>
          <w:p>
            <w:pPr>
              <w:pStyle w:val="TableParagraph"/>
              <w:spacing w:line="190" w:lineRule="exact" w:before="26"/>
              <w:ind w:right="68"/>
              <w:jc w:val="right"/>
              <w:rPr>
                <w:sz w:val="18"/>
              </w:rPr>
            </w:pPr>
            <w:r>
              <w:rPr>
                <w:w w:val="99"/>
                <w:sz w:val="18"/>
              </w:rPr>
              <w:t>6</w:t>
            </w:r>
          </w:p>
        </w:tc>
        <w:tc>
          <w:tcPr>
            <w:tcW w:w="1172" w:type="dxa"/>
          </w:tcPr>
          <w:p>
            <w:pPr>
              <w:pStyle w:val="TableParagraph"/>
              <w:spacing w:line="190" w:lineRule="exact" w:before="26"/>
              <w:ind w:left="69"/>
              <w:jc w:val="left"/>
              <w:rPr>
                <w:sz w:val="18"/>
              </w:rPr>
            </w:pPr>
            <w:r>
              <w:rPr>
                <w:sz w:val="18"/>
              </w:rPr>
              <w:t>meses</w:t>
            </w:r>
          </w:p>
        </w:tc>
      </w:tr>
      <w:tr>
        <w:trPr>
          <w:trHeight w:val="236" w:hRule="atLeast"/>
        </w:trPr>
        <w:tc>
          <w:tcPr>
            <w:tcW w:w="7164" w:type="dxa"/>
            <w:tcBorders>
              <w:right w:val="single" w:sz="4" w:space="0" w:color="000000"/>
            </w:tcBorders>
          </w:tcPr>
          <w:p>
            <w:pPr>
              <w:pStyle w:val="TableParagraph"/>
              <w:spacing w:line="204" w:lineRule="exact"/>
              <w:ind w:left="84"/>
              <w:jc w:val="left"/>
              <w:rPr>
                <w:sz w:val="18"/>
              </w:rPr>
            </w:pPr>
            <w:r>
              <w:rPr>
                <w:sz w:val="18"/>
              </w:rPr>
              <w:t>sistema de ventilación, las luminarias, etc.</w:t>
            </w:r>
          </w:p>
        </w:tc>
        <w:tc>
          <w:tcPr>
            <w:tcW w:w="624" w:type="dxa"/>
            <w:tcBorders>
              <w:left w:val="single" w:sz="4" w:space="0" w:color="000000"/>
            </w:tcBorders>
          </w:tcPr>
          <w:p>
            <w:pPr>
              <w:pStyle w:val="TableParagraph"/>
              <w:jc w:val="left"/>
              <w:rPr>
                <w:rFonts w:ascii="Times New Roman"/>
                <w:sz w:val="16"/>
              </w:rPr>
            </w:pPr>
          </w:p>
        </w:tc>
        <w:tc>
          <w:tcPr>
            <w:tcW w:w="1172" w:type="dxa"/>
          </w:tcPr>
          <w:p>
            <w:pPr>
              <w:pStyle w:val="TableParagraph"/>
              <w:jc w:val="left"/>
              <w:rPr>
                <w:rFonts w:ascii="Times New Roman"/>
                <w:sz w:val="16"/>
              </w:rPr>
            </w:pPr>
          </w:p>
        </w:tc>
      </w:tr>
      <w:tr>
        <w:trPr>
          <w:trHeight w:val="296" w:hRule="atLeast"/>
        </w:trPr>
        <w:tc>
          <w:tcPr>
            <w:tcW w:w="7164" w:type="dxa"/>
            <w:tcBorders>
              <w:bottom w:val="single" w:sz="4" w:space="0" w:color="000000"/>
              <w:right w:val="single" w:sz="4" w:space="0" w:color="000000"/>
            </w:tcBorders>
          </w:tcPr>
          <w:p>
            <w:pPr>
              <w:pStyle w:val="TableParagraph"/>
              <w:spacing w:before="26"/>
              <w:ind w:left="84"/>
              <w:jc w:val="left"/>
              <w:rPr>
                <w:sz w:val="18"/>
              </w:rPr>
            </w:pPr>
            <w:r>
              <w:rPr>
                <w:sz w:val="18"/>
              </w:rPr>
              <w:t>Desinfección, desinsectación y desratización del almacén de contenedores</w:t>
            </w:r>
          </w:p>
        </w:tc>
        <w:tc>
          <w:tcPr>
            <w:tcW w:w="624" w:type="dxa"/>
            <w:tcBorders>
              <w:left w:val="single" w:sz="4" w:space="0" w:color="000000"/>
              <w:bottom w:val="single" w:sz="4" w:space="0" w:color="000000"/>
            </w:tcBorders>
          </w:tcPr>
          <w:p>
            <w:pPr>
              <w:pStyle w:val="TableParagraph"/>
              <w:spacing w:before="26"/>
              <w:ind w:right="69"/>
              <w:jc w:val="right"/>
              <w:rPr>
                <w:sz w:val="18"/>
              </w:rPr>
            </w:pPr>
            <w:r>
              <w:rPr>
                <w:w w:val="95"/>
                <w:sz w:val="18"/>
              </w:rPr>
              <w:t>1,5</w:t>
            </w:r>
          </w:p>
        </w:tc>
        <w:tc>
          <w:tcPr>
            <w:tcW w:w="1172" w:type="dxa"/>
            <w:tcBorders>
              <w:bottom w:val="single" w:sz="4" w:space="0" w:color="000000"/>
            </w:tcBorders>
          </w:tcPr>
          <w:p>
            <w:pPr>
              <w:pStyle w:val="TableParagraph"/>
              <w:spacing w:before="26"/>
              <w:ind w:left="69"/>
              <w:jc w:val="left"/>
              <w:rPr>
                <w:sz w:val="18"/>
              </w:rPr>
            </w:pPr>
            <w:r>
              <w:rPr>
                <w:sz w:val="18"/>
              </w:rPr>
              <w:t>meses</w:t>
            </w:r>
          </w:p>
        </w:tc>
      </w:tr>
    </w:tbl>
    <w:p>
      <w:pPr>
        <w:pStyle w:val="BodyText"/>
        <w:spacing w:before="2"/>
        <w:rPr>
          <w:b/>
          <w:sz w:val="24"/>
        </w:rPr>
      </w:pPr>
    </w:p>
    <w:p>
      <w:pPr>
        <w:pStyle w:val="ListParagraph"/>
        <w:numPr>
          <w:ilvl w:val="1"/>
          <w:numId w:val="110"/>
        </w:numPr>
        <w:tabs>
          <w:tab w:pos="675" w:val="left" w:leader="none"/>
        </w:tabs>
        <w:spacing w:line="240" w:lineRule="auto" w:before="1" w:after="0"/>
        <w:ind w:left="674" w:right="0" w:hanging="457"/>
        <w:jc w:val="left"/>
        <w:rPr>
          <w:b/>
          <w:i/>
          <w:sz w:val="24"/>
        </w:rPr>
      </w:pPr>
      <w:r>
        <w:rPr>
          <w:b/>
          <w:sz w:val="24"/>
        </w:rPr>
        <w:t>Instalaciones de traslado por</w:t>
      </w:r>
      <w:r>
        <w:rPr>
          <w:b/>
          <w:spacing w:val="-1"/>
          <w:sz w:val="24"/>
        </w:rPr>
        <w:t> </w:t>
      </w:r>
      <w:r>
        <w:rPr>
          <w:b/>
          <w:i/>
          <w:sz w:val="24"/>
        </w:rPr>
        <w:t>bajantes</w:t>
      </w:r>
    </w:p>
    <w:p>
      <w:pPr>
        <w:pStyle w:val="ListParagraph"/>
        <w:numPr>
          <w:ilvl w:val="0"/>
          <w:numId w:val="112"/>
        </w:numPr>
        <w:tabs>
          <w:tab w:pos="672" w:val="left" w:leader="none"/>
          <w:tab w:pos="673" w:val="left" w:leader="none"/>
        </w:tabs>
        <w:spacing w:line="240" w:lineRule="auto" w:before="98" w:after="0"/>
        <w:ind w:left="672" w:right="0" w:hanging="455"/>
        <w:jc w:val="left"/>
        <w:rPr>
          <w:sz w:val="20"/>
        </w:rPr>
      </w:pPr>
      <w:r>
        <w:rPr>
          <w:sz w:val="20"/>
        </w:rPr>
        <w:t>Las compuertas deben estar correctamente señalizadas según la fracción</w:t>
      </w:r>
      <w:r>
        <w:rPr>
          <w:spacing w:val="-8"/>
          <w:sz w:val="20"/>
        </w:rPr>
        <w:t> </w:t>
      </w:r>
      <w:r>
        <w:rPr>
          <w:sz w:val="20"/>
        </w:rPr>
        <w:t>correspondiente.</w:t>
      </w:r>
    </w:p>
    <w:p>
      <w:pPr>
        <w:pStyle w:val="ListParagraph"/>
        <w:numPr>
          <w:ilvl w:val="0"/>
          <w:numId w:val="112"/>
        </w:numPr>
        <w:tabs>
          <w:tab w:pos="672" w:val="left" w:leader="none"/>
          <w:tab w:pos="673" w:val="left" w:leader="none"/>
        </w:tabs>
        <w:spacing w:line="240" w:lineRule="auto" w:before="60" w:after="0"/>
        <w:ind w:left="672" w:right="392" w:hanging="454"/>
        <w:jc w:val="left"/>
        <w:rPr>
          <w:sz w:val="20"/>
        </w:rPr>
      </w:pPr>
      <w:r>
        <w:rPr>
          <w:sz w:val="20"/>
        </w:rPr>
        <w:t>En los recintos en los que estén situadas las compuertas deben disponerse, en un soporte indele- ble, junto a otras normas de uso y mantenimiento, las instrucciones</w:t>
      </w:r>
      <w:r>
        <w:rPr>
          <w:spacing w:val="-7"/>
          <w:sz w:val="20"/>
        </w:rPr>
        <w:t> </w:t>
      </w:r>
      <w:r>
        <w:rPr>
          <w:sz w:val="20"/>
        </w:rPr>
        <w:t>siguientes:</w:t>
      </w:r>
    </w:p>
    <w:p>
      <w:pPr>
        <w:pStyle w:val="ListParagraph"/>
        <w:numPr>
          <w:ilvl w:val="1"/>
          <w:numId w:val="112"/>
        </w:numPr>
        <w:tabs>
          <w:tab w:pos="1125" w:val="left" w:leader="none"/>
          <w:tab w:pos="1126" w:val="left" w:leader="none"/>
        </w:tabs>
        <w:spacing w:line="240" w:lineRule="auto" w:before="60" w:after="0"/>
        <w:ind w:left="1126" w:right="0" w:hanging="454"/>
        <w:jc w:val="left"/>
        <w:rPr>
          <w:sz w:val="20"/>
        </w:rPr>
      </w:pPr>
      <w:r>
        <w:rPr>
          <w:sz w:val="20"/>
        </w:rPr>
        <w:t>cada fracción debe verterse en la compuerta</w:t>
      </w:r>
      <w:r>
        <w:rPr>
          <w:spacing w:val="-4"/>
          <w:sz w:val="20"/>
        </w:rPr>
        <w:t> </w:t>
      </w:r>
      <w:r>
        <w:rPr>
          <w:sz w:val="20"/>
        </w:rPr>
        <w:t>correspondiente;</w:t>
      </w:r>
    </w:p>
    <w:p>
      <w:pPr>
        <w:pStyle w:val="ListParagraph"/>
        <w:numPr>
          <w:ilvl w:val="1"/>
          <w:numId w:val="112"/>
        </w:numPr>
        <w:tabs>
          <w:tab w:pos="1125" w:val="left" w:leader="none"/>
          <w:tab w:pos="1126" w:val="left" w:leader="none"/>
        </w:tabs>
        <w:spacing w:line="240" w:lineRule="auto" w:before="60" w:after="0"/>
        <w:ind w:left="1126" w:right="391" w:hanging="454"/>
        <w:jc w:val="left"/>
        <w:rPr>
          <w:sz w:val="20"/>
        </w:rPr>
      </w:pPr>
      <w:r>
        <w:rPr>
          <w:sz w:val="20"/>
        </w:rPr>
        <w:t>no se deben verter por ninguna compuerta </w:t>
      </w:r>
      <w:r>
        <w:rPr>
          <w:i/>
          <w:sz w:val="20"/>
        </w:rPr>
        <w:t>residuos </w:t>
      </w:r>
      <w:r>
        <w:rPr>
          <w:sz w:val="20"/>
        </w:rPr>
        <w:t>líquidos, objetos cortantes o punzantes ni vidrio;</w:t>
      </w:r>
    </w:p>
    <w:p>
      <w:pPr>
        <w:pStyle w:val="ListParagraph"/>
        <w:numPr>
          <w:ilvl w:val="1"/>
          <w:numId w:val="112"/>
        </w:numPr>
        <w:tabs>
          <w:tab w:pos="1125" w:val="left" w:leader="none"/>
          <w:tab w:pos="1126" w:val="left" w:leader="none"/>
        </w:tabs>
        <w:spacing w:line="240" w:lineRule="auto" w:before="61" w:after="0"/>
        <w:ind w:left="1126" w:right="0" w:hanging="454"/>
        <w:jc w:val="left"/>
        <w:rPr>
          <w:sz w:val="20"/>
        </w:rPr>
      </w:pPr>
      <w:r>
        <w:rPr>
          <w:sz w:val="20"/>
        </w:rPr>
        <w:t>los envases ligeros y la materia orgánica deben verterse introducidos en envases</w:t>
      </w:r>
      <w:r>
        <w:rPr>
          <w:spacing w:val="-7"/>
          <w:sz w:val="20"/>
        </w:rPr>
        <w:t> </w:t>
      </w:r>
      <w:r>
        <w:rPr>
          <w:sz w:val="20"/>
        </w:rPr>
        <w:t>cerrados;</w:t>
      </w:r>
    </w:p>
    <w:p>
      <w:pPr>
        <w:pStyle w:val="ListParagraph"/>
        <w:numPr>
          <w:ilvl w:val="1"/>
          <w:numId w:val="112"/>
        </w:numPr>
        <w:tabs>
          <w:tab w:pos="1125" w:val="left" w:leader="none"/>
          <w:tab w:pos="1126" w:val="left" w:leader="none"/>
        </w:tabs>
        <w:spacing w:line="240" w:lineRule="auto" w:before="59" w:after="0"/>
        <w:ind w:left="1126" w:right="389" w:hanging="454"/>
        <w:jc w:val="left"/>
        <w:rPr>
          <w:sz w:val="20"/>
        </w:rPr>
      </w:pPr>
      <w:r>
        <w:rPr>
          <w:sz w:val="20"/>
        </w:rPr>
        <w:t>los objetos de cartón que no quepan por la compuerta deben introducirse troceados y no de- ben plegarse.</w:t>
      </w:r>
    </w:p>
    <w:p>
      <w:pPr>
        <w:pStyle w:val="ListParagraph"/>
        <w:numPr>
          <w:ilvl w:val="0"/>
          <w:numId w:val="112"/>
        </w:numPr>
        <w:tabs>
          <w:tab w:pos="672" w:val="left" w:leader="none"/>
          <w:tab w:pos="673" w:val="left" w:leader="none"/>
        </w:tabs>
        <w:spacing w:line="240" w:lineRule="auto" w:before="61" w:after="0"/>
        <w:ind w:left="672" w:right="391" w:hanging="454"/>
        <w:jc w:val="left"/>
        <w:rPr>
          <w:sz w:val="20"/>
        </w:rPr>
      </w:pPr>
      <w:r>
        <w:rPr>
          <w:sz w:val="20"/>
        </w:rPr>
        <w:t>Deben realizarse las operaciones de mantenimiento que, junto con su periodicidad, se incluyen en la tabla 3.2.</w:t>
      </w:r>
    </w:p>
    <w:p>
      <w:pPr>
        <w:tabs>
          <w:tab w:pos="3408" w:val="left" w:leader="none"/>
          <w:tab w:pos="9643" w:val="left" w:leader="none"/>
        </w:tabs>
        <w:spacing w:before="59"/>
        <w:ind w:left="660" w:right="0" w:firstLine="0"/>
        <w:jc w:val="left"/>
        <w:rPr>
          <w:b/>
          <w:sz w:val="18"/>
        </w:rPr>
      </w:pPr>
      <w:r>
        <w:rPr>
          <w:b/>
          <w:sz w:val="18"/>
          <w:u w:val="single"/>
        </w:rPr>
        <w:t> </w:t>
        <w:tab/>
        <w:t>Tabla 3.2 Operaciones de</w:t>
      </w:r>
      <w:r>
        <w:rPr>
          <w:b/>
          <w:spacing w:val="-6"/>
          <w:sz w:val="18"/>
          <w:u w:val="single"/>
        </w:rPr>
        <w:t> </w:t>
      </w:r>
      <w:r>
        <w:rPr>
          <w:b/>
          <w:sz w:val="18"/>
          <w:u w:val="single"/>
        </w:rPr>
        <w:t>mantenimiento</w:t>
        <w:tab/>
      </w:r>
    </w:p>
    <w:p>
      <w:pPr>
        <w:spacing w:after="0"/>
        <w:jc w:val="left"/>
        <w:rPr>
          <w:sz w:val="18"/>
        </w:rPr>
        <w:sectPr>
          <w:pgSz w:w="11910" w:h="16840"/>
          <w:pgMar w:header="724" w:footer="636" w:top="1320" w:bottom="840" w:left="1200" w:right="740"/>
        </w:sectPr>
      </w:pPr>
    </w:p>
    <w:p>
      <w:pPr>
        <w:pStyle w:val="BodyText"/>
        <w:spacing w:before="2"/>
        <w:rPr>
          <w:rFonts w:ascii="Times New Roman"/>
          <w:sz w:val="8"/>
        </w:rPr>
      </w:pPr>
    </w:p>
    <w:tbl>
      <w:tblPr>
        <w:tblW w:w="0" w:type="auto"/>
        <w:jc w:val="left"/>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7"/>
        <w:gridCol w:w="5401"/>
        <w:gridCol w:w="493"/>
        <w:gridCol w:w="1177"/>
      </w:tblGrid>
      <w:tr>
        <w:trPr>
          <w:trHeight w:val="205" w:hRule="atLeast"/>
        </w:trPr>
        <w:tc>
          <w:tcPr>
            <w:tcW w:w="1907" w:type="dxa"/>
            <w:tcBorders>
              <w:top w:val="single" w:sz="4" w:space="0" w:color="000000"/>
              <w:bottom w:val="single" w:sz="4" w:space="0" w:color="000000"/>
            </w:tcBorders>
          </w:tcPr>
          <w:p>
            <w:pPr>
              <w:pStyle w:val="TableParagraph"/>
              <w:jc w:val="left"/>
              <w:rPr>
                <w:rFonts w:ascii="Times New Roman"/>
                <w:sz w:val="14"/>
              </w:rPr>
            </w:pPr>
          </w:p>
        </w:tc>
        <w:tc>
          <w:tcPr>
            <w:tcW w:w="5401" w:type="dxa"/>
            <w:tcBorders>
              <w:top w:val="single" w:sz="4" w:space="0" w:color="000000"/>
              <w:bottom w:val="single" w:sz="4" w:space="0" w:color="000000"/>
            </w:tcBorders>
          </w:tcPr>
          <w:p>
            <w:pPr>
              <w:pStyle w:val="TableParagraph"/>
              <w:spacing w:line="186" w:lineRule="exact"/>
              <w:ind w:left="129"/>
              <w:jc w:val="left"/>
              <w:rPr>
                <w:b/>
                <w:sz w:val="18"/>
              </w:rPr>
            </w:pPr>
            <w:r>
              <w:rPr>
                <w:b/>
                <w:sz w:val="18"/>
              </w:rPr>
              <w:t>Operación</w:t>
            </w:r>
          </w:p>
        </w:tc>
        <w:tc>
          <w:tcPr>
            <w:tcW w:w="1670" w:type="dxa"/>
            <w:gridSpan w:val="2"/>
            <w:tcBorders>
              <w:top w:val="single" w:sz="4" w:space="0" w:color="000000"/>
              <w:bottom w:val="single" w:sz="4" w:space="0" w:color="000000"/>
            </w:tcBorders>
          </w:tcPr>
          <w:p>
            <w:pPr>
              <w:pStyle w:val="TableParagraph"/>
              <w:spacing w:line="186" w:lineRule="exact"/>
              <w:ind w:left="239"/>
              <w:jc w:val="left"/>
              <w:rPr>
                <w:b/>
                <w:sz w:val="18"/>
              </w:rPr>
            </w:pPr>
            <w:r>
              <w:rPr>
                <w:b/>
                <w:sz w:val="18"/>
              </w:rPr>
              <w:t>Periodicidad</w:t>
            </w:r>
          </w:p>
        </w:tc>
      </w:tr>
      <w:tr>
        <w:trPr>
          <w:trHeight w:val="1275" w:hRule="atLeast"/>
        </w:trPr>
        <w:tc>
          <w:tcPr>
            <w:tcW w:w="1907" w:type="dxa"/>
            <w:tcBorders>
              <w:top w:val="single" w:sz="4" w:space="0" w:color="000000"/>
              <w:bottom w:val="single" w:sz="4" w:space="0" w:color="000000"/>
            </w:tcBorders>
          </w:tcPr>
          <w:p>
            <w:pPr>
              <w:pStyle w:val="TableParagraph"/>
              <w:jc w:val="left"/>
              <w:rPr>
                <w:rFonts w:ascii="Times New Roman"/>
                <w:sz w:val="20"/>
              </w:rPr>
            </w:pPr>
          </w:p>
          <w:p>
            <w:pPr>
              <w:pStyle w:val="TableParagraph"/>
              <w:spacing w:before="4"/>
              <w:jc w:val="left"/>
              <w:rPr>
                <w:rFonts w:ascii="Times New Roman"/>
                <w:sz w:val="26"/>
              </w:rPr>
            </w:pPr>
          </w:p>
          <w:p>
            <w:pPr>
              <w:pStyle w:val="TableParagraph"/>
              <w:ind w:left="77"/>
              <w:jc w:val="left"/>
              <w:rPr>
                <w:b/>
                <w:i/>
                <w:sz w:val="18"/>
              </w:rPr>
            </w:pPr>
            <w:r>
              <w:rPr>
                <w:b/>
                <w:i/>
                <w:sz w:val="18"/>
              </w:rPr>
              <w:t>Bajantes</w:t>
            </w:r>
          </w:p>
        </w:tc>
        <w:tc>
          <w:tcPr>
            <w:tcW w:w="5401" w:type="dxa"/>
            <w:tcBorders>
              <w:top w:val="single" w:sz="4" w:space="0" w:color="000000"/>
              <w:bottom w:val="single" w:sz="4" w:space="0" w:color="000000"/>
            </w:tcBorders>
          </w:tcPr>
          <w:p>
            <w:pPr>
              <w:pStyle w:val="TableParagraph"/>
              <w:spacing w:before="59"/>
              <w:ind w:left="129" w:right="329"/>
              <w:jc w:val="left"/>
              <w:rPr>
                <w:sz w:val="18"/>
              </w:rPr>
            </w:pPr>
            <w:r>
              <w:rPr>
                <w:sz w:val="18"/>
              </w:rPr>
              <w:t>Limpieza de las </w:t>
            </w:r>
            <w:r>
              <w:rPr>
                <w:i/>
                <w:sz w:val="18"/>
              </w:rPr>
              <w:t>bajantes </w:t>
            </w:r>
            <w:r>
              <w:rPr>
                <w:sz w:val="18"/>
              </w:rPr>
              <w:t>por gravedad. Revisión y reparación de los daños encontrados</w:t>
            </w:r>
          </w:p>
          <w:p>
            <w:pPr>
              <w:pStyle w:val="TableParagraph"/>
              <w:spacing w:before="60"/>
              <w:ind w:left="129" w:right="219"/>
              <w:jc w:val="left"/>
              <w:rPr>
                <w:sz w:val="18"/>
              </w:rPr>
            </w:pPr>
            <w:r>
              <w:rPr>
                <w:sz w:val="18"/>
              </w:rPr>
              <w:t>Limpieza de las </w:t>
            </w:r>
            <w:r>
              <w:rPr>
                <w:i/>
                <w:sz w:val="18"/>
              </w:rPr>
              <w:t>bajantes </w:t>
            </w:r>
            <w:r>
              <w:rPr>
                <w:sz w:val="18"/>
              </w:rPr>
              <w:t>neumáticas. Revisión y reparación de los daños encontrados</w:t>
            </w:r>
          </w:p>
          <w:p>
            <w:pPr>
              <w:pStyle w:val="TableParagraph"/>
              <w:spacing w:before="60"/>
              <w:ind w:left="129"/>
              <w:jc w:val="left"/>
              <w:rPr>
                <w:sz w:val="18"/>
              </w:rPr>
            </w:pPr>
            <w:r>
              <w:rPr>
                <w:sz w:val="18"/>
              </w:rPr>
              <w:t>Limpieza de las compuertas de vertido</w:t>
            </w:r>
          </w:p>
        </w:tc>
        <w:tc>
          <w:tcPr>
            <w:tcW w:w="493" w:type="dxa"/>
            <w:tcBorders>
              <w:top w:val="single" w:sz="4" w:space="0" w:color="000000"/>
              <w:bottom w:val="single" w:sz="4" w:space="0" w:color="000000"/>
            </w:tcBorders>
          </w:tcPr>
          <w:p>
            <w:pPr>
              <w:pStyle w:val="TableParagraph"/>
              <w:spacing w:before="59"/>
              <w:ind w:left="322"/>
              <w:jc w:val="left"/>
              <w:rPr>
                <w:sz w:val="18"/>
              </w:rPr>
            </w:pPr>
            <w:r>
              <w:rPr>
                <w:w w:val="99"/>
                <w:sz w:val="18"/>
              </w:rPr>
              <w:t>6</w:t>
            </w:r>
          </w:p>
          <w:p>
            <w:pPr>
              <w:pStyle w:val="TableParagraph"/>
              <w:spacing w:before="2"/>
              <w:jc w:val="left"/>
              <w:rPr>
                <w:rFonts w:ascii="Times New Roman"/>
                <w:sz w:val="23"/>
              </w:rPr>
            </w:pPr>
          </w:p>
          <w:p>
            <w:pPr>
              <w:pStyle w:val="TableParagraph"/>
              <w:ind w:left="322"/>
              <w:jc w:val="left"/>
              <w:rPr>
                <w:sz w:val="18"/>
              </w:rPr>
            </w:pPr>
            <w:r>
              <w:rPr>
                <w:w w:val="99"/>
                <w:sz w:val="18"/>
              </w:rPr>
              <w:t>1</w:t>
            </w:r>
          </w:p>
          <w:p>
            <w:pPr>
              <w:pStyle w:val="TableParagraph"/>
              <w:spacing w:before="3"/>
              <w:jc w:val="left"/>
              <w:rPr>
                <w:rFonts w:ascii="Times New Roman"/>
                <w:sz w:val="23"/>
              </w:rPr>
            </w:pPr>
          </w:p>
          <w:p>
            <w:pPr>
              <w:pStyle w:val="TableParagraph"/>
              <w:ind w:left="322"/>
              <w:jc w:val="left"/>
              <w:rPr>
                <w:sz w:val="18"/>
              </w:rPr>
            </w:pPr>
            <w:r>
              <w:rPr>
                <w:w w:val="99"/>
                <w:sz w:val="18"/>
              </w:rPr>
              <w:t>1</w:t>
            </w:r>
          </w:p>
        </w:tc>
        <w:tc>
          <w:tcPr>
            <w:tcW w:w="1177" w:type="dxa"/>
            <w:tcBorders>
              <w:top w:val="single" w:sz="4" w:space="0" w:color="000000"/>
              <w:bottom w:val="single" w:sz="4" w:space="0" w:color="000000"/>
            </w:tcBorders>
          </w:tcPr>
          <w:p>
            <w:pPr>
              <w:pStyle w:val="TableParagraph"/>
              <w:spacing w:line="549" w:lineRule="auto" w:before="59"/>
              <w:ind w:left="69" w:right="557"/>
              <w:jc w:val="left"/>
              <w:rPr>
                <w:sz w:val="18"/>
              </w:rPr>
            </w:pPr>
            <w:r>
              <w:rPr>
                <w:sz w:val="18"/>
              </w:rPr>
              <w:t>meses año</w:t>
            </w:r>
          </w:p>
          <w:p>
            <w:pPr>
              <w:pStyle w:val="TableParagraph"/>
              <w:ind w:left="69"/>
              <w:jc w:val="left"/>
              <w:rPr>
                <w:sz w:val="18"/>
              </w:rPr>
            </w:pPr>
            <w:r>
              <w:rPr>
                <w:sz w:val="18"/>
              </w:rPr>
              <w:t>semana</w:t>
            </w:r>
          </w:p>
        </w:tc>
      </w:tr>
      <w:tr>
        <w:trPr>
          <w:trHeight w:val="1335" w:hRule="atLeast"/>
        </w:trPr>
        <w:tc>
          <w:tcPr>
            <w:tcW w:w="1907" w:type="dxa"/>
            <w:tcBorders>
              <w:top w:val="single" w:sz="4" w:space="0" w:color="000000"/>
              <w:bottom w:val="single" w:sz="4" w:space="0" w:color="000000"/>
            </w:tcBorders>
          </w:tcPr>
          <w:p>
            <w:pPr>
              <w:pStyle w:val="TableParagraph"/>
              <w:jc w:val="left"/>
              <w:rPr>
                <w:rFonts w:ascii="Times New Roman"/>
                <w:sz w:val="20"/>
              </w:rPr>
            </w:pPr>
          </w:p>
          <w:p>
            <w:pPr>
              <w:pStyle w:val="TableParagraph"/>
              <w:spacing w:before="8"/>
              <w:jc w:val="left"/>
              <w:rPr>
                <w:rFonts w:ascii="Times New Roman"/>
                <w:sz w:val="19"/>
              </w:rPr>
            </w:pPr>
          </w:p>
          <w:p>
            <w:pPr>
              <w:pStyle w:val="TableParagraph"/>
              <w:spacing w:before="1"/>
              <w:ind w:left="77" w:right="109"/>
              <w:jc w:val="left"/>
              <w:rPr>
                <w:b/>
                <w:i/>
                <w:sz w:val="18"/>
              </w:rPr>
            </w:pPr>
            <w:r>
              <w:rPr>
                <w:b/>
                <w:sz w:val="18"/>
              </w:rPr>
              <w:t>Recinto de </w:t>
            </w:r>
            <w:r>
              <w:rPr>
                <w:b/>
                <w:i/>
                <w:sz w:val="18"/>
              </w:rPr>
              <w:t>estación </w:t>
            </w:r>
            <w:r>
              <w:rPr>
                <w:b/>
                <w:i/>
                <w:sz w:val="18"/>
              </w:rPr>
              <w:t>de carga</w:t>
            </w:r>
          </w:p>
        </w:tc>
        <w:tc>
          <w:tcPr>
            <w:tcW w:w="5401" w:type="dxa"/>
            <w:tcBorders>
              <w:top w:val="single" w:sz="4" w:space="0" w:color="000000"/>
              <w:bottom w:val="single" w:sz="4" w:space="0" w:color="000000"/>
            </w:tcBorders>
          </w:tcPr>
          <w:p>
            <w:pPr>
              <w:pStyle w:val="TableParagraph"/>
              <w:spacing w:before="59"/>
              <w:ind w:left="129"/>
              <w:jc w:val="left"/>
              <w:rPr>
                <w:sz w:val="18"/>
              </w:rPr>
            </w:pPr>
            <w:r>
              <w:rPr>
                <w:sz w:val="18"/>
              </w:rPr>
              <w:t>Limpieza del suelo</w:t>
            </w:r>
          </w:p>
          <w:p>
            <w:pPr>
              <w:pStyle w:val="TableParagraph"/>
              <w:spacing w:before="59"/>
              <w:ind w:left="129"/>
              <w:jc w:val="left"/>
              <w:rPr>
                <w:sz w:val="18"/>
              </w:rPr>
            </w:pPr>
            <w:r>
              <w:rPr>
                <w:sz w:val="18"/>
              </w:rPr>
              <w:t>Limpieza de las paredes, las puertas, las ventanas, etc.</w:t>
            </w:r>
          </w:p>
          <w:p>
            <w:pPr>
              <w:pStyle w:val="TableParagraph"/>
              <w:spacing w:before="61"/>
              <w:ind w:left="129" w:right="249"/>
              <w:jc w:val="left"/>
              <w:rPr>
                <w:sz w:val="18"/>
              </w:rPr>
            </w:pPr>
            <w:r>
              <w:rPr>
                <w:sz w:val="18"/>
              </w:rPr>
              <w:t>Limpieza general de las paredes y techos ,incluidas elementos del sistema de ventilación, luminarias, etc.</w:t>
            </w:r>
          </w:p>
          <w:p>
            <w:pPr>
              <w:pStyle w:val="TableParagraph"/>
              <w:spacing w:before="60"/>
              <w:ind w:left="129"/>
              <w:jc w:val="left"/>
              <w:rPr>
                <w:sz w:val="18"/>
              </w:rPr>
            </w:pPr>
            <w:r>
              <w:rPr>
                <w:sz w:val="18"/>
              </w:rPr>
              <w:t>Desinfección, desinsectación y desratización</w:t>
            </w:r>
          </w:p>
        </w:tc>
        <w:tc>
          <w:tcPr>
            <w:tcW w:w="493" w:type="dxa"/>
            <w:tcBorders>
              <w:top w:val="single" w:sz="4" w:space="0" w:color="000000"/>
              <w:bottom w:val="single" w:sz="4" w:space="0" w:color="000000"/>
            </w:tcBorders>
          </w:tcPr>
          <w:p>
            <w:pPr>
              <w:pStyle w:val="TableParagraph"/>
              <w:spacing w:before="59"/>
              <w:ind w:left="322"/>
              <w:jc w:val="left"/>
              <w:rPr>
                <w:sz w:val="18"/>
              </w:rPr>
            </w:pPr>
            <w:r>
              <w:rPr>
                <w:w w:val="99"/>
                <w:sz w:val="18"/>
              </w:rPr>
              <w:t>1</w:t>
            </w:r>
          </w:p>
          <w:p>
            <w:pPr>
              <w:pStyle w:val="TableParagraph"/>
              <w:spacing w:before="59"/>
              <w:ind w:left="322"/>
              <w:jc w:val="left"/>
              <w:rPr>
                <w:sz w:val="18"/>
              </w:rPr>
            </w:pPr>
            <w:r>
              <w:rPr>
                <w:w w:val="99"/>
                <w:sz w:val="18"/>
              </w:rPr>
              <w:t>2</w:t>
            </w:r>
          </w:p>
          <w:p>
            <w:pPr>
              <w:pStyle w:val="TableParagraph"/>
              <w:spacing w:before="61"/>
              <w:ind w:left="322"/>
              <w:jc w:val="left"/>
              <w:rPr>
                <w:sz w:val="18"/>
              </w:rPr>
            </w:pPr>
            <w:r>
              <w:rPr>
                <w:w w:val="99"/>
                <w:sz w:val="18"/>
              </w:rPr>
              <w:t>6</w:t>
            </w:r>
          </w:p>
          <w:p>
            <w:pPr>
              <w:pStyle w:val="TableParagraph"/>
              <w:spacing w:before="2"/>
              <w:jc w:val="left"/>
              <w:rPr>
                <w:rFonts w:ascii="Times New Roman"/>
                <w:sz w:val="23"/>
              </w:rPr>
            </w:pPr>
          </w:p>
          <w:p>
            <w:pPr>
              <w:pStyle w:val="TableParagraph"/>
              <w:ind w:left="322"/>
              <w:jc w:val="left"/>
              <w:rPr>
                <w:sz w:val="18"/>
              </w:rPr>
            </w:pPr>
            <w:r>
              <w:rPr>
                <w:w w:val="99"/>
                <w:sz w:val="18"/>
              </w:rPr>
              <w:t>6</w:t>
            </w:r>
          </w:p>
        </w:tc>
        <w:tc>
          <w:tcPr>
            <w:tcW w:w="1177" w:type="dxa"/>
            <w:tcBorders>
              <w:top w:val="single" w:sz="4" w:space="0" w:color="000000"/>
              <w:bottom w:val="single" w:sz="4" w:space="0" w:color="000000"/>
            </w:tcBorders>
          </w:tcPr>
          <w:p>
            <w:pPr>
              <w:pStyle w:val="TableParagraph"/>
              <w:spacing w:line="309" w:lineRule="auto" w:before="59"/>
              <w:ind w:left="69" w:right="447"/>
              <w:jc w:val="left"/>
              <w:rPr>
                <w:sz w:val="18"/>
              </w:rPr>
            </w:pPr>
            <w:r>
              <w:rPr>
                <w:sz w:val="18"/>
              </w:rPr>
              <w:t>semana</w:t>
            </w:r>
            <w:r>
              <w:rPr>
                <w:w w:val="99"/>
                <w:sz w:val="18"/>
              </w:rPr>
              <w:t> </w:t>
            </w:r>
            <w:r>
              <w:rPr>
                <w:sz w:val="18"/>
              </w:rPr>
              <w:t>meses meses</w:t>
            </w:r>
          </w:p>
          <w:p>
            <w:pPr>
              <w:pStyle w:val="TableParagraph"/>
              <w:spacing w:before="11"/>
              <w:jc w:val="left"/>
              <w:rPr>
                <w:rFonts w:ascii="Times New Roman"/>
                <w:sz w:val="17"/>
              </w:rPr>
            </w:pPr>
          </w:p>
          <w:p>
            <w:pPr>
              <w:pStyle w:val="TableParagraph"/>
              <w:ind w:left="69"/>
              <w:jc w:val="left"/>
              <w:rPr>
                <w:sz w:val="18"/>
              </w:rPr>
            </w:pPr>
            <w:r>
              <w:rPr>
                <w:sz w:val="18"/>
              </w:rPr>
              <w:t>meses</w:t>
            </w:r>
          </w:p>
        </w:tc>
      </w:tr>
    </w:tbl>
    <w:p>
      <w:pPr>
        <w:spacing w:after="0"/>
        <w:jc w:val="left"/>
        <w:rPr>
          <w:sz w:val="18"/>
        </w:rPr>
        <w:sectPr>
          <w:pgSz w:w="11910" w:h="16840"/>
          <w:pgMar w:header="724" w:footer="636" w:top="1320" w:bottom="840" w:left="1200" w:right="740"/>
        </w:sectPr>
      </w:pPr>
    </w:p>
    <w:p>
      <w:pPr>
        <w:pStyle w:val="BodyText"/>
        <w:rPr>
          <w:rFonts w:ascii="Times New Roman"/>
        </w:rPr>
      </w:pPr>
    </w:p>
    <w:p>
      <w:pPr>
        <w:pStyle w:val="BodyText"/>
        <w:spacing w:before="11"/>
        <w:rPr>
          <w:rFonts w:ascii="Times New Roman"/>
          <w:sz w:val="21"/>
        </w:rPr>
      </w:pPr>
    </w:p>
    <w:p>
      <w:pPr>
        <w:pStyle w:val="Heading2"/>
        <w:spacing w:before="90"/>
        <w:jc w:val="both"/>
      </w:pPr>
      <w:r>
        <w:rPr/>
        <w:t>Apéndice A Terminología</w:t>
      </w:r>
    </w:p>
    <w:p>
      <w:pPr>
        <w:pStyle w:val="BodyText"/>
        <w:spacing w:before="158"/>
        <w:ind w:left="218" w:right="391"/>
        <w:jc w:val="both"/>
      </w:pPr>
      <w:r>
        <w:rPr>
          <w:b/>
        </w:rPr>
        <w:t>Almacenamiento inmediato: </w:t>
      </w:r>
      <w:r>
        <w:rPr/>
        <w:t>almacenamiento temporal de las fracciones de los </w:t>
      </w:r>
      <w:r>
        <w:rPr>
          <w:i/>
        </w:rPr>
        <w:t>residuos </w:t>
      </w:r>
      <w:r>
        <w:rPr/>
        <w:t>en el interior de las unidades de uso para reducir la frecuencia del traslado a mano hasta los puntos de</w:t>
      </w:r>
      <w:r>
        <w:rPr>
          <w:spacing w:val="-9"/>
        </w:rPr>
        <w:t> </w:t>
      </w:r>
      <w:r>
        <w:rPr/>
        <w:t>recogida.</w:t>
      </w:r>
    </w:p>
    <w:p>
      <w:pPr>
        <w:spacing w:before="121"/>
        <w:ind w:left="218" w:right="390" w:firstLine="0"/>
        <w:jc w:val="both"/>
        <w:rPr>
          <w:sz w:val="20"/>
        </w:rPr>
      </w:pPr>
      <w:r>
        <w:rPr>
          <w:b/>
          <w:sz w:val="20"/>
        </w:rPr>
        <w:t>Bajante: </w:t>
      </w:r>
      <w:r>
        <w:rPr>
          <w:sz w:val="20"/>
        </w:rPr>
        <w:t>conducto vertical que sirve para el traslado por gravedad o neumático de los </w:t>
      </w:r>
      <w:r>
        <w:rPr>
          <w:i/>
          <w:sz w:val="20"/>
        </w:rPr>
        <w:t>residuos </w:t>
      </w:r>
      <w:r>
        <w:rPr>
          <w:sz w:val="20"/>
        </w:rPr>
        <w:t>desde las compuertas de vertido hasta los </w:t>
      </w:r>
      <w:r>
        <w:rPr>
          <w:i/>
          <w:sz w:val="20"/>
        </w:rPr>
        <w:t>contenedores de edificio </w:t>
      </w:r>
      <w:r>
        <w:rPr>
          <w:sz w:val="20"/>
        </w:rPr>
        <w:t>o las estaciones de carga, respectivamente.</w:t>
      </w:r>
    </w:p>
    <w:p>
      <w:pPr>
        <w:spacing w:before="120"/>
        <w:ind w:left="218" w:right="391" w:firstLine="0"/>
        <w:jc w:val="both"/>
        <w:rPr>
          <w:sz w:val="20"/>
        </w:rPr>
      </w:pPr>
      <w:r>
        <w:rPr>
          <w:b/>
          <w:sz w:val="20"/>
        </w:rPr>
        <w:t>Contenedores de calle</w:t>
      </w:r>
      <w:r>
        <w:rPr>
          <w:sz w:val="20"/>
        </w:rPr>
        <w:t>: </w:t>
      </w:r>
      <w:r>
        <w:rPr>
          <w:i/>
          <w:sz w:val="20"/>
        </w:rPr>
        <w:t>contenedores de recogida </w:t>
      </w:r>
      <w:r>
        <w:rPr>
          <w:sz w:val="20"/>
        </w:rPr>
        <w:t>públicos dispuestos en la calle para los </w:t>
      </w:r>
      <w:r>
        <w:rPr>
          <w:i/>
          <w:sz w:val="20"/>
        </w:rPr>
        <w:t>residuos </w:t>
      </w:r>
      <w:r>
        <w:rPr>
          <w:sz w:val="20"/>
        </w:rPr>
        <w:t>generados en edificios de su entorno. Estos contenedores pueden ser de superficie, en cuyo caso los usuarios depositan los </w:t>
      </w:r>
      <w:r>
        <w:rPr>
          <w:i/>
          <w:sz w:val="20"/>
        </w:rPr>
        <w:t>residuos </w:t>
      </w:r>
      <w:r>
        <w:rPr>
          <w:sz w:val="20"/>
        </w:rPr>
        <w:t>directamente en ellos, o subterráneos, que disponen de un buzón colo- cado en la superficie para la introducción de los </w:t>
      </w:r>
      <w:r>
        <w:rPr>
          <w:i/>
          <w:sz w:val="20"/>
        </w:rPr>
        <w:t>residuos</w:t>
      </w:r>
      <w:r>
        <w:rPr>
          <w:sz w:val="20"/>
        </w:rPr>
        <w:t>.</w:t>
      </w:r>
    </w:p>
    <w:p>
      <w:pPr>
        <w:spacing w:before="60"/>
        <w:ind w:left="218" w:right="390" w:firstLine="0"/>
        <w:jc w:val="both"/>
        <w:rPr>
          <w:sz w:val="20"/>
        </w:rPr>
      </w:pPr>
      <w:r>
        <w:rPr>
          <w:b/>
          <w:sz w:val="20"/>
        </w:rPr>
        <w:t>Contenedores de edificio</w:t>
      </w:r>
      <w:r>
        <w:rPr>
          <w:sz w:val="20"/>
        </w:rPr>
        <w:t>: </w:t>
      </w:r>
      <w:r>
        <w:rPr>
          <w:i/>
          <w:sz w:val="20"/>
        </w:rPr>
        <w:t>contenedores de recogida </w:t>
      </w:r>
      <w:r>
        <w:rPr>
          <w:sz w:val="20"/>
        </w:rPr>
        <w:t>privados para los </w:t>
      </w:r>
      <w:r>
        <w:rPr>
          <w:i/>
          <w:sz w:val="20"/>
        </w:rPr>
        <w:t>residuos </w:t>
      </w:r>
      <w:r>
        <w:rPr>
          <w:sz w:val="20"/>
        </w:rPr>
        <w:t>generados en una o varias viviendas y que se sitúan en el almacén de </w:t>
      </w:r>
      <w:r>
        <w:rPr>
          <w:i/>
          <w:sz w:val="20"/>
        </w:rPr>
        <w:t>contenedores de edificio</w:t>
      </w:r>
      <w:r>
        <w:rPr>
          <w:sz w:val="20"/>
        </w:rPr>
        <w:t>. En estos contenedores se depositan los </w:t>
      </w:r>
      <w:r>
        <w:rPr>
          <w:i/>
          <w:sz w:val="20"/>
        </w:rPr>
        <w:t>residuos </w:t>
      </w:r>
      <w:r>
        <w:rPr>
          <w:sz w:val="20"/>
        </w:rPr>
        <w:t>a través de </w:t>
      </w:r>
      <w:r>
        <w:rPr>
          <w:i/>
          <w:sz w:val="20"/>
        </w:rPr>
        <w:t>bajantes </w:t>
      </w:r>
      <w:r>
        <w:rPr>
          <w:sz w:val="20"/>
        </w:rPr>
        <w:t>o a mano.</w:t>
      </w:r>
    </w:p>
    <w:p>
      <w:pPr>
        <w:spacing w:before="59"/>
        <w:ind w:left="218" w:right="388" w:firstLine="0"/>
        <w:jc w:val="both"/>
        <w:rPr>
          <w:sz w:val="20"/>
        </w:rPr>
      </w:pPr>
      <w:r>
        <w:rPr>
          <w:b/>
          <w:sz w:val="20"/>
        </w:rPr>
        <w:t>Contenedores de recogida</w:t>
      </w:r>
      <w:r>
        <w:rPr>
          <w:sz w:val="20"/>
        </w:rPr>
        <w:t>: contenedores utilizados para depositar las distintas fracciones de los </w:t>
      </w:r>
      <w:r>
        <w:rPr>
          <w:i/>
          <w:sz w:val="20"/>
        </w:rPr>
        <w:t>resi- </w:t>
      </w:r>
      <w:r>
        <w:rPr>
          <w:i/>
          <w:sz w:val="20"/>
        </w:rPr>
        <w:t>duos ordinarios </w:t>
      </w:r>
      <w:r>
        <w:rPr>
          <w:sz w:val="20"/>
        </w:rPr>
        <w:t>generados, a fin de facilitar su traslado y su carga en los camiones del </w:t>
      </w:r>
      <w:r>
        <w:rPr>
          <w:i/>
          <w:sz w:val="20"/>
        </w:rPr>
        <w:t>servicio de reco- </w:t>
      </w:r>
      <w:r>
        <w:rPr>
          <w:i/>
          <w:sz w:val="20"/>
        </w:rPr>
        <w:t>gida</w:t>
      </w:r>
      <w:r>
        <w:rPr>
          <w:sz w:val="20"/>
        </w:rPr>
        <w:t>.</w:t>
      </w:r>
    </w:p>
    <w:p>
      <w:pPr>
        <w:pStyle w:val="BodyText"/>
        <w:spacing w:before="60"/>
        <w:ind w:left="218" w:right="389"/>
        <w:jc w:val="both"/>
      </w:pPr>
      <w:r>
        <w:rPr>
          <w:b/>
        </w:rPr>
        <w:t>Estación de carga</w:t>
      </w:r>
      <w:r>
        <w:rPr/>
        <w:t>: parte de la instalación de </w:t>
      </w:r>
      <w:r>
        <w:rPr>
          <w:i/>
        </w:rPr>
        <w:t>recogida neumática </w:t>
      </w:r>
      <w:r>
        <w:rPr/>
        <w:t>situada en la parte inferior de la </w:t>
      </w:r>
      <w:r>
        <w:rPr>
          <w:i/>
        </w:rPr>
        <w:t>bajan- </w:t>
      </w:r>
      <w:r>
        <w:rPr>
          <w:i/>
        </w:rPr>
        <w:t>te </w:t>
      </w:r>
      <w:r>
        <w:rPr/>
        <w:t>o de la compuerta de vertido exterior que las conecta con el tramo subterráneo horizontal de la red de tuberías. Generalmente consta de un tramo vertical, válvula de </w:t>
      </w:r>
      <w:r>
        <w:rPr>
          <w:i/>
        </w:rPr>
        <w:t>residuos</w:t>
      </w:r>
      <w:r>
        <w:rPr/>
        <w:t>, válvula de aire, indicadores de nivel e instrumentación de enclavamiento y control. La función del tramo vertical es el agrupamiento de las bolsas. La válvula de </w:t>
      </w:r>
      <w:r>
        <w:rPr>
          <w:i/>
        </w:rPr>
        <w:t>residuos </w:t>
      </w:r>
      <w:r>
        <w:rPr/>
        <w:t>se sitúa en la parte inferior del tramo vertical y permite la retención y la expedición de los </w:t>
      </w:r>
      <w:r>
        <w:rPr>
          <w:i/>
        </w:rPr>
        <w:t>residuos </w:t>
      </w:r>
      <w:r>
        <w:rPr/>
        <w:t>de acuerdo con las órdenes de control. La válvula de aire es transversal a la tubería y permite la entrada de aire para el transporte.</w:t>
      </w:r>
    </w:p>
    <w:p>
      <w:pPr>
        <w:spacing w:before="61"/>
        <w:ind w:left="218" w:right="0" w:firstLine="0"/>
        <w:jc w:val="both"/>
        <w:rPr>
          <w:sz w:val="20"/>
        </w:rPr>
      </w:pPr>
      <w:r>
        <w:rPr>
          <w:b/>
          <w:sz w:val="20"/>
        </w:rPr>
        <w:t>Factor de contenedor</w:t>
      </w:r>
      <w:r>
        <w:rPr>
          <w:sz w:val="20"/>
        </w:rPr>
        <w:t>: factor que se define mediante la siguiente expresión:</w:t>
      </w:r>
    </w:p>
    <w:p>
      <w:pPr>
        <w:spacing w:after="0"/>
        <w:jc w:val="both"/>
        <w:rPr>
          <w:sz w:val="20"/>
        </w:rPr>
        <w:sectPr>
          <w:pgSz w:w="11910" w:h="16840"/>
          <w:pgMar w:header="724" w:footer="636" w:top="1320" w:bottom="840" w:left="1200" w:right="740"/>
        </w:sectPr>
      </w:pPr>
    </w:p>
    <w:p>
      <w:pPr>
        <w:pStyle w:val="BodyText"/>
        <w:spacing w:line="148" w:lineRule="auto" w:before="117"/>
        <w:ind w:left="249"/>
      </w:pPr>
      <w:r>
        <w:rPr/>
        <w:pict>
          <v:line style="position:absolute;mso-position-horizontal-relative:page;mso-position-vertical-relative:paragraph;z-index:251825152" from="95.47226pt,17.709486pt" to="110.859403pt,17.709487pt" stroked="true" strokeweight=".484569pt" strokecolor="#000000">
            <v:stroke dashstyle="solid"/>
            <w10:wrap type="none"/>
          </v:line>
        </w:pict>
      </w:r>
      <w:r>
        <w:rPr>
          <w:position w:val="-12"/>
        </w:rPr>
        <w:t>C   </w:t>
      </w:r>
      <w:r>
        <w:rPr>
          <w:rFonts w:ascii="Symbol" w:hAnsi="Symbol"/>
          <w:position w:val="-12"/>
        </w:rPr>
        <w:t></w:t>
      </w:r>
      <w:r>
        <w:rPr>
          <w:rFonts w:ascii="Times New Roman" w:hAnsi="Times New Roman"/>
          <w:spacing w:val="6"/>
          <w:position w:val="-12"/>
        </w:rPr>
        <w:t> </w:t>
      </w:r>
      <w:r>
        <w:rPr>
          <w:spacing w:val="4"/>
        </w:rPr>
        <w:t>SC</w:t>
      </w:r>
    </w:p>
    <w:p>
      <w:pPr>
        <w:tabs>
          <w:tab w:pos="720" w:val="left" w:leader="none"/>
        </w:tabs>
        <w:spacing w:line="219" w:lineRule="exact" w:before="0"/>
        <w:ind w:left="407" w:right="0" w:firstLine="0"/>
        <w:jc w:val="left"/>
        <w:rPr>
          <w:sz w:val="20"/>
        </w:rPr>
      </w:pPr>
      <w:r>
        <w:rPr>
          <w:position w:val="11"/>
          <w:sz w:val="14"/>
        </w:rPr>
        <w:t>f</w:t>
        <w:tab/>
      </w:r>
      <w:r>
        <w:rPr>
          <w:spacing w:val="-7"/>
          <w:sz w:val="20"/>
        </w:rPr>
        <w:t>CC</w:t>
      </w:r>
    </w:p>
    <w:p>
      <w:pPr>
        <w:pStyle w:val="BodyText"/>
        <w:spacing w:before="10"/>
        <w:rPr>
          <w:sz w:val="18"/>
        </w:rPr>
      </w:pPr>
      <w:r>
        <w:rPr/>
        <w:br w:type="column"/>
      </w:r>
      <w:r>
        <w:rPr>
          <w:sz w:val="18"/>
        </w:rPr>
      </w:r>
    </w:p>
    <w:p>
      <w:pPr>
        <w:pStyle w:val="BodyText"/>
        <w:spacing w:before="1"/>
        <w:ind w:left="249"/>
      </w:pPr>
      <w:r>
        <w:rPr/>
        <w:t>(A.1)</w:t>
      </w:r>
    </w:p>
    <w:p>
      <w:pPr>
        <w:spacing w:after="0"/>
        <w:sectPr>
          <w:type w:val="continuous"/>
          <w:pgSz w:w="11910" w:h="16840"/>
          <w:pgMar w:top="1580" w:bottom="280" w:left="1200" w:right="740"/>
          <w:cols w:num="2" w:equalWidth="0">
            <w:col w:w="1056" w:space="7794"/>
            <w:col w:w="1120"/>
          </w:cols>
        </w:sectPr>
      </w:pPr>
    </w:p>
    <w:p>
      <w:pPr>
        <w:pStyle w:val="BodyText"/>
        <w:spacing w:line="229" w:lineRule="exact"/>
        <w:ind w:left="218"/>
      </w:pPr>
      <w:r>
        <w:rPr/>
        <w:t>siendo</w:t>
      </w:r>
    </w:p>
    <w:p>
      <w:pPr>
        <w:pStyle w:val="BodyText"/>
        <w:ind w:left="218"/>
      </w:pPr>
      <w:r>
        <w:rPr/>
        <w:t>C</w:t>
      </w:r>
      <w:r>
        <w:rPr>
          <w:vertAlign w:val="subscript"/>
        </w:rPr>
        <w:t>f</w:t>
      </w:r>
      <w:r>
        <w:rPr>
          <w:vertAlign w:val="baseline"/>
        </w:rPr>
        <w:t> el factor de contenedor [m</w:t>
      </w:r>
      <w:r>
        <w:rPr>
          <w:vertAlign w:val="superscript"/>
        </w:rPr>
        <w:t>2</w:t>
      </w:r>
      <w:r>
        <w:rPr>
          <w:vertAlign w:val="baseline"/>
        </w:rPr>
        <w:t>/l];</w:t>
      </w:r>
    </w:p>
    <w:p>
      <w:pPr>
        <w:pStyle w:val="BodyText"/>
        <w:spacing w:before="1"/>
        <w:ind w:left="218" w:right="727"/>
      </w:pPr>
      <w:r>
        <w:rPr/>
        <w:t>SC la superficie necesaria para el almacenamiento y maniobra de cada contenedor de edificio [m</w:t>
      </w:r>
      <w:r>
        <w:rPr>
          <w:vertAlign w:val="superscript"/>
        </w:rPr>
        <w:t>2</w:t>
      </w:r>
      <w:r>
        <w:rPr>
          <w:vertAlign w:val="baseline"/>
        </w:rPr>
        <w:t>]; CC la capacidad de cada contenedor [l].</w:t>
      </w:r>
    </w:p>
    <w:p>
      <w:pPr>
        <w:spacing w:line="230" w:lineRule="exact" w:before="0"/>
        <w:ind w:left="218" w:right="0" w:firstLine="0"/>
        <w:jc w:val="left"/>
        <w:rPr>
          <w:i/>
          <w:sz w:val="20"/>
        </w:rPr>
      </w:pPr>
      <w:r>
        <w:rPr>
          <w:sz w:val="20"/>
        </w:rPr>
        <w:t>En la tabla A.1 se incluyen los factores de contenedor correspondientes a los </w:t>
      </w:r>
      <w:r>
        <w:rPr>
          <w:i/>
          <w:sz w:val="20"/>
        </w:rPr>
        <w:t>contenedores de edificio</w:t>
      </w:r>
    </w:p>
    <w:p>
      <w:pPr>
        <w:pStyle w:val="BodyText"/>
        <w:spacing w:after="5"/>
        <w:ind w:left="218"/>
      </w:pPr>
      <w:r>
        <w:rPr/>
        <w:t>habituales.</w:t>
      </w:r>
    </w:p>
    <w:tbl>
      <w:tblPr>
        <w:tblW w:w="0" w:type="auto"/>
        <w:jc w:val="left"/>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4"/>
        <w:gridCol w:w="3122"/>
        <w:gridCol w:w="3188"/>
      </w:tblGrid>
      <w:tr>
        <w:trPr>
          <w:trHeight w:val="204" w:hRule="atLeast"/>
        </w:trPr>
        <w:tc>
          <w:tcPr>
            <w:tcW w:w="3104" w:type="dxa"/>
            <w:tcBorders>
              <w:bottom w:val="single" w:sz="4" w:space="0" w:color="000000"/>
            </w:tcBorders>
          </w:tcPr>
          <w:p>
            <w:pPr>
              <w:pStyle w:val="TableParagraph"/>
              <w:jc w:val="left"/>
              <w:rPr>
                <w:rFonts w:ascii="Times New Roman"/>
                <w:sz w:val="14"/>
              </w:rPr>
            </w:pPr>
          </w:p>
        </w:tc>
        <w:tc>
          <w:tcPr>
            <w:tcW w:w="3122" w:type="dxa"/>
            <w:tcBorders>
              <w:bottom w:val="single" w:sz="4" w:space="0" w:color="000000"/>
            </w:tcBorders>
          </w:tcPr>
          <w:p>
            <w:pPr>
              <w:pStyle w:val="TableParagraph"/>
              <w:spacing w:line="185" w:lineRule="exact"/>
              <w:ind w:left="239" w:right="152"/>
              <w:rPr>
                <w:b/>
                <w:sz w:val="18"/>
              </w:rPr>
            </w:pPr>
            <w:r>
              <w:rPr>
                <w:b/>
                <w:sz w:val="18"/>
              </w:rPr>
              <w:t>Tabla A.1 Factor de contenedor</w:t>
            </w:r>
          </w:p>
        </w:tc>
        <w:tc>
          <w:tcPr>
            <w:tcW w:w="3188" w:type="dxa"/>
            <w:tcBorders>
              <w:bottom w:val="single" w:sz="4" w:space="0" w:color="000000"/>
            </w:tcBorders>
          </w:tcPr>
          <w:p>
            <w:pPr>
              <w:pStyle w:val="TableParagraph"/>
              <w:jc w:val="left"/>
              <w:rPr>
                <w:rFonts w:ascii="Times New Roman"/>
                <w:sz w:val="14"/>
              </w:rPr>
            </w:pPr>
          </w:p>
        </w:tc>
      </w:tr>
      <w:tr>
        <w:trPr>
          <w:trHeight w:val="413" w:hRule="atLeast"/>
        </w:trPr>
        <w:tc>
          <w:tcPr>
            <w:tcW w:w="3104" w:type="dxa"/>
            <w:tcBorders>
              <w:top w:val="single" w:sz="4" w:space="0" w:color="000000"/>
              <w:bottom w:val="single" w:sz="4" w:space="0" w:color="000000"/>
            </w:tcBorders>
          </w:tcPr>
          <w:p>
            <w:pPr>
              <w:pStyle w:val="TableParagraph"/>
              <w:spacing w:line="204" w:lineRule="exact"/>
              <w:ind w:left="1307" w:right="1305"/>
              <w:rPr>
                <w:b/>
                <w:sz w:val="18"/>
              </w:rPr>
            </w:pPr>
            <w:r>
              <w:rPr>
                <w:b/>
                <w:sz w:val="18"/>
              </w:rPr>
              <w:t>CC</w:t>
            </w:r>
          </w:p>
          <w:p>
            <w:pPr>
              <w:pStyle w:val="TableParagraph"/>
              <w:spacing w:line="189" w:lineRule="exact"/>
              <w:ind w:left="1307" w:right="1305"/>
              <w:rPr>
                <w:b/>
                <w:sz w:val="18"/>
              </w:rPr>
            </w:pPr>
            <w:r>
              <w:rPr>
                <w:b/>
                <w:sz w:val="18"/>
              </w:rPr>
              <w:t>en</w:t>
            </w:r>
            <w:r>
              <w:rPr>
                <w:b/>
                <w:spacing w:val="-1"/>
                <w:sz w:val="18"/>
              </w:rPr>
              <w:t> </w:t>
            </w:r>
            <w:r>
              <w:rPr>
                <w:b/>
                <w:sz w:val="18"/>
              </w:rPr>
              <w:t>l</w:t>
            </w:r>
          </w:p>
        </w:tc>
        <w:tc>
          <w:tcPr>
            <w:tcW w:w="3122" w:type="dxa"/>
            <w:tcBorders>
              <w:top w:val="single" w:sz="4" w:space="0" w:color="000000"/>
              <w:bottom w:val="single" w:sz="4" w:space="0" w:color="000000"/>
            </w:tcBorders>
          </w:tcPr>
          <w:p>
            <w:pPr>
              <w:pStyle w:val="TableParagraph"/>
              <w:spacing w:line="204" w:lineRule="exact"/>
              <w:ind w:left="169" w:right="152"/>
              <w:rPr>
                <w:b/>
                <w:sz w:val="18"/>
              </w:rPr>
            </w:pPr>
            <w:r>
              <w:rPr>
                <w:b/>
                <w:sz w:val="18"/>
              </w:rPr>
              <w:t>SC</w:t>
            </w:r>
          </w:p>
          <w:p>
            <w:pPr>
              <w:pStyle w:val="TableParagraph"/>
              <w:spacing w:line="189" w:lineRule="exact"/>
              <w:ind w:left="168" w:right="152"/>
              <w:rPr>
                <w:b/>
                <w:sz w:val="18"/>
              </w:rPr>
            </w:pPr>
            <w:r>
              <w:rPr>
                <w:b/>
                <w:sz w:val="18"/>
              </w:rPr>
              <w:t>en m</w:t>
            </w:r>
            <w:r>
              <w:rPr>
                <w:b/>
                <w:sz w:val="18"/>
                <w:vertAlign w:val="superscript"/>
              </w:rPr>
              <w:t>2</w:t>
            </w:r>
          </w:p>
        </w:tc>
        <w:tc>
          <w:tcPr>
            <w:tcW w:w="3188" w:type="dxa"/>
            <w:tcBorders>
              <w:top w:val="single" w:sz="4" w:space="0" w:color="000000"/>
              <w:bottom w:val="single" w:sz="4" w:space="0" w:color="000000"/>
            </w:tcBorders>
          </w:tcPr>
          <w:p>
            <w:pPr>
              <w:pStyle w:val="TableParagraph"/>
              <w:spacing w:line="204" w:lineRule="exact"/>
              <w:ind w:left="1289" w:right="1270"/>
              <w:rPr>
                <w:b/>
                <w:sz w:val="18"/>
              </w:rPr>
            </w:pPr>
            <w:r>
              <w:rPr>
                <w:b/>
                <w:sz w:val="18"/>
              </w:rPr>
              <w:t>C</w:t>
            </w:r>
            <w:r>
              <w:rPr>
                <w:b/>
                <w:sz w:val="18"/>
                <w:vertAlign w:val="subscript"/>
              </w:rPr>
              <w:t>f</w:t>
            </w:r>
          </w:p>
          <w:p>
            <w:pPr>
              <w:pStyle w:val="TableParagraph"/>
              <w:spacing w:line="189" w:lineRule="exact"/>
              <w:ind w:left="1292" w:right="1270"/>
              <w:rPr>
                <w:b/>
                <w:sz w:val="18"/>
              </w:rPr>
            </w:pPr>
            <w:r>
              <w:rPr>
                <w:b/>
                <w:sz w:val="18"/>
              </w:rPr>
              <w:t>en m</w:t>
            </w:r>
            <w:r>
              <w:rPr>
                <w:b/>
                <w:sz w:val="18"/>
                <w:vertAlign w:val="superscript"/>
              </w:rPr>
              <w:t>2</w:t>
            </w:r>
            <w:r>
              <w:rPr>
                <w:b/>
                <w:sz w:val="18"/>
                <w:vertAlign w:val="baseline"/>
              </w:rPr>
              <w:t>/l</w:t>
            </w:r>
          </w:p>
        </w:tc>
      </w:tr>
      <w:tr>
        <w:trPr>
          <w:trHeight w:val="297" w:hRule="atLeast"/>
        </w:trPr>
        <w:tc>
          <w:tcPr>
            <w:tcW w:w="3104" w:type="dxa"/>
            <w:tcBorders>
              <w:top w:val="single" w:sz="4" w:space="0" w:color="000000"/>
            </w:tcBorders>
          </w:tcPr>
          <w:p>
            <w:pPr>
              <w:pStyle w:val="TableParagraph"/>
              <w:spacing w:before="57"/>
              <w:ind w:left="1306" w:right="1305"/>
              <w:rPr>
                <w:sz w:val="18"/>
              </w:rPr>
            </w:pPr>
            <w:r>
              <w:rPr>
                <w:sz w:val="18"/>
              </w:rPr>
              <w:t>120</w:t>
            </w:r>
          </w:p>
        </w:tc>
        <w:tc>
          <w:tcPr>
            <w:tcW w:w="3122" w:type="dxa"/>
            <w:tcBorders>
              <w:top w:val="single" w:sz="4" w:space="0" w:color="000000"/>
            </w:tcBorders>
          </w:tcPr>
          <w:p>
            <w:pPr>
              <w:pStyle w:val="TableParagraph"/>
              <w:spacing w:before="57"/>
              <w:ind w:left="169" w:right="152"/>
              <w:rPr>
                <w:sz w:val="18"/>
              </w:rPr>
            </w:pPr>
            <w:r>
              <w:rPr>
                <w:sz w:val="18"/>
              </w:rPr>
              <w:t>0,6</w:t>
            </w:r>
          </w:p>
        </w:tc>
        <w:tc>
          <w:tcPr>
            <w:tcW w:w="3188" w:type="dxa"/>
            <w:tcBorders>
              <w:top w:val="single" w:sz="4" w:space="0" w:color="000000"/>
            </w:tcBorders>
          </w:tcPr>
          <w:p>
            <w:pPr>
              <w:pStyle w:val="TableParagraph"/>
              <w:spacing w:before="57"/>
              <w:ind w:right="1306"/>
              <w:jc w:val="right"/>
              <w:rPr>
                <w:sz w:val="18"/>
              </w:rPr>
            </w:pPr>
            <w:r>
              <w:rPr>
                <w:sz w:val="18"/>
              </w:rPr>
              <w:t>0,0050</w:t>
            </w:r>
          </w:p>
        </w:tc>
      </w:tr>
      <w:tr>
        <w:trPr>
          <w:trHeight w:val="266" w:hRule="atLeast"/>
        </w:trPr>
        <w:tc>
          <w:tcPr>
            <w:tcW w:w="3104" w:type="dxa"/>
          </w:tcPr>
          <w:p>
            <w:pPr>
              <w:pStyle w:val="TableParagraph"/>
              <w:spacing w:before="27"/>
              <w:ind w:left="1306" w:right="1305"/>
              <w:rPr>
                <w:sz w:val="18"/>
              </w:rPr>
            </w:pPr>
            <w:r>
              <w:rPr>
                <w:sz w:val="18"/>
              </w:rPr>
              <w:t>240</w:t>
            </w:r>
          </w:p>
        </w:tc>
        <w:tc>
          <w:tcPr>
            <w:tcW w:w="3122" w:type="dxa"/>
          </w:tcPr>
          <w:p>
            <w:pPr>
              <w:pStyle w:val="TableParagraph"/>
              <w:spacing w:before="27"/>
              <w:ind w:left="169" w:right="152"/>
              <w:rPr>
                <w:sz w:val="18"/>
              </w:rPr>
            </w:pPr>
            <w:r>
              <w:rPr>
                <w:sz w:val="18"/>
              </w:rPr>
              <w:t>1,0</w:t>
            </w:r>
          </w:p>
        </w:tc>
        <w:tc>
          <w:tcPr>
            <w:tcW w:w="3188" w:type="dxa"/>
          </w:tcPr>
          <w:p>
            <w:pPr>
              <w:pStyle w:val="TableParagraph"/>
              <w:spacing w:before="27"/>
              <w:ind w:right="1306"/>
              <w:jc w:val="right"/>
              <w:rPr>
                <w:sz w:val="18"/>
              </w:rPr>
            </w:pPr>
            <w:r>
              <w:rPr>
                <w:sz w:val="18"/>
              </w:rPr>
              <w:t>0,0042</w:t>
            </w:r>
          </w:p>
        </w:tc>
      </w:tr>
      <w:tr>
        <w:trPr>
          <w:trHeight w:val="267" w:hRule="atLeast"/>
        </w:trPr>
        <w:tc>
          <w:tcPr>
            <w:tcW w:w="3104" w:type="dxa"/>
          </w:tcPr>
          <w:p>
            <w:pPr>
              <w:pStyle w:val="TableParagraph"/>
              <w:spacing w:before="26"/>
              <w:ind w:left="1306" w:right="1305"/>
              <w:rPr>
                <w:sz w:val="18"/>
              </w:rPr>
            </w:pPr>
            <w:r>
              <w:rPr>
                <w:sz w:val="18"/>
              </w:rPr>
              <w:t>330</w:t>
            </w:r>
          </w:p>
        </w:tc>
        <w:tc>
          <w:tcPr>
            <w:tcW w:w="3122" w:type="dxa"/>
          </w:tcPr>
          <w:p>
            <w:pPr>
              <w:pStyle w:val="TableParagraph"/>
              <w:spacing w:before="26"/>
              <w:ind w:left="169" w:right="152"/>
              <w:rPr>
                <w:sz w:val="18"/>
              </w:rPr>
            </w:pPr>
            <w:r>
              <w:rPr>
                <w:sz w:val="18"/>
              </w:rPr>
              <w:t>1,2</w:t>
            </w:r>
          </w:p>
        </w:tc>
        <w:tc>
          <w:tcPr>
            <w:tcW w:w="3188" w:type="dxa"/>
          </w:tcPr>
          <w:p>
            <w:pPr>
              <w:pStyle w:val="TableParagraph"/>
              <w:spacing w:before="26"/>
              <w:ind w:right="1306"/>
              <w:jc w:val="right"/>
              <w:rPr>
                <w:sz w:val="18"/>
              </w:rPr>
            </w:pPr>
            <w:r>
              <w:rPr>
                <w:sz w:val="18"/>
              </w:rPr>
              <w:t>0,0036</w:t>
            </w:r>
          </w:p>
        </w:tc>
      </w:tr>
      <w:tr>
        <w:trPr>
          <w:trHeight w:val="267" w:hRule="atLeast"/>
        </w:trPr>
        <w:tc>
          <w:tcPr>
            <w:tcW w:w="3104" w:type="dxa"/>
          </w:tcPr>
          <w:p>
            <w:pPr>
              <w:pStyle w:val="TableParagraph"/>
              <w:spacing w:before="27"/>
              <w:ind w:left="1306" w:right="1305"/>
              <w:rPr>
                <w:sz w:val="18"/>
              </w:rPr>
            </w:pPr>
            <w:r>
              <w:rPr>
                <w:sz w:val="18"/>
              </w:rPr>
              <w:t>600</w:t>
            </w:r>
          </w:p>
        </w:tc>
        <w:tc>
          <w:tcPr>
            <w:tcW w:w="3122" w:type="dxa"/>
          </w:tcPr>
          <w:p>
            <w:pPr>
              <w:pStyle w:val="TableParagraph"/>
              <w:spacing w:before="27"/>
              <w:ind w:left="169" w:right="152"/>
              <w:rPr>
                <w:sz w:val="18"/>
              </w:rPr>
            </w:pPr>
            <w:r>
              <w:rPr>
                <w:sz w:val="18"/>
              </w:rPr>
              <w:t>2,0</w:t>
            </w:r>
          </w:p>
        </w:tc>
        <w:tc>
          <w:tcPr>
            <w:tcW w:w="3188" w:type="dxa"/>
          </w:tcPr>
          <w:p>
            <w:pPr>
              <w:pStyle w:val="TableParagraph"/>
              <w:spacing w:before="27"/>
              <w:ind w:right="1306"/>
              <w:jc w:val="right"/>
              <w:rPr>
                <w:sz w:val="18"/>
              </w:rPr>
            </w:pPr>
            <w:r>
              <w:rPr>
                <w:sz w:val="18"/>
              </w:rPr>
              <w:t>0,0033</w:t>
            </w:r>
          </w:p>
        </w:tc>
      </w:tr>
      <w:tr>
        <w:trPr>
          <w:trHeight w:val="266" w:hRule="atLeast"/>
        </w:trPr>
        <w:tc>
          <w:tcPr>
            <w:tcW w:w="3104" w:type="dxa"/>
          </w:tcPr>
          <w:p>
            <w:pPr>
              <w:pStyle w:val="TableParagraph"/>
              <w:spacing w:before="26"/>
              <w:ind w:left="1306" w:right="1305"/>
              <w:rPr>
                <w:sz w:val="18"/>
              </w:rPr>
            </w:pPr>
            <w:r>
              <w:rPr>
                <w:sz w:val="18"/>
              </w:rPr>
              <w:t>800</w:t>
            </w:r>
          </w:p>
        </w:tc>
        <w:tc>
          <w:tcPr>
            <w:tcW w:w="3122" w:type="dxa"/>
          </w:tcPr>
          <w:p>
            <w:pPr>
              <w:pStyle w:val="TableParagraph"/>
              <w:spacing w:before="26"/>
              <w:ind w:left="169" w:right="152"/>
              <w:rPr>
                <w:sz w:val="18"/>
              </w:rPr>
            </w:pPr>
            <w:r>
              <w:rPr>
                <w:sz w:val="18"/>
              </w:rPr>
              <w:t>2,4</w:t>
            </w:r>
          </w:p>
        </w:tc>
        <w:tc>
          <w:tcPr>
            <w:tcW w:w="3188" w:type="dxa"/>
          </w:tcPr>
          <w:p>
            <w:pPr>
              <w:pStyle w:val="TableParagraph"/>
              <w:spacing w:before="26"/>
              <w:ind w:right="1306"/>
              <w:jc w:val="right"/>
              <w:rPr>
                <w:sz w:val="18"/>
              </w:rPr>
            </w:pPr>
            <w:r>
              <w:rPr>
                <w:sz w:val="18"/>
              </w:rPr>
              <w:t>0,0030</w:t>
            </w:r>
          </w:p>
        </w:tc>
      </w:tr>
      <w:tr>
        <w:trPr>
          <w:trHeight w:val="236" w:hRule="atLeast"/>
        </w:trPr>
        <w:tc>
          <w:tcPr>
            <w:tcW w:w="3104" w:type="dxa"/>
            <w:tcBorders>
              <w:bottom w:val="single" w:sz="4" w:space="0" w:color="000000"/>
            </w:tcBorders>
          </w:tcPr>
          <w:p>
            <w:pPr>
              <w:pStyle w:val="TableParagraph"/>
              <w:spacing w:line="189" w:lineRule="exact" w:before="27"/>
              <w:ind w:left="1308" w:right="1305"/>
              <w:rPr>
                <w:sz w:val="18"/>
              </w:rPr>
            </w:pPr>
            <w:r>
              <w:rPr>
                <w:sz w:val="18"/>
              </w:rPr>
              <w:t>1.100</w:t>
            </w:r>
          </w:p>
        </w:tc>
        <w:tc>
          <w:tcPr>
            <w:tcW w:w="3122" w:type="dxa"/>
            <w:tcBorders>
              <w:bottom w:val="single" w:sz="4" w:space="0" w:color="000000"/>
            </w:tcBorders>
          </w:tcPr>
          <w:p>
            <w:pPr>
              <w:pStyle w:val="TableParagraph"/>
              <w:spacing w:line="189" w:lineRule="exact" w:before="27"/>
              <w:ind w:left="169" w:right="152"/>
              <w:rPr>
                <w:sz w:val="18"/>
              </w:rPr>
            </w:pPr>
            <w:r>
              <w:rPr>
                <w:sz w:val="18"/>
              </w:rPr>
              <w:t>3,0</w:t>
            </w:r>
          </w:p>
        </w:tc>
        <w:tc>
          <w:tcPr>
            <w:tcW w:w="3188" w:type="dxa"/>
            <w:tcBorders>
              <w:bottom w:val="single" w:sz="4" w:space="0" w:color="000000"/>
            </w:tcBorders>
          </w:tcPr>
          <w:p>
            <w:pPr>
              <w:pStyle w:val="TableParagraph"/>
              <w:spacing w:line="189" w:lineRule="exact" w:before="27"/>
              <w:ind w:right="1306"/>
              <w:jc w:val="right"/>
              <w:rPr>
                <w:sz w:val="18"/>
              </w:rPr>
            </w:pPr>
            <w:r>
              <w:rPr>
                <w:sz w:val="18"/>
              </w:rPr>
              <w:t>0,0027</w:t>
            </w:r>
          </w:p>
        </w:tc>
      </w:tr>
    </w:tbl>
    <w:p>
      <w:pPr>
        <w:spacing w:after="0" w:line="189" w:lineRule="exact"/>
        <w:jc w:val="right"/>
        <w:rPr>
          <w:sz w:val="18"/>
        </w:rPr>
        <w:sectPr>
          <w:type w:val="continuous"/>
          <w:pgSz w:w="11910" w:h="16840"/>
          <w:pgMar w:top="1580" w:bottom="280" w:left="1200" w:right="740"/>
        </w:sectPr>
      </w:pPr>
    </w:p>
    <w:p>
      <w:pPr>
        <w:spacing w:before="52"/>
        <w:ind w:left="218" w:right="0" w:firstLine="0"/>
        <w:jc w:val="left"/>
        <w:rPr>
          <w:sz w:val="20"/>
        </w:rPr>
      </w:pPr>
      <w:r>
        <w:rPr>
          <w:b/>
          <w:sz w:val="20"/>
        </w:rPr>
        <w:t>Factor de fracción</w:t>
      </w:r>
      <w:r>
        <w:rPr>
          <w:sz w:val="20"/>
        </w:rPr>
        <w:t>: factor que se define mediante la siguiente expresión:</w:t>
      </w:r>
    </w:p>
    <w:p>
      <w:pPr>
        <w:spacing w:before="66"/>
        <w:ind w:left="243" w:right="0" w:firstLine="0"/>
        <w:jc w:val="left"/>
        <w:rPr>
          <w:sz w:val="13"/>
        </w:rPr>
      </w:pPr>
      <w:r>
        <w:rPr>
          <w:w w:val="110"/>
          <w:sz w:val="19"/>
        </w:rPr>
        <w:t>F</w:t>
      </w:r>
      <w:r>
        <w:rPr>
          <w:w w:val="110"/>
          <w:position w:val="-4"/>
          <w:sz w:val="13"/>
        </w:rPr>
        <w:t>f </w:t>
      </w:r>
      <w:r>
        <w:rPr>
          <w:rFonts w:ascii="Symbol" w:hAnsi="Symbol"/>
          <w:w w:val="110"/>
          <w:sz w:val="19"/>
        </w:rPr>
        <w:t></w:t>
      </w:r>
      <w:r>
        <w:rPr>
          <w:rFonts w:ascii="Times New Roman" w:hAnsi="Times New Roman"/>
          <w:w w:val="110"/>
          <w:sz w:val="19"/>
        </w:rPr>
        <w:t> </w:t>
      </w:r>
      <w:r>
        <w:rPr>
          <w:w w:val="110"/>
          <w:sz w:val="19"/>
        </w:rPr>
        <w:t>T</w:t>
      </w:r>
      <w:r>
        <w:rPr>
          <w:w w:val="110"/>
          <w:position w:val="-4"/>
          <w:sz w:val="13"/>
        </w:rPr>
        <w:t>f </w:t>
      </w:r>
      <w:r>
        <w:rPr>
          <w:rFonts w:ascii="Symbol" w:hAnsi="Symbol"/>
          <w:w w:val="110"/>
          <w:sz w:val="19"/>
        </w:rPr>
        <w:t></w:t>
      </w:r>
      <w:r>
        <w:rPr>
          <w:w w:val="110"/>
          <w:sz w:val="19"/>
        </w:rPr>
        <w:t>G</w:t>
      </w:r>
      <w:r>
        <w:rPr>
          <w:w w:val="110"/>
          <w:position w:val="-4"/>
          <w:sz w:val="13"/>
        </w:rPr>
        <w:t>f </w:t>
      </w:r>
      <w:r>
        <w:rPr>
          <w:rFonts w:ascii="Symbol" w:hAnsi="Symbol"/>
          <w:w w:val="110"/>
          <w:sz w:val="19"/>
        </w:rPr>
        <w:t></w:t>
      </w:r>
      <w:r>
        <w:rPr>
          <w:w w:val="110"/>
          <w:sz w:val="19"/>
        </w:rPr>
        <w:t>C</w:t>
      </w:r>
      <w:r>
        <w:rPr>
          <w:w w:val="110"/>
          <w:position w:val="-4"/>
          <w:sz w:val="13"/>
        </w:rPr>
        <w:t>f</w:t>
      </w:r>
    </w:p>
    <w:p>
      <w:pPr>
        <w:pStyle w:val="BodyText"/>
        <w:spacing w:before="16"/>
        <w:ind w:left="242"/>
      </w:pPr>
      <w:r>
        <w:rPr/>
        <w:t>siendo</w:t>
      </w:r>
    </w:p>
    <w:p>
      <w:pPr>
        <w:pStyle w:val="BodyText"/>
        <w:tabs>
          <w:tab w:pos="674" w:val="left" w:leader="none"/>
        </w:tabs>
        <w:spacing w:before="1"/>
        <w:ind w:left="242"/>
      </w:pPr>
      <w:r>
        <w:rPr/>
        <w:t>F</w:t>
      </w:r>
      <w:r>
        <w:rPr>
          <w:vertAlign w:val="subscript"/>
        </w:rPr>
        <w:t>f</w:t>
      </w:r>
      <w:r>
        <w:rPr>
          <w:vertAlign w:val="baseline"/>
        </w:rPr>
        <w:tab/>
        <w:t>el factor de fracción</w:t>
      </w:r>
      <w:r>
        <w:rPr>
          <w:spacing w:val="-1"/>
          <w:vertAlign w:val="baseline"/>
        </w:rPr>
        <w:t> </w:t>
      </w:r>
      <w:r>
        <w:rPr>
          <w:vertAlign w:val="baseline"/>
        </w:rPr>
        <w:t>[m</w:t>
      </w:r>
      <w:r>
        <w:rPr>
          <w:vertAlign w:val="superscript"/>
        </w:rPr>
        <w:t>2</w:t>
      </w:r>
      <w:r>
        <w:rPr>
          <w:vertAlign w:val="baseline"/>
        </w:rPr>
        <w:t>/persona];</w:t>
      </w:r>
    </w:p>
    <w:p>
      <w:pPr>
        <w:pStyle w:val="BodyText"/>
        <w:tabs>
          <w:tab w:pos="650" w:val="left" w:leader="none"/>
        </w:tabs>
        <w:spacing w:line="200" w:lineRule="exact"/>
        <w:ind w:left="218"/>
      </w:pPr>
      <w:r>
        <w:rPr/>
        <w:t>T</w:t>
      </w:r>
      <w:r>
        <w:rPr>
          <w:vertAlign w:val="subscript"/>
        </w:rPr>
        <w:t>f</w:t>
      </w:r>
      <w:r>
        <w:rPr>
          <w:vertAlign w:val="baseline"/>
        </w:rPr>
        <w:tab/>
        <w:t>el período de recogida de la fracción</w:t>
      </w:r>
      <w:r>
        <w:rPr>
          <w:spacing w:val="-3"/>
          <w:vertAlign w:val="baseline"/>
        </w:rPr>
        <w:t> </w:t>
      </w:r>
      <w:r>
        <w:rPr>
          <w:vertAlign w:val="baseline"/>
        </w:rPr>
        <w:t>[días];</w:t>
      </w:r>
    </w:p>
    <w:p>
      <w:pPr>
        <w:pStyle w:val="BodyText"/>
        <w:spacing w:before="3"/>
        <w:rPr>
          <w:sz w:val="30"/>
        </w:rPr>
      </w:pPr>
      <w:r>
        <w:rPr/>
        <w:br w:type="column"/>
      </w:r>
      <w:r>
        <w:rPr>
          <w:sz w:val="30"/>
        </w:rPr>
      </w:r>
    </w:p>
    <w:p>
      <w:pPr>
        <w:pStyle w:val="BodyText"/>
        <w:spacing w:before="1"/>
        <w:ind w:left="218"/>
      </w:pPr>
      <w:r>
        <w:rPr/>
        <w:t>(A.2)</w:t>
      </w:r>
    </w:p>
    <w:p>
      <w:pPr>
        <w:spacing w:after="0"/>
        <w:sectPr>
          <w:type w:val="continuous"/>
          <w:pgSz w:w="11910" w:h="16840"/>
          <w:pgMar w:top="1580" w:bottom="280" w:left="1200" w:right="740"/>
          <w:cols w:num="2" w:equalWidth="0">
            <w:col w:w="6784" w:space="2097"/>
            <w:col w:w="1089"/>
          </w:cols>
        </w:sectPr>
      </w:pPr>
    </w:p>
    <w:p>
      <w:pPr>
        <w:pStyle w:val="BodyText"/>
        <w:tabs>
          <w:tab w:pos="650" w:val="left" w:leader="none"/>
        </w:tabs>
        <w:spacing w:before="30"/>
        <w:ind w:left="650" w:right="398" w:hanging="433"/>
      </w:pPr>
      <w:r>
        <w:rPr/>
        <w:t>G</w:t>
      </w:r>
      <w:r>
        <w:rPr>
          <w:vertAlign w:val="subscript"/>
        </w:rPr>
        <w:t>f</w:t>
      </w:r>
      <w:r>
        <w:rPr>
          <w:vertAlign w:val="baseline"/>
        </w:rPr>
        <w:tab/>
        <w:t>el volumen generado de la fracción por persona y día [dm</w:t>
      </w:r>
      <w:r>
        <w:rPr>
          <w:vertAlign w:val="superscript"/>
        </w:rPr>
        <w:t>3</w:t>
      </w:r>
      <w:r>
        <w:rPr>
          <w:vertAlign w:val="baseline"/>
        </w:rPr>
        <w:t>/(persona·día)], que equivale a los si- guientes</w:t>
      </w:r>
      <w:r>
        <w:rPr>
          <w:spacing w:val="-1"/>
          <w:vertAlign w:val="baseline"/>
        </w:rPr>
        <w:t> </w:t>
      </w:r>
      <w:r>
        <w:rPr>
          <w:vertAlign w:val="baseline"/>
        </w:rPr>
        <w:t>valores:</w:t>
      </w:r>
    </w:p>
    <w:p>
      <w:pPr>
        <w:pStyle w:val="BodyText"/>
        <w:tabs>
          <w:tab w:pos="2306" w:val="left" w:leader="none"/>
        </w:tabs>
        <w:spacing w:before="1"/>
        <w:ind w:left="674" w:right="7267"/>
      </w:pPr>
      <w:r>
        <w:rPr/>
        <w:t>Papel /</w:t>
      </w:r>
      <w:r>
        <w:rPr>
          <w:spacing w:val="-1"/>
        </w:rPr>
        <w:t> </w:t>
      </w:r>
      <w:r>
        <w:rPr/>
        <w:t>cartón</w:t>
        <w:tab/>
      </w:r>
      <w:r>
        <w:rPr>
          <w:spacing w:val="-5"/>
        </w:rPr>
        <w:t>1,55 </w:t>
      </w:r>
      <w:r>
        <w:rPr/>
        <w:t>Envases</w:t>
      </w:r>
      <w:r>
        <w:rPr>
          <w:spacing w:val="-1"/>
        </w:rPr>
        <w:t> </w:t>
      </w:r>
      <w:r>
        <w:rPr/>
        <w:t>ligeros</w:t>
        <w:tab/>
      </w:r>
      <w:r>
        <w:rPr>
          <w:spacing w:val="-5"/>
        </w:rPr>
        <w:t>8,40</w:t>
      </w:r>
    </w:p>
    <w:p>
      <w:pPr>
        <w:pStyle w:val="BodyText"/>
        <w:spacing w:line="230" w:lineRule="exact"/>
        <w:ind w:left="674"/>
      </w:pPr>
      <w:r>
        <w:rPr/>
        <w:t>Materia orgánica </w:t>
      </w:r>
      <w:r>
        <w:rPr>
          <w:spacing w:val="29"/>
        </w:rPr>
        <w:t> </w:t>
      </w:r>
      <w:r>
        <w:rPr/>
        <w:t>1,50</w:t>
      </w:r>
    </w:p>
    <w:p>
      <w:pPr>
        <w:pStyle w:val="BodyText"/>
        <w:tabs>
          <w:tab w:pos="2306" w:val="left" w:leader="none"/>
        </w:tabs>
        <w:spacing w:line="230" w:lineRule="exact"/>
        <w:ind w:left="674"/>
      </w:pPr>
      <w:r>
        <w:rPr/>
        <w:t>Vidrio</w:t>
        <w:tab/>
        <w:t>0,48</w:t>
      </w:r>
    </w:p>
    <w:p>
      <w:pPr>
        <w:pStyle w:val="BodyText"/>
        <w:tabs>
          <w:tab w:pos="2306" w:val="left" w:leader="none"/>
        </w:tabs>
        <w:spacing w:line="230" w:lineRule="exact"/>
        <w:ind w:left="674"/>
      </w:pPr>
      <w:r>
        <w:rPr/>
        <w:t>Varios</w:t>
        <w:tab/>
        <w:t>1,50</w:t>
      </w:r>
    </w:p>
    <w:p>
      <w:pPr>
        <w:spacing w:before="1"/>
        <w:ind w:left="218" w:right="0" w:firstLine="0"/>
        <w:jc w:val="left"/>
        <w:rPr>
          <w:sz w:val="20"/>
        </w:rPr>
      </w:pPr>
      <w:r>
        <w:rPr>
          <w:sz w:val="20"/>
        </w:rPr>
        <w:t>C</w:t>
      </w:r>
      <w:r>
        <w:rPr>
          <w:sz w:val="20"/>
          <w:vertAlign w:val="subscript"/>
        </w:rPr>
        <w:t>f</w:t>
      </w:r>
      <w:r>
        <w:rPr>
          <w:sz w:val="20"/>
          <w:vertAlign w:val="baseline"/>
        </w:rPr>
        <w:t> el </w:t>
      </w:r>
      <w:r>
        <w:rPr>
          <w:i/>
          <w:sz w:val="20"/>
          <w:vertAlign w:val="baseline"/>
        </w:rPr>
        <w:t>factor de contenedor </w:t>
      </w:r>
      <w:r>
        <w:rPr>
          <w:sz w:val="20"/>
          <w:vertAlign w:val="baseline"/>
        </w:rPr>
        <w:t>[m</w:t>
      </w:r>
      <w:r>
        <w:rPr>
          <w:sz w:val="20"/>
          <w:vertAlign w:val="superscript"/>
        </w:rPr>
        <w:t>2</w:t>
      </w:r>
      <w:r>
        <w:rPr>
          <w:sz w:val="20"/>
          <w:vertAlign w:val="baseline"/>
        </w:rPr>
        <w:t>/l].</w:t>
      </w:r>
    </w:p>
    <w:p>
      <w:pPr>
        <w:spacing w:after="0"/>
        <w:jc w:val="left"/>
        <w:rPr>
          <w:sz w:val="20"/>
        </w:rPr>
        <w:sectPr>
          <w:type w:val="continuous"/>
          <w:pgSz w:w="11910" w:h="16840"/>
          <w:pgMar w:top="1580" w:bottom="280" w:left="1200" w:right="740"/>
        </w:sectPr>
      </w:pPr>
    </w:p>
    <w:p>
      <w:pPr>
        <w:pStyle w:val="BodyText"/>
        <w:spacing w:before="91" w:after="6"/>
        <w:ind w:left="242" w:right="391"/>
        <w:jc w:val="both"/>
      </w:pPr>
      <w:r>
        <w:rPr/>
        <w:t>El factor de fracción se utiliza para determinar el espacio que debe reservarse en los edificios situados en las zonas en las que exista </w:t>
      </w:r>
      <w:r>
        <w:rPr>
          <w:i/>
        </w:rPr>
        <w:t>recogida centralizada </w:t>
      </w:r>
      <w:r>
        <w:rPr/>
        <w:t>con </w:t>
      </w:r>
      <w:r>
        <w:rPr>
          <w:i/>
        </w:rPr>
        <w:t>contenedores de calle </w:t>
      </w:r>
      <w:r>
        <w:rPr/>
        <w:t>de superficie, por lo que se desconocen los valores de T</w:t>
      </w:r>
      <w:r>
        <w:rPr>
          <w:vertAlign w:val="subscript"/>
        </w:rPr>
        <w:t>f</w:t>
      </w:r>
      <w:r>
        <w:rPr>
          <w:vertAlign w:val="baseline"/>
        </w:rPr>
        <w:t> y C</w:t>
      </w:r>
      <w:r>
        <w:rPr>
          <w:vertAlign w:val="subscript"/>
        </w:rPr>
        <w:t>f</w:t>
      </w:r>
      <w:r>
        <w:rPr>
          <w:vertAlign w:val="baseline"/>
        </w:rPr>
        <w:t> que se deberían utilizar en el caso de establecerse una </w:t>
      </w:r>
      <w:r>
        <w:rPr>
          <w:i/>
          <w:vertAlign w:val="baseline"/>
        </w:rPr>
        <w:t>recogida </w:t>
      </w:r>
      <w:r>
        <w:rPr>
          <w:i/>
          <w:vertAlign w:val="baseline"/>
        </w:rPr>
        <w:t>puerta a puerta</w:t>
      </w:r>
      <w:r>
        <w:rPr>
          <w:vertAlign w:val="baseline"/>
        </w:rPr>
        <w:t>. Por ello, y a falta de estos datos reales, se toman los valores establecidos en la tabla A.2.</w:t>
      </w:r>
    </w:p>
    <w:tbl>
      <w:tblPr>
        <w:tblW w:w="0" w:type="auto"/>
        <w:jc w:val="left"/>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2"/>
        <w:gridCol w:w="1413"/>
        <w:gridCol w:w="2346"/>
        <w:gridCol w:w="1515"/>
        <w:gridCol w:w="2208"/>
      </w:tblGrid>
      <w:tr>
        <w:trPr>
          <w:trHeight w:val="203" w:hRule="atLeast"/>
        </w:trPr>
        <w:tc>
          <w:tcPr>
            <w:tcW w:w="9454" w:type="dxa"/>
            <w:gridSpan w:val="5"/>
            <w:tcBorders>
              <w:bottom w:val="single" w:sz="4" w:space="0" w:color="000000"/>
            </w:tcBorders>
          </w:tcPr>
          <w:p>
            <w:pPr>
              <w:pStyle w:val="TableParagraph"/>
              <w:spacing w:line="184" w:lineRule="exact"/>
              <w:ind w:left="1497" w:right="1444"/>
              <w:rPr>
                <w:b/>
                <w:sz w:val="18"/>
              </w:rPr>
            </w:pPr>
            <w:r>
              <w:rPr>
                <w:b/>
                <w:sz w:val="18"/>
              </w:rPr>
              <w:t>Tabla A.2 Factor de fracción</w:t>
            </w:r>
          </w:p>
        </w:tc>
      </w:tr>
      <w:tr>
        <w:trPr>
          <w:trHeight w:val="621" w:hRule="atLeast"/>
        </w:trPr>
        <w:tc>
          <w:tcPr>
            <w:tcW w:w="1972" w:type="dxa"/>
            <w:tcBorders>
              <w:top w:val="single" w:sz="4" w:space="0" w:color="000000"/>
              <w:bottom w:val="single" w:sz="4" w:space="0" w:color="000000"/>
            </w:tcBorders>
          </w:tcPr>
          <w:p>
            <w:pPr>
              <w:pStyle w:val="TableParagraph"/>
              <w:spacing w:line="205" w:lineRule="exact"/>
              <w:ind w:left="147" w:right="354"/>
              <w:rPr>
                <w:b/>
                <w:sz w:val="18"/>
              </w:rPr>
            </w:pPr>
            <w:r>
              <w:rPr>
                <w:b/>
                <w:sz w:val="18"/>
              </w:rPr>
              <w:t>Fracción</w:t>
            </w:r>
          </w:p>
        </w:tc>
        <w:tc>
          <w:tcPr>
            <w:tcW w:w="1413" w:type="dxa"/>
            <w:tcBorders>
              <w:top w:val="single" w:sz="4" w:space="0" w:color="000000"/>
              <w:bottom w:val="single" w:sz="4" w:space="0" w:color="000000"/>
            </w:tcBorders>
          </w:tcPr>
          <w:p>
            <w:pPr>
              <w:pStyle w:val="TableParagraph"/>
              <w:ind w:left="375" w:right="414" w:firstLine="235"/>
              <w:jc w:val="left"/>
              <w:rPr>
                <w:b/>
                <w:sz w:val="18"/>
              </w:rPr>
            </w:pPr>
            <w:r>
              <w:rPr>
                <w:b/>
                <w:sz w:val="18"/>
              </w:rPr>
              <w:t>T</w:t>
            </w:r>
            <w:r>
              <w:rPr>
                <w:b/>
                <w:sz w:val="18"/>
                <w:vertAlign w:val="subscript"/>
              </w:rPr>
              <w:t>f</w:t>
            </w:r>
            <w:r>
              <w:rPr>
                <w:b/>
                <w:sz w:val="18"/>
                <w:vertAlign w:val="baseline"/>
              </w:rPr>
              <w:t> en</w:t>
            </w:r>
            <w:r>
              <w:rPr>
                <w:b/>
                <w:spacing w:val="2"/>
                <w:sz w:val="18"/>
                <w:vertAlign w:val="baseline"/>
              </w:rPr>
              <w:t> </w:t>
            </w:r>
            <w:r>
              <w:rPr>
                <w:b/>
                <w:spacing w:val="-5"/>
                <w:sz w:val="18"/>
                <w:vertAlign w:val="baseline"/>
              </w:rPr>
              <w:t>días</w:t>
            </w:r>
          </w:p>
        </w:tc>
        <w:tc>
          <w:tcPr>
            <w:tcW w:w="2346" w:type="dxa"/>
            <w:tcBorders>
              <w:top w:val="single" w:sz="4" w:space="0" w:color="000000"/>
              <w:bottom w:val="single" w:sz="4" w:space="0" w:color="000000"/>
            </w:tcBorders>
          </w:tcPr>
          <w:p>
            <w:pPr>
              <w:pStyle w:val="TableParagraph"/>
              <w:ind w:left="1076" w:right="1057" w:hanging="1"/>
              <w:rPr>
                <w:b/>
                <w:sz w:val="18"/>
              </w:rPr>
            </w:pPr>
            <w:r>
              <w:rPr>
                <w:b/>
                <w:sz w:val="18"/>
              </w:rPr>
              <w:t>G</w:t>
            </w:r>
            <w:r>
              <w:rPr>
                <w:b/>
                <w:sz w:val="18"/>
                <w:vertAlign w:val="subscript"/>
              </w:rPr>
              <w:t>f</w:t>
            </w:r>
            <w:r>
              <w:rPr>
                <w:b/>
                <w:sz w:val="18"/>
                <w:vertAlign w:val="baseline"/>
              </w:rPr>
              <w:t> en</w:t>
            </w:r>
          </w:p>
          <w:p>
            <w:pPr>
              <w:pStyle w:val="TableParagraph"/>
              <w:spacing w:line="189" w:lineRule="exact"/>
              <w:ind w:left="398" w:right="382"/>
              <w:rPr>
                <w:b/>
                <w:sz w:val="18"/>
              </w:rPr>
            </w:pPr>
            <w:r>
              <w:rPr>
                <w:b/>
                <w:sz w:val="18"/>
              </w:rPr>
              <w:t>dm</w:t>
            </w:r>
            <w:r>
              <w:rPr>
                <w:b/>
                <w:sz w:val="18"/>
                <w:vertAlign w:val="superscript"/>
              </w:rPr>
              <w:t>3</w:t>
            </w:r>
            <w:r>
              <w:rPr>
                <w:b/>
                <w:sz w:val="18"/>
                <w:vertAlign w:val="baseline"/>
              </w:rPr>
              <w:t>/(persona·día)</w:t>
            </w:r>
          </w:p>
        </w:tc>
        <w:tc>
          <w:tcPr>
            <w:tcW w:w="1515" w:type="dxa"/>
            <w:tcBorders>
              <w:top w:val="single" w:sz="4" w:space="0" w:color="000000"/>
              <w:bottom w:val="single" w:sz="4" w:space="0" w:color="000000"/>
            </w:tcBorders>
          </w:tcPr>
          <w:p>
            <w:pPr>
              <w:pStyle w:val="TableParagraph"/>
              <w:spacing w:line="205" w:lineRule="exact"/>
              <w:ind w:left="399" w:right="523"/>
              <w:rPr>
                <w:b/>
                <w:sz w:val="18"/>
              </w:rPr>
            </w:pPr>
            <w:r>
              <w:rPr>
                <w:b/>
                <w:sz w:val="18"/>
              </w:rPr>
              <w:t>C</w:t>
            </w:r>
            <w:r>
              <w:rPr>
                <w:b/>
                <w:sz w:val="18"/>
                <w:vertAlign w:val="subscript"/>
              </w:rPr>
              <w:t>f</w:t>
            </w:r>
          </w:p>
        </w:tc>
        <w:tc>
          <w:tcPr>
            <w:tcW w:w="2208" w:type="dxa"/>
            <w:tcBorders>
              <w:top w:val="single" w:sz="4" w:space="0" w:color="000000"/>
              <w:bottom w:val="single" w:sz="4" w:space="0" w:color="000000"/>
            </w:tcBorders>
          </w:tcPr>
          <w:p>
            <w:pPr>
              <w:pStyle w:val="TableParagraph"/>
              <w:spacing w:line="204" w:lineRule="exact"/>
              <w:ind w:left="506" w:right="424"/>
              <w:rPr>
                <w:b/>
                <w:sz w:val="18"/>
              </w:rPr>
            </w:pPr>
            <w:r>
              <w:rPr>
                <w:b/>
                <w:sz w:val="18"/>
              </w:rPr>
              <w:t>F</w:t>
            </w:r>
            <w:r>
              <w:rPr>
                <w:b/>
                <w:sz w:val="18"/>
                <w:vertAlign w:val="subscript"/>
              </w:rPr>
              <w:t>f</w:t>
            </w:r>
          </w:p>
          <w:p>
            <w:pPr>
              <w:pStyle w:val="TableParagraph"/>
              <w:spacing w:line="207" w:lineRule="exact"/>
              <w:ind w:left="506" w:right="426"/>
              <w:rPr>
                <w:b/>
                <w:sz w:val="18"/>
              </w:rPr>
            </w:pPr>
            <w:r>
              <w:rPr>
                <w:b/>
                <w:sz w:val="18"/>
              </w:rPr>
              <w:t>en m</w:t>
            </w:r>
            <w:r>
              <w:rPr>
                <w:b/>
                <w:sz w:val="18"/>
                <w:vertAlign w:val="superscript"/>
              </w:rPr>
              <w:t>2</w:t>
            </w:r>
            <w:r>
              <w:rPr>
                <w:b/>
                <w:sz w:val="18"/>
                <w:vertAlign w:val="baseline"/>
              </w:rPr>
              <w:t>/persona</w:t>
            </w:r>
          </w:p>
        </w:tc>
      </w:tr>
      <w:tr>
        <w:trPr>
          <w:trHeight w:val="297" w:hRule="atLeast"/>
        </w:trPr>
        <w:tc>
          <w:tcPr>
            <w:tcW w:w="1972" w:type="dxa"/>
            <w:tcBorders>
              <w:top w:val="single" w:sz="4" w:space="0" w:color="000000"/>
            </w:tcBorders>
          </w:tcPr>
          <w:p>
            <w:pPr>
              <w:pStyle w:val="TableParagraph"/>
              <w:spacing w:before="57"/>
              <w:ind w:left="146" w:right="354"/>
              <w:rPr>
                <w:b/>
                <w:sz w:val="18"/>
              </w:rPr>
            </w:pPr>
            <w:r>
              <w:rPr>
                <w:b/>
                <w:sz w:val="18"/>
              </w:rPr>
              <w:t>Papel / cartón</w:t>
            </w:r>
          </w:p>
        </w:tc>
        <w:tc>
          <w:tcPr>
            <w:tcW w:w="1413" w:type="dxa"/>
            <w:tcBorders>
              <w:top w:val="single" w:sz="4" w:space="0" w:color="000000"/>
            </w:tcBorders>
          </w:tcPr>
          <w:p>
            <w:pPr>
              <w:pStyle w:val="TableParagraph"/>
              <w:spacing w:before="59"/>
              <w:ind w:left="636"/>
              <w:jc w:val="left"/>
              <w:rPr>
                <w:sz w:val="18"/>
              </w:rPr>
            </w:pPr>
            <w:r>
              <w:rPr>
                <w:w w:val="99"/>
                <w:sz w:val="18"/>
              </w:rPr>
              <w:t>7</w:t>
            </w:r>
          </w:p>
        </w:tc>
        <w:tc>
          <w:tcPr>
            <w:tcW w:w="2346" w:type="dxa"/>
            <w:tcBorders>
              <w:top w:val="single" w:sz="4" w:space="0" w:color="000000"/>
            </w:tcBorders>
          </w:tcPr>
          <w:p>
            <w:pPr>
              <w:pStyle w:val="TableParagraph"/>
              <w:spacing w:before="59"/>
              <w:ind w:left="396" w:right="382"/>
              <w:rPr>
                <w:sz w:val="18"/>
              </w:rPr>
            </w:pPr>
            <w:r>
              <w:rPr>
                <w:sz w:val="18"/>
              </w:rPr>
              <w:t>1,55</w:t>
            </w:r>
          </w:p>
        </w:tc>
        <w:tc>
          <w:tcPr>
            <w:tcW w:w="1515" w:type="dxa"/>
            <w:tcBorders>
              <w:top w:val="single" w:sz="4" w:space="0" w:color="000000"/>
            </w:tcBorders>
          </w:tcPr>
          <w:p>
            <w:pPr>
              <w:pStyle w:val="TableParagraph"/>
              <w:jc w:val="left"/>
              <w:rPr>
                <w:rFonts w:ascii="Times New Roman"/>
                <w:sz w:val="18"/>
              </w:rPr>
            </w:pPr>
          </w:p>
        </w:tc>
        <w:tc>
          <w:tcPr>
            <w:tcW w:w="2208" w:type="dxa"/>
            <w:tcBorders>
              <w:top w:val="single" w:sz="4" w:space="0" w:color="000000"/>
            </w:tcBorders>
          </w:tcPr>
          <w:p>
            <w:pPr>
              <w:pStyle w:val="TableParagraph"/>
              <w:spacing w:before="59"/>
              <w:ind w:left="506" w:right="425"/>
              <w:rPr>
                <w:sz w:val="18"/>
              </w:rPr>
            </w:pPr>
            <w:r>
              <w:rPr>
                <w:sz w:val="18"/>
              </w:rPr>
              <w:t>0,039</w:t>
            </w:r>
          </w:p>
        </w:tc>
      </w:tr>
      <w:tr>
        <w:trPr>
          <w:trHeight w:val="266" w:hRule="atLeast"/>
        </w:trPr>
        <w:tc>
          <w:tcPr>
            <w:tcW w:w="1972" w:type="dxa"/>
          </w:tcPr>
          <w:p>
            <w:pPr>
              <w:pStyle w:val="TableParagraph"/>
              <w:spacing w:before="26"/>
              <w:ind w:left="147" w:right="354"/>
              <w:rPr>
                <w:b/>
                <w:sz w:val="18"/>
              </w:rPr>
            </w:pPr>
            <w:r>
              <w:rPr>
                <w:b/>
                <w:sz w:val="18"/>
              </w:rPr>
              <w:t>Envases ligeros</w:t>
            </w:r>
          </w:p>
        </w:tc>
        <w:tc>
          <w:tcPr>
            <w:tcW w:w="1413" w:type="dxa"/>
          </w:tcPr>
          <w:p>
            <w:pPr>
              <w:pStyle w:val="TableParagraph"/>
              <w:spacing w:before="27"/>
              <w:ind w:left="636"/>
              <w:jc w:val="left"/>
              <w:rPr>
                <w:sz w:val="18"/>
              </w:rPr>
            </w:pPr>
            <w:r>
              <w:rPr>
                <w:w w:val="99"/>
                <w:sz w:val="18"/>
              </w:rPr>
              <w:t>2</w:t>
            </w:r>
          </w:p>
        </w:tc>
        <w:tc>
          <w:tcPr>
            <w:tcW w:w="2346" w:type="dxa"/>
          </w:tcPr>
          <w:p>
            <w:pPr>
              <w:pStyle w:val="TableParagraph"/>
              <w:spacing w:before="27"/>
              <w:ind w:left="396" w:right="382"/>
              <w:rPr>
                <w:sz w:val="18"/>
              </w:rPr>
            </w:pPr>
            <w:r>
              <w:rPr>
                <w:sz w:val="18"/>
              </w:rPr>
              <w:t>8,40</w:t>
            </w:r>
          </w:p>
        </w:tc>
        <w:tc>
          <w:tcPr>
            <w:tcW w:w="1515" w:type="dxa"/>
          </w:tcPr>
          <w:p>
            <w:pPr>
              <w:pStyle w:val="TableParagraph"/>
              <w:jc w:val="left"/>
              <w:rPr>
                <w:rFonts w:ascii="Times New Roman"/>
                <w:sz w:val="18"/>
              </w:rPr>
            </w:pPr>
          </w:p>
        </w:tc>
        <w:tc>
          <w:tcPr>
            <w:tcW w:w="2208" w:type="dxa"/>
          </w:tcPr>
          <w:p>
            <w:pPr>
              <w:pStyle w:val="TableParagraph"/>
              <w:spacing w:before="27"/>
              <w:ind w:left="506" w:right="425"/>
              <w:rPr>
                <w:sz w:val="18"/>
              </w:rPr>
            </w:pPr>
            <w:r>
              <w:rPr>
                <w:sz w:val="18"/>
              </w:rPr>
              <w:t>0,060</w:t>
            </w:r>
          </w:p>
        </w:tc>
      </w:tr>
      <w:tr>
        <w:trPr>
          <w:trHeight w:val="266" w:hRule="atLeast"/>
        </w:trPr>
        <w:tc>
          <w:tcPr>
            <w:tcW w:w="1972" w:type="dxa"/>
          </w:tcPr>
          <w:p>
            <w:pPr>
              <w:pStyle w:val="TableParagraph"/>
              <w:spacing w:before="26"/>
              <w:ind w:left="147" w:right="354"/>
              <w:rPr>
                <w:b/>
                <w:sz w:val="18"/>
              </w:rPr>
            </w:pPr>
            <w:r>
              <w:rPr>
                <w:b/>
                <w:sz w:val="18"/>
              </w:rPr>
              <w:t>Materia orgánica</w:t>
            </w:r>
          </w:p>
        </w:tc>
        <w:tc>
          <w:tcPr>
            <w:tcW w:w="1413" w:type="dxa"/>
          </w:tcPr>
          <w:p>
            <w:pPr>
              <w:pStyle w:val="TableParagraph"/>
              <w:spacing w:before="27"/>
              <w:ind w:left="636"/>
              <w:jc w:val="left"/>
              <w:rPr>
                <w:sz w:val="18"/>
              </w:rPr>
            </w:pPr>
            <w:r>
              <w:rPr>
                <w:w w:val="99"/>
                <w:sz w:val="18"/>
              </w:rPr>
              <w:t>1</w:t>
            </w:r>
          </w:p>
        </w:tc>
        <w:tc>
          <w:tcPr>
            <w:tcW w:w="2346" w:type="dxa"/>
          </w:tcPr>
          <w:p>
            <w:pPr>
              <w:pStyle w:val="TableParagraph"/>
              <w:spacing w:before="27"/>
              <w:ind w:left="396" w:right="382"/>
              <w:rPr>
                <w:sz w:val="18"/>
              </w:rPr>
            </w:pPr>
            <w:r>
              <w:rPr>
                <w:sz w:val="18"/>
              </w:rPr>
              <w:t>1,50</w:t>
            </w:r>
          </w:p>
        </w:tc>
        <w:tc>
          <w:tcPr>
            <w:tcW w:w="1515" w:type="dxa"/>
          </w:tcPr>
          <w:p>
            <w:pPr>
              <w:pStyle w:val="TableParagraph"/>
              <w:spacing w:before="27"/>
              <w:ind w:left="400" w:right="523"/>
              <w:rPr>
                <w:sz w:val="18"/>
              </w:rPr>
            </w:pPr>
            <w:r>
              <w:rPr>
                <w:sz w:val="18"/>
              </w:rPr>
              <w:t>0,0036</w:t>
            </w:r>
          </w:p>
        </w:tc>
        <w:tc>
          <w:tcPr>
            <w:tcW w:w="2208" w:type="dxa"/>
          </w:tcPr>
          <w:p>
            <w:pPr>
              <w:pStyle w:val="TableParagraph"/>
              <w:spacing w:before="27"/>
              <w:ind w:left="506" w:right="425"/>
              <w:rPr>
                <w:sz w:val="18"/>
              </w:rPr>
            </w:pPr>
            <w:r>
              <w:rPr>
                <w:sz w:val="18"/>
              </w:rPr>
              <w:t>0,005</w:t>
            </w:r>
          </w:p>
        </w:tc>
      </w:tr>
      <w:tr>
        <w:trPr>
          <w:trHeight w:val="267" w:hRule="atLeast"/>
        </w:trPr>
        <w:tc>
          <w:tcPr>
            <w:tcW w:w="1972" w:type="dxa"/>
          </w:tcPr>
          <w:p>
            <w:pPr>
              <w:pStyle w:val="TableParagraph"/>
              <w:spacing w:before="26"/>
              <w:ind w:left="147" w:right="352"/>
              <w:rPr>
                <w:b/>
                <w:sz w:val="18"/>
              </w:rPr>
            </w:pPr>
            <w:r>
              <w:rPr>
                <w:b/>
                <w:sz w:val="18"/>
              </w:rPr>
              <w:t>Vidrio</w:t>
            </w:r>
          </w:p>
        </w:tc>
        <w:tc>
          <w:tcPr>
            <w:tcW w:w="1413" w:type="dxa"/>
          </w:tcPr>
          <w:p>
            <w:pPr>
              <w:pStyle w:val="TableParagraph"/>
              <w:spacing w:before="28"/>
              <w:ind w:left="636"/>
              <w:jc w:val="left"/>
              <w:rPr>
                <w:sz w:val="18"/>
              </w:rPr>
            </w:pPr>
            <w:r>
              <w:rPr>
                <w:w w:val="99"/>
                <w:sz w:val="18"/>
              </w:rPr>
              <w:t>7</w:t>
            </w:r>
          </w:p>
        </w:tc>
        <w:tc>
          <w:tcPr>
            <w:tcW w:w="2346" w:type="dxa"/>
          </w:tcPr>
          <w:p>
            <w:pPr>
              <w:pStyle w:val="TableParagraph"/>
              <w:spacing w:before="28"/>
              <w:ind w:left="396" w:right="382"/>
              <w:rPr>
                <w:sz w:val="18"/>
              </w:rPr>
            </w:pPr>
            <w:r>
              <w:rPr>
                <w:sz w:val="18"/>
              </w:rPr>
              <w:t>0,48</w:t>
            </w:r>
          </w:p>
        </w:tc>
        <w:tc>
          <w:tcPr>
            <w:tcW w:w="1515" w:type="dxa"/>
          </w:tcPr>
          <w:p>
            <w:pPr>
              <w:pStyle w:val="TableParagraph"/>
              <w:jc w:val="left"/>
              <w:rPr>
                <w:rFonts w:ascii="Times New Roman"/>
                <w:sz w:val="18"/>
              </w:rPr>
            </w:pPr>
          </w:p>
        </w:tc>
        <w:tc>
          <w:tcPr>
            <w:tcW w:w="2208" w:type="dxa"/>
          </w:tcPr>
          <w:p>
            <w:pPr>
              <w:pStyle w:val="TableParagraph"/>
              <w:spacing w:before="28"/>
              <w:ind w:left="506" w:right="425"/>
              <w:rPr>
                <w:sz w:val="18"/>
              </w:rPr>
            </w:pPr>
            <w:r>
              <w:rPr>
                <w:sz w:val="18"/>
              </w:rPr>
              <w:t>0,012</w:t>
            </w:r>
          </w:p>
        </w:tc>
      </w:tr>
      <w:tr>
        <w:trPr>
          <w:trHeight w:val="234" w:hRule="atLeast"/>
        </w:trPr>
        <w:tc>
          <w:tcPr>
            <w:tcW w:w="1972" w:type="dxa"/>
          </w:tcPr>
          <w:p>
            <w:pPr>
              <w:pStyle w:val="TableParagraph"/>
              <w:spacing w:line="188" w:lineRule="exact" w:before="26"/>
              <w:ind w:left="147" w:right="354"/>
              <w:rPr>
                <w:b/>
                <w:sz w:val="18"/>
              </w:rPr>
            </w:pPr>
            <w:r>
              <w:rPr>
                <w:b/>
                <w:sz w:val="18"/>
              </w:rPr>
              <w:t>Varios</w:t>
            </w:r>
          </w:p>
        </w:tc>
        <w:tc>
          <w:tcPr>
            <w:tcW w:w="1413" w:type="dxa"/>
          </w:tcPr>
          <w:p>
            <w:pPr>
              <w:pStyle w:val="TableParagraph"/>
              <w:spacing w:line="187" w:lineRule="exact" w:before="27"/>
              <w:ind w:left="636"/>
              <w:jc w:val="left"/>
              <w:rPr>
                <w:sz w:val="18"/>
              </w:rPr>
            </w:pPr>
            <w:r>
              <w:rPr>
                <w:w w:val="99"/>
                <w:sz w:val="18"/>
              </w:rPr>
              <w:t>7</w:t>
            </w:r>
          </w:p>
        </w:tc>
        <w:tc>
          <w:tcPr>
            <w:tcW w:w="2346" w:type="dxa"/>
          </w:tcPr>
          <w:p>
            <w:pPr>
              <w:pStyle w:val="TableParagraph"/>
              <w:spacing w:line="187" w:lineRule="exact" w:before="27"/>
              <w:ind w:left="396" w:right="382"/>
              <w:rPr>
                <w:sz w:val="18"/>
              </w:rPr>
            </w:pPr>
            <w:r>
              <w:rPr>
                <w:sz w:val="18"/>
              </w:rPr>
              <w:t>1,50</w:t>
            </w:r>
          </w:p>
        </w:tc>
        <w:tc>
          <w:tcPr>
            <w:tcW w:w="1515" w:type="dxa"/>
          </w:tcPr>
          <w:p>
            <w:pPr>
              <w:pStyle w:val="TableParagraph"/>
              <w:jc w:val="left"/>
              <w:rPr>
                <w:rFonts w:ascii="Times New Roman"/>
                <w:sz w:val="16"/>
              </w:rPr>
            </w:pPr>
          </w:p>
        </w:tc>
        <w:tc>
          <w:tcPr>
            <w:tcW w:w="2208" w:type="dxa"/>
          </w:tcPr>
          <w:p>
            <w:pPr>
              <w:pStyle w:val="TableParagraph"/>
              <w:spacing w:line="187" w:lineRule="exact" w:before="27"/>
              <w:ind w:left="506" w:right="425"/>
              <w:rPr>
                <w:sz w:val="18"/>
              </w:rPr>
            </w:pPr>
            <w:r>
              <w:rPr>
                <w:sz w:val="18"/>
              </w:rPr>
              <w:t>0,038</w:t>
            </w:r>
          </w:p>
        </w:tc>
      </w:tr>
    </w:tbl>
    <w:p>
      <w:pPr>
        <w:pStyle w:val="BodyText"/>
        <w:spacing w:before="60"/>
        <w:ind w:left="218" w:right="391"/>
        <w:jc w:val="both"/>
      </w:pPr>
      <w:r>
        <w:rPr>
          <w:b/>
        </w:rPr>
        <w:t>Recogida neumática</w:t>
      </w:r>
      <w:r>
        <w:rPr/>
        <w:t>: sistema en el que los </w:t>
      </w:r>
      <w:r>
        <w:rPr>
          <w:i/>
        </w:rPr>
        <w:t>residuos </w:t>
      </w:r>
      <w:r>
        <w:rPr/>
        <w:t>se almacenan en estaciones de carga que se ali- mentan a través de compuertas de vertido o buzones situados en espacios comunes o públicos. Los </w:t>
      </w:r>
      <w:r>
        <w:rPr>
          <w:i/>
        </w:rPr>
        <w:t>residuos </w:t>
      </w:r>
      <w:r>
        <w:rPr/>
        <w:t>almacenados se aspiran intermitentemente desde una instalación central que da servicio a un conjunto de edificios y se depositan en los contenedores de transporte situados en ella.</w:t>
      </w:r>
    </w:p>
    <w:p>
      <w:pPr>
        <w:spacing w:before="60"/>
        <w:ind w:left="218" w:right="390" w:firstLine="0"/>
        <w:jc w:val="both"/>
        <w:rPr>
          <w:sz w:val="20"/>
        </w:rPr>
      </w:pPr>
      <w:r>
        <w:rPr>
          <w:b/>
          <w:sz w:val="20"/>
        </w:rPr>
        <w:t>Recogida centralizada: </w:t>
      </w:r>
      <w:r>
        <w:rPr>
          <w:sz w:val="20"/>
        </w:rPr>
        <w:t>sistema en el que el </w:t>
      </w:r>
      <w:r>
        <w:rPr>
          <w:i/>
          <w:sz w:val="20"/>
        </w:rPr>
        <w:t>servicio de recogida </w:t>
      </w:r>
      <w:r>
        <w:rPr>
          <w:sz w:val="20"/>
        </w:rPr>
        <w:t>retira los </w:t>
      </w:r>
      <w:r>
        <w:rPr>
          <w:i/>
          <w:sz w:val="20"/>
        </w:rPr>
        <w:t>residuos </w:t>
      </w:r>
      <w:r>
        <w:rPr>
          <w:sz w:val="20"/>
        </w:rPr>
        <w:t>de los </w:t>
      </w:r>
      <w:r>
        <w:rPr>
          <w:i/>
          <w:sz w:val="20"/>
        </w:rPr>
        <w:t>contenedores </w:t>
      </w:r>
      <w:r>
        <w:rPr>
          <w:i/>
          <w:sz w:val="20"/>
        </w:rPr>
        <w:t>de calle</w:t>
      </w:r>
      <w:r>
        <w:rPr>
          <w:sz w:val="20"/>
        </w:rPr>
        <w:t>, tanto los de superficie como los subterráneos.</w:t>
      </w:r>
    </w:p>
    <w:p>
      <w:pPr>
        <w:spacing w:before="60"/>
        <w:ind w:left="218" w:right="389" w:firstLine="0"/>
        <w:jc w:val="both"/>
        <w:rPr>
          <w:sz w:val="20"/>
        </w:rPr>
      </w:pPr>
      <w:r>
        <w:rPr>
          <w:b/>
          <w:sz w:val="20"/>
        </w:rPr>
        <w:t>Recogida puerta a puerta</w:t>
      </w:r>
      <w:r>
        <w:rPr>
          <w:sz w:val="20"/>
        </w:rPr>
        <w:t>: sistema en el que el </w:t>
      </w:r>
      <w:r>
        <w:rPr>
          <w:i/>
          <w:sz w:val="20"/>
        </w:rPr>
        <w:t>servicio de recogida </w:t>
      </w:r>
      <w:r>
        <w:rPr>
          <w:sz w:val="20"/>
        </w:rPr>
        <w:t>retira los </w:t>
      </w:r>
      <w:r>
        <w:rPr>
          <w:i/>
          <w:sz w:val="20"/>
        </w:rPr>
        <w:t>residuos </w:t>
      </w:r>
      <w:r>
        <w:rPr>
          <w:sz w:val="20"/>
        </w:rPr>
        <w:t>de los </w:t>
      </w:r>
      <w:r>
        <w:rPr>
          <w:i/>
          <w:sz w:val="20"/>
        </w:rPr>
        <w:t>contene- </w:t>
      </w:r>
      <w:r>
        <w:rPr>
          <w:i/>
          <w:sz w:val="20"/>
        </w:rPr>
        <w:t>dores de edificio</w:t>
      </w:r>
      <w:r>
        <w:rPr>
          <w:sz w:val="20"/>
        </w:rPr>
        <w:t>, bien accediendo al almacén de los mismos, bien directamente en la vía pública a don- de los sacan los usuarios.</w:t>
      </w:r>
    </w:p>
    <w:p>
      <w:pPr>
        <w:pStyle w:val="BodyText"/>
        <w:spacing w:before="60"/>
        <w:ind w:left="218" w:right="389"/>
        <w:jc w:val="both"/>
      </w:pPr>
      <w:r>
        <w:rPr>
          <w:b/>
        </w:rPr>
        <w:t>Residuo: </w:t>
      </w:r>
      <w:r>
        <w:rPr/>
        <w:t>(de acuerdo con la Ley 10/1998, de 21 de Abril, de Residuos. Normas reguladoras de los resi- duos) cualquier sustancia u objeto perteneciente a alguna de las categorías que figuran en el anejo de dicha ley, del cual su poseedor se desprenda o del que tenga la intención u obligación de desprenderse. En todo caso tendrán esta consideración los que figuren en la Lista Europea de Residuos (LER), apro- bada por las Instituciones Comunitarias.</w:t>
      </w:r>
    </w:p>
    <w:p>
      <w:pPr>
        <w:spacing w:before="60"/>
        <w:ind w:left="218" w:right="0" w:firstLine="0"/>
        <w:jc w:val="both"/>
        <w:rPr>
          <w:sz w:val="20"/>
        </w:rPr>
      </w:pPr>
      <w:r>
        <w:rPr>
          <w:b/>
          <w:sz w:val="20"/>
        </w:rPr>
        <w:t>Residuos ordinarios</w:t>
      </w:r>
      <w:r>
        <w:rPr>
          <w:sz w:val="20"/>
        </w:rPr>
        <w:t>: parte de los </w:t>
      </w:r>
      <w:r>
        <w:rPr>
          <w:i/>
          <w:sz w:val="20"/>
        </w:rPr>
        <w:t>residuos urbanos </w:t>
      </w:r>
      <w:r>
        <w:rPr>
          <w:sz w:val="20"/>
        </w:rPr>
        <w:t>generada en los edificios, con excepción de:</w:t>
      </w:r>
    </w:p>
    <w:p>
      <w:pPr>
        <w:pStyle w:val="ListParagraph"/>
        <w:numPr>
          <w:ilvl w:val="0"/>
          <w:numId w:val="113"/>
        </w:numPr>
        <w:tabs>
          <w:tab w:pos="1126" w:val="left" w:leader="none"/>
        </w:tabs>
        <w:spacing w:line="240" w:lineRule="auto" w:before="60" w:after="0"/>
        <w:ind w:left="1126" w:right="0" w:hanging="454"/>
        <w:jc w:val="both"/>
        <w:rPr>
          <w:sz w:val="20"/>
        </w:rPr>
      </w:pPr>
      <w:r>
        <w:rPr>
          <w:sz w:val="20"/>
        </w:rPr>
        <w:t>animales domésticos muertos, muebles y</w:t>
      </w:r>
      <w:r>
        <w:rPr>
          <w:spacing w:val="-3"/>
          <w:sz w:val="20"/>
        </w:rPr>
        <w:t> </w:t>
      </w:r>
      <w:r>
        <w:rPr>
          <w:sz w:val="20"/>
        </w:rPr>
        <w:t>enseres;</w:t>
      </w:r>
    </w:p>
    <w:p>
      <w:pPr>
        <w:pStyle w:val="ListParagraph"/>
        <w:numPr>
          <w:ilvl w:val="0"/>
          <w:numId w:val="113"/>
        </w:numPr>
        <w:tabs>
          <w:tab w:pos="1126" w:val="left" w:leader="none"/>
        </w:tabs>
        <w:spacing w:line="240" w:lineRule="auto" w:before="59" w:after="0"/>
        <w:ind w:left="1126" w:right="392" w:hanging="454"/>
        <w:jc w:val="both"/>
        <w:rPr>
          <w:sz w:val="20"/>
        </w:rPr>
      </w:pPr>
      <w:r>
        <w:rPr>
          <w:i/>
          <w:sz w:val="20"/>
        </w:rPr>
        <w:t>residuos </w:t>
      </w:r>
      <w:r>
        <w:rPr>
          <w:sz w:val="20"/>
        </w:rPr>
        <w:t>y escombros procedentes de obras menores de construcción y reparación domicilia- ria.</w:t>
      </w:r>
    </w:p>
    <w:p>
      <w:pPr>
        <w:pStyle w:val="BodyText"/>
        <w:spacing w:before="61"/>
        <w:ind w:left="218"/>
        <w:jc w:val="both"/>
      </w:pPr>
      <w:r>
        <w:rPr/>
        <w:t>Las fracciones y los componentes principales de estos </w:t>
      </w:r>
      <w:r>
        <w:rPr>
          <w:i/>
        </w:rPr>
        <w:t>residuos </w:t>
      </w:r>
      <w:r>
        <w:rPr/>
        <w:t>se detallan en la tabla A.3.</w:t>
      </w:r>
    </w:p>
    <w:p>
      <w:pPr>
        <w:pStyle w:val="BodyText"/>
        <w:spacing w:before="7"/>
        <w:rPr>
          <w:sz w:val="5"/>
        </w:rPr>
      </w:pPr>
    </w:p>
    <w:tbl>
      <w:tblPr>
        <w:tblW w:w="0" w:type="auto"/>
        <w:jc w:val="left"/>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0"/>
        <w:gridCol w:w="6644"/>
      </w:tblGrid>
      <w:tr>
        <w:trPr>
          <w:trHeight w:val="204" w:hRule="atLeast"/>
        </w:trPr>
        <w:tc>
          <w:tcPr>
            <w:tcW w:w="9454" w:type="dxa"/>
            <w:gridSpan w:val="2"/>
            <w:tcBorders>
              <w:bottom w:val="single" w:sz="4" w:space="0" w:color="000000"/>
            </w:tcBorders>
          </w:tcPr>
          <w:p>
            <w:pPr>
              <w:pStyle w:val="TableParagraph"/>
              <w:spacing w:line="185" w:lineRule="exact"/>
              <w:ind w:left="1498" w:right="1444"/>
              <w:rPr>
                <w:b/>
                <w:i/>
                <w:sz w:val="18"/>
              </w:rPr>
            </w:pPr>
            <w:r>
              <w:rPr>
                <w:b/>
                <w:sz w:val="18"/>
              </w:rPr>
              <w:t>Tabla A.3 Fracciones y componentes principales de los </w:t>
            </w:r>
            <w:r>
              <w:rPr>
                <w:b/>
                <w:i/>
                <w:sz w:val="18"/>
              </w:rPr>
              <w:t>residuos ordinarios</w:t>
            </w:r>
          </w:p>
        </w:tc>
      </w:tr>
      <w:tr>
        <w:trPr>
          <w:trHeight w:val="207" w:hRule="atLeast"/>
        </w:trPr>
        <w:tc>
          <w:tcPr>
            <w:tcW w:w="2810" w:type="dxa"/>
            <w:tcBorders>
              <w:top w:val="single" w:sz="4" w:space="0" w:color="000000"/>
              <w:bottom w:val="single" w:sz="4" w:space="0" w:color="000000"/>
            </w:tcBorders>
          </w:tcPr>
          <w:p>
            <w:pPr>
              <w:pStyle w:val="TableParagraph"/>
              <w:spacing w:line="187" w:lineRule="exact"/>
              <w:ind w:left="123"/>
              <w:jc w:val="left"/>
              <w:rPr>
                <w:b/>
                <w:sz w:val="18"/>
              </w:rPr>
            </w:pPr>
            <w:r>
              <w:rPr>
                <w:b/>
                <w:sz w:val="18"/>
              </w:rPr>
              <w:t>Fracción</w:t>
            </w:r>
          </w:p>
        </w:tc>
        <w:tc>
          <w:tcPr>
            <w:tcW w:w="6644" w:type="dxa"/>
            <w:tcBorders>
              <w:top w:val="single" w:sz="4" w:space="0" w:color="000000"/>
              <w:bottom w:val="single" w:sz="4" w:space="0" w:color="000000"/>
            </w:tcBorders>
          </w:tcPr>
          <w:p>
            <w:pPr>
              <w:pStyle w:val="TableParagraph"/>
              <w:spacing w:line="187" w:lineRule="exact"/>
              <w:ind w:left="1346"/>
              <w:jc w:val="left"/>
              <w:rPr>
                <w:b/>
                <w:sz w:val="18"/>
              </w:rPr>
            </w:pPr>
            <w:r>
              <w:rPr>
                <w:b/>
                <w:sz w:val="18"/>
              </w:rPr>
              <w:t>Componentes</w:t>
            </w:r>
          </w:p>
        </w:tc>
      </w:tr>
      <w:tr>
        <w:trPr>
          <w:trHeight w:val="1034" w:hRule="atLeast"/>
        </w:trPr>
        <w:tc>
          <w:tcPr>
            <w:tcW w:w="2810" w:type="dxa"/>
            <w:tcBorders>
              <w:top w:val="single" w:sz="4" w:space="0" w:color="000000"/>
              <w:bottom w:val="single" w:sz="4" w:space="0" w:color="000000"/>
            </w:tcBorders>
          </w:tcPr>
          <w:p>
            <w:pPr>
              <w:pStyle w:val="TableParagraph"/>
              <w:jc w:val="left"/>
              <w:rPr>
                <w:sz w:val="20"/>
              </w:rPr>
            </w:pPr>
          </w:p>
          <w:p>
            <w:pPr>
              <w:pStyle w:val="TableParagraph"/>
              <w:spacing w:before="9"/>
              <w:jc w:val="left"/>
              <w:rPr>
                <w:sz w:val="15"/>
              </w:rPr>
            </w:pPr>
          </w:p>
          <w:p>
            <w:pPr>
              <w:pStyle w:val="TableParagraph"/>
              <w:ind w:left="123"/>
              <w:jc w:val="left"/>
              <w:rPr>
                <w:sz w:val="18"/>
              </w:rPr>
            </w:pPr>
            <w:r>
              <w:rPr>
                <w:sz w:val="18"/>
              </w:rPr>
              <w:t>Envases ligeros</w:t>
            </w:r>
          </w:p>
        </w:tc>
        <w:tc>
          <w:tcPr>
            <w:tcW w:w="6644" w:type="dxa"/>
            <w:tcBorders>
              <w:top w:val="single" w:sz="4" w:space="0" w:color="000000"/>
              <w:bottom w:val="single" w:sz="4" w:space="0" w:color="000000"/>
            </w:tcBorders>
          </w:tcPr>
          <w:p>
            <w:pPr>
              <w:pStyle w:val="TableParagraph"/>
              <w:spacing w:line="204" w:lineRule="exact"/>
              <w:ind w:left="1346"/>
              <w:jc w:val="left"/>
              <w:rPr>
                <w:sz w:val="18"/>
              </w:rPr>
            </w:pPr>
            <w:r>
              <w:rPr>
                <w:sz w:val="18"/>
              </w:rPr>
              <w:t>Bolsas de plástico</w:t>
            </w:r>
          </w:p>
          <w:p>
            <w:pPr>
              <w:pStyle w:val="TableParagraph"/>
              <w:ind w:left="1346" w:right="2876"/>
              <w:jc w:val="left"/>
              <w:rPr>
                <w:sz w:val="18"/>
              </w:rPr>
            </w:pPr>
            <w:r>
              <w:rPr>
                <w:sz w:val="18"/>
              </w:rPr>
              <w:t>Botellas y garrafas de plástico Brics</w:t>
            </w:r>
          </w:p>
          <w:p>
            <w:pPr>
              <w:pStyle w:val="TableParagraph"/>
              <w:spacing w:line="208" w:lineRule="exact" w:before="2"/>
              <w:ind w:left="1346" w:right="3366"/>
              <w:jc w:val="left"/>
              <w:rPr>
                <w:sz w:val="18"/>
              </w:rPr>
            </w:pPr>
            <w:r>
              <w:rPr>
                <w:sz w:val="18"/>
              </w:rPr>
              <w:t>Envases de plástico Latas metálicas</w:t>
            </w:r>
          </w:p>
        </w:tc>
      </w:tr>
      <w:tr>
        <w:trPr>
          <w:trHeight w:val="826" w:hRule="atLeast"/>
        </w:trPr>
        <w:tc>
          <w:tcPr>
            <w:tcW w:w="2810" w:type="dxa"/>
            <w:tcBorders>
              <w:top w:val="single" w:sz="4" w:space="0" w:color="000000"/>
              <w:bottom w:val="single" w:sz="4" w:space="0" w:color="000000"/>
            </w:tcBorders>
          </w:tcPr>
          <w:p>
            <w:pPr>
              <w:pStyle w:val="TableParagraph"/>
              <w:spacing w:before="7"/>
              <w:jc w:val="left"/>
              <w:rPr>
                <w:sz w:val="26"/>
              </w:rPr>
            </w:pPr>
          </w:p>
          <w:p>
            <w:pPr>
              <w:pStyle w:val="TableParagraph"/>
              <w:ind w:left="123"/>
              <w:jc w:val="left"/>
              <w:rPr>
                <w:sz w:val="18"/>
              </w:rPr>
            </w:pPr>
            <w:r>
              <w:rPr>
                <w:sz w:val="18"/>
              </w:rPr>
              <w:t>Materia orgánica</w:t>
            </w:r>
          </w:p>
        </w:tc>
        <w:tc>
          <w:tcPr>
            <w:tcW w:w="6644" w:type="dxa"/>
            <w:tcBorders>
              <w:top w:val="single" w:sz="4" w:space="0" w:color="000000"/>
              <w:bottom w:val="single" w:sz="4" w:space="0" w:color="000000"/>
            </w:tcBorders>
          </w:tcPr>
          <w:p>
            <w:pPr>
              <w:pStyle w:val="TableParagraph"/>
              <w:spacing w:line="203" w:lineRule="exact"/>
              <w:ind w:left="1346"/>
              <w:jc w:val="left"/>
              <w:rPr>
                <w:sz w:val="18"/>
              </w:rPr>
            </w:pPr>
            <w:r>
              <w:rPr>
                <w:sz w:val="18"/>
              </w:rPr>
              <w:t>Corcho</w:t>
            </w:r>
          </w:p>
          <w:p>
            <w:pPr>
              <w:pStyle w:val="TableParagraph"/>
              <w:spacing w:line="207" w:lineRule="exact"/>
              <w:ind w:left="1346"/>
              <w:jc w:val="left"/>
              <w:rPr>
                <w:sz w:val="18"/>
              </w:rPr>
            </w:pPr>
            <w:r>
              <w:rPr>
                <w:sz w:val="18"/>
              </w:rPr>
              <w:t>Restos de comidas</w:t>
            </w:r>
          </w:p>
          <w:p>
            <w:pPr>
              <w:pStyle w:val="TableParagraph"/>
              <w:spacing w:line="206" w:lineRule="exact" w:before="4"/>
              <w:ind w:left="1346" w:right="1731"/>
              <w:jc w:val="left"/>
              <w:rPr>
                <w:sz w:val="18"/>
              </w:rPr>
            </w:pPr>
            <w:r>
              <w:rPr>
                <w:sz w:val="18"/>
              </w:rPr>
              <w:t>Restos de </w:t>
            </w:r>
            <w:r>
              <w:rPr>
                <w:spacing w:val="-3"/>
                <w:sz w:val="18"/>
              </w:rPr>
              <w:t>preparación </w:t>
            </w:r>
            <w:r>
              <w:rPr>
                <w:sz w:val="18"/>
              </w:rPr>
              <w:t>de </w:t>
            </w:r>
            <w:r>
              <w:rPr>
                <w:spacing w:val="-3"/>
                <w:sz w:val="18"/>
              </w:rPr>
              <w:t>comidas Servilletas</w:t>
            </w:r>
            <w:r>
              <w:rPr>
                <w:spacing w:val="-11"/>
                <w:sz w:val="18"/>
              </w:rPr>
              <w:t> </w:t>
            </w:r>
            <w:r>
              <w:rPr>
                <w:sz w:val="18"/>
              </w:rPr>
              <w:t>de</w:t>
            </w:r>
            <w:r>
              <w:rPr>
                <w:spacing w:val="-9"/>
                <w:sz w:val="18"/>
              </w:rPr>
              <w:t> </w:t>
            </w:r>
            <w:r>
              <w:rPr>
                <w:sz w:val="18"/>
              </w:rPr>
              <w:t>papel</w:t>
            </w:r>
            <w:r>
              <w:rPr>
                <w:spacing w:val="-9"/>
                <w:sz w:val="18"/>
              </w:rPr>
              <w:t> </w:t>
            </w:r>
            <w:r>
              <w:rPr>
                <w:sz w:val="18"/>
              </w:rPr>
              <w:t>y</w:t>
            </w:r>
            <w:r>
              <w:rPr>
                <w:spacing w:val="-10"/>
                <w:sz w:val="18"/>
              </w:rPr>
              <w:t> </w:t>
            </w:r>
            <w:r>
              <w:rPr>
                <w:sz w:val="18"/>
              </w:rPr>
              <w:t>papel</w:t>
            </w:r>
            <w:r>
              <w:rPr>
                <w:spacing w:val="-10"/>
                <w:sz w:val="18"/>
              </w:rPr>
              <w:t> </w:t>
            </w:r>
            <w:r>
              <w:rPr>
                <w:sz w:val="18"/>
              </w:rPr>
              <w:t>de</w:t>
            </w:r>
            <w:r>
              <w:rPr>
                <w:spacing w:val="-9"/>
                <w:sz w:val="18"/>
              </w:rPr>
              <w:t> </w:t>
            </w:r>
            <w:r>
              <w:rPr>
                <w:sz w:val="18"/>
              </w:rPr>
              <w:t>cocina</w:t>
            </w:r>
            <w:r>
              <w:rPr>
                <w:spacing w:val="-10"/>
                <w:sz w:val="18"/>
              </w:rPr>
              <w:t> </w:t>
            </w:r>
            <w:r>
              <w:rPr>
                <w:sz w:val="18"/>
              </w:rPr>
              <w:t>usados</w:t>
            </w:r>
          </w:p>
        </w:tc>
      </w:tr>
      <w:tr>
        <w:trPr>
          <w:trHeight w:val="1124" w:hRule="atLeast"/>
        </w:trPr>
        <w:tc>
          <w:tcPr>
            <w:tcW w:w="2810" w:type="dxa"/>
            <w:tcBorders>
              <w:top w:val="single" w:sz="4" w:space="0" w:color="000000"/>
              <w:bottom w:val="single" w:sz="4" w:space="0" w:color="000000"/>
            </w:tcBorders>
          </w:tcPr>
          <w:p>
            <w:pPr>
              <w:pStyle w:val="TableParagraph"/>
              <w:jc w:val="left"/>
              <w:rPr>
                <w:sz w:val="20"/>
              </w:rPr>
            </w:pPr>
          </w:p>
          <w:p>
            <w:pPr>
              <w:pStyle w:val="TableParagraph"/>
              <w:spacing w:before="7"/>
              <w:jc w:val="left"/>
              <w:rPr>
                <w:sz w:val="19"/>
              </w:rPr>
            </w:pPr>
          </w:p>
          <w:p>
            <w:pPr>
              <w:pStyle w:val="TableParagraph"/>
              <w:ind w:left="123"/>
              <w:jc w:val="left"/>
              <w:rPr>
                <w:sz w:val="18"/>
              </w:rPr>
            </w:pPr>
            <w:r>
              <w:rPr>
                <w:sz w:val="18"/>
              </w:rPr>
              <w:t>Papel y cartón</w:t>
            </w:r>
          </w:p>
        </w:tc>
        <w:tc>
          <w:tcPr>
            <w:tcW w:w="6644" w:type="dxa"/>
            <w:tcBorders>
              <w:top w:val="single" w:sz="4" w:space="0" w:color="000000"/>
              <w:bottom w:val="single" w:sz="4" w:space="0" w:color="000000"/>
            </w:tcBorders>
          </w:tcPr>
          <w:p>
            <w:pPr>
              <w:pStyle w:val="TableParagraph"/>
              <w:spacing w:before="87"/>
              <w:ind w:left="1346" w:right="3366"/>
              <w:jc w:val="left"/>
              <w:rPr>
                <w:sz w:val="18"/>
              </w:rPr>
            </w:pPr>
            <w:r>
              <w:rPr>
                <w:sz w:val="18"/>
              </w:rPr>
              <w:t>Diarios y revistas Embalajes de cartón Envases de cartón Hojas de publicidad</w:t>
            </w:r>
          </w:p>
          <w:p>
            <w:pPr>
              <w:pStyle w:val="TableParagraph"/>
              <w:spacing w:line="188" w:lineRule="exact" w:before="1"/>
              <w:ind w:left="1346"/>
              <w:jc w:val="left"/>
              <w:rPr>
                <w:sz w:val="18"/>
              </w:rPr>
            </w:pPr>
            <w:r>
              <w:rPr>
                <w:sz w:val="18"/>
              </w:rPr>
              <w:t>Papel de oficina</w:t>
            </w:r>
          </w:p>
        </w:tc>
      </w:tr>
      <w:tr>
        <w:trPr>
          <w:trHeight w:val="504" w:hRule="atLeast"/>
        </w:trPr>
        <w:tc>
          <w:tcPr>
            <w:tcW w:w="2810" w:type="dxa"/>
            <w:tcBorders>
              <w:top w:val="single" w:sz="4" w:space="0" w:color="000000"/>
              <w:bottom w:val="single" w:sz="4" w:space="0" w:color="000000"/>
            </w:tcBorders>
          </w:tcPr>
          <w:p>
            <w:pPr>
              <w:pStyle w:val="TableParagraph"/>
              <w:spacing w:before="146"/>
              <w:ind w:left="123"/>
              <w:jc w:val="left"/>
              <w:rPr>
                <w:sz w:val="18"/>
              </w:rPr>
            </w:pPr>
            <w:r>
              <w:rPr>
                <w:sz w:val="18"/>
              </w:rPr>
              <w:t>Vidrio</w:t>
            </w:r>
          </w:p>
        </w:tc>
        <w:tc>
          <w:tcPr>
            <w:tcW w:w="6644" w:type="dxa"/>
            <w:tcBorders>
              <w:top w:val="single" w:sz="4" w:space="0" w:color="000000"/>
              <w:bottom w:val="single" w:sz="4" w:space="0" w:color="000000"/>
            </w:tcBorders>
          </w:tcPr>
          <w:p>
            <w:pPr>
              <w:pStyle w:val="TableParagraph"/>
              <w:spacing w:line="206" w:lineRule="exact" w:before="93"/>
              <w:ind w:left="1346" w:right="4577"/>
              <w:jc w:val="left"/>
              <w:rPr>
                <w:sz w:val="18"/>
              </w:rPr>
            </w:pPr>
            <w:r>
              <w:rPr>
                <w:sz w:val="18"/>
              </w:rPr>
              <w:t>Botellas Botes</w:t>
            </w:r>
          </w:p>
        </w:tc>
      </w:tr>
      <w:tr>
        <w:trPr>
          <w:trHeight w:val="1033" w:hRule="atLeast"/>
        </w:trPr>
        <w:tc>
          <w:tcPr>
            <w:tcW w:w="2810" w:type="dxa"/>
            <w:tcBorders>
              <w:top w:val="single" w:sz="4" w:space="0" w:color="000000"/>
            </w:tcBorders>
          </w:tcPr>
          <w:p>
            <w:pPr>
              <w:pStyle w:val="TableParagraph"/>
              <w:spacing w:before="9"/>
              <w:jc w:val="left"/>
              <w:rPr>
                <w:sz w:val="35"/>
              </w:rPr>
            </w:pPr>
          </w:p>
          <w:p>
            <w:pPr>
              <w:pStyle w:val="TableParagraph"/>
              <w:ind w:left="123"/>
              <w:jc w:val="left"/>
              <w:rPr>
                <w:sz w:val="18"/>
              </w:rPr>
            </w:pPr>
            <w:r>
              <w:rPr>
                <w:sz w:val="18"/>
              </w:rPr>
              <w:t>Varios </w:t>
            </w:r>
            <w:r>
              <w:rPr>
                <w:sz w:val="18"/>
                <w:vertAlign w:val="superscript"/>
              </w:rPr>
              <w:t>(1)</w:t>
            </w:r>
          </w:p>
        </w:tc>
        <w:tc>
          <w:tcPr>
            <w:tcW w:w="6644" w:type="dxa"/>
            <w:tcBorders>
              <w:top w:val="single" w:sz="4" w:space="0" w:color="000000"/>
            </w:tcBorders>
          </w:tcPr>
          <w:p>
            <w:pPr>
              <w:pStyle w:val="TableParagraph"/>
              <w:ind w:left="1346" w:right="4627"/>
              <w:jc w:val="left"/>
              <w:rPr>
                <w:sz w:val="18"/>
              </w:rPr>
            </w:pPr>
            <w:r>
              <w:rPr>
                <w:sz w:val="18"/>
              </w:rPr>
              <w:t>Cenizas</w:t>
            </w:r>
            <w:r>
              <w:rPr>
                <w:w w:val="99"/>
                <w:sz w:val="18"/>
              </w:rPr>
              <w:t> </w:t>
            </w:r>
            <w:r>
              <w:rPr>
                <w:sz w:val="18"/>
              </w:rPr>
              <w:t>Cuero</w:t>
            </w:r>
          </w:p>
          <w:p>
            <w:pPr>
              <w:pStyle w:val="TableParagraph"/>
              <w:ind w:left="1346"/>
              <w:jc w:val="left"/>
              <w:rPr>
                <w:sz w:val="18"/>
              </w:rPr>
            </w:pPr>
            <w:r>
              <w:rPr>
                <w:sz w:val="18"/>
              </w:rPr>
              <w:t>Goma, caucho</w:t>
            </w:r>
          </w:p>
          <w:p>
            <w:pPr>
              <w:pStyle w:val="TableParagraph"/>
              <w:spacing w:line="206" w:lineRule="exact" w:before="2"/>
              <w:ind w:left="1346" w:right="4577"/>
              <w:jc w:val="left"/>
              <w:rPr>
                <w:sz w:val="18"/>
              </w:rPr>
            </w:pPr>
            <w:r>
              <w:rPr>
                <w:sz w:val="18"/>
              </w:rPr>
              <w:t>Maderas Pañales</w:t>
            </w:r>
          </w:p>
        </w:tc>
      </w:tr>
    </w:tbl>
    <w:p>
      <w:pPr>
        <w:tabs>
          <w:tab w:pos="576" w:val="left" w:leader="none"/>
        </w:tabs>
        <w:spacing w:before="26"/>
        <w:ind w:left="218" w:right="0" w:firstLine="0"/>
        <w:jc w:val="left"/>
        <w:rPr>
          <w:sz w:val="18"/>
        </w:rPr>
      </w:pPr>
      <w:r>
        <w:rPr>
          <w:position w:val="9"/>
          <w:sz w:val="12"/>
        </w:rPr>
        <w:t>(1)</w:t>
        <w:tab/>
      </w:r>
      <w:r>
        <w:rPr>
          <w:sz w:val="18"/>
        </w:rPr>
        <w:t>Cuando alguna fracción no se separa se deposita en la fracción</w:t>
      </w:r>
      <w:r>
        <w:rPr>
          <w:spacing w:val="-4"/>
          <w:sz w:val="18"/>
        </w:rPr>
        <w:t> </w:t>
      </w:r>
      <w:r>
        <w:rPr>
          <w:sz w:val="18"/>
        </w:rPr>
        <w:t>varios.</w:t>
      </w:r>
    </w:p>
    <w:p>
      <w:pPr>
        <w:spacing w:after="0"/>
        <w:jc w:val="left"/>
        <w:rPr>
          <w:sz w:val="18"/>
        </w:rPr>
        <w:sectPr>
          <w:pgSz w:w="11910" w:h="16840"/>
          <w:pgMar w:header="724" w:footer="636" w:top="1320" w:bottom="840" w:left="1200" w:right="740"/>
        </w:sectPr>
      </w:pPr>
    </w:p>
    <w:p>
      <w:pPr>
        <w:pStyle w:val="BodyText"/>
        <w:spacing w:before="91"/>
        <w:ind w:left="218" w:right="388"/>
        <w:jc w:val="both"/>
      </w:pPr>
      <w:r>
        <w:rPr>
          <w:b/>
        </w:rPr>
        <w:t>Residuos urbanos: </w:t>
      </w:r>
      <w:r>
        <w:rPr/>
        <w:t>(de acuerdo con la Ley 10/1998, de 21 de Abril 1998, de Residuos. Normas regula- doras de los residuos) los generados en los domicilios particulares, comercios, oficinas y servicios, así como todos aquellos que no tengan la calificación de peligrosos y que por su naturaleza o composición puedan asimilarse a los producidos en los anteriores lugares o actividades. Tendrán también la conside- ración de residuos urbanos los siguientes:</w:t>
      </w:r>
    </w:p>
    <w:p>
      <w:pPr>
        <w:pStyle w:val="ListParagraph"/>
        <w:numPr>
          <w:ilvl w:val="0"/>
          <w:numId w:val="114"/>
        </w:numPr>
        <w:tabs>
          <w:tab w:pos="1126" w:val="left" w:leader="none"/>
        </w:tabs>
        <w:spacing w:line="240" w:lineRule="auto" w:before="60" w:after="0"/>
        <w:ind w:left="1126" w:right="391" w:hanging="454"/>
        <w:jc w:val="both"/>
        <w:rPr>
          <w:sz w:val="20"/>
        </w:rPr>
      </w:pPr>
      <w:r>
        <w:rPr>
          <w:i/>
          <w:sz w:val="20"/>
        </w:rPr>
        <w:t>residuos </w:t>
      </w:r>
      <w:r>
        <w:rPr>
          <w:sz w:val="20"/>
        </w:rPr>
        <w:t>procedentes de la limpieza de vías públicas, zonas verdes, áreas recreativas y pla- yas;</w:t>
      </w:r>
    </w:p>
    <w:p>
      <w:pPr>
        <w:pStyle w:val="ListParagraph"/>
        <w:numPr>
          <w:ilvl w:val="0"/>
          <w:numId w:val="114"/>
        </w:numPr>
        <w:tabs>
          <w:tab w:pos="1126" w:val="left" w:leader="none"/>
        </w:tabs>
        <w:spacing w:line="240" w:lineRule="auto" w:before="60" w:after="0"/>
        <w:ind w:left="1126" w:right="0" w:hanging="454"/>
        <w:jc w:val="both"/>
        <w:rPr>
          <w:sz w:val="20"/>
        </w:rPr>
      </w:pPr>
      <w:r>
        <w:rPr>
          <w:sz w:val="20"/>
        </w:rPr>
        <w:t>animales domésticos muertos, así como muebles, enseres y vehículos</w:t>
      </w:r>
      <w:r>
        <w:rPr>
          <w:spacing w:val="-7"/>
          <w:sz w:val="20"/>
        </w:rPr>
        <w:t> </w:t>
      </w:r>
      <w:r>
        <w:rPr>
          <w:sz w:val="20"/>
        </w:rPr>
        <w:t>abandonados;</w:t>
      </w:r>
    </w:p>
    <w:p>
      <w:pPr>
        <w:pStyle w:val="ListParagraph"/>
        <w:numPr>
          <w:ilvl w:val="0"/>
          <w:numId w:val="114"/>
        </w:numPr>
        <w:tabs>
          <w:tab w:pos="1126" w:val="left" w:leader="none"/>
        </w:tabs>
        <w:spacing w:line="240" w:lineRule="auto" w:before="60" w:after="0"/>
        <w:ind w:left="1126" w:right="392" w:hanging="454"/>
        <w:jc w:val="both"/>
        <w:rPr>
          <w:sz w:val="20"/>
        </w:rPr>
      </w:pPr>
      <w:r>
        <w:rPr>
          <w:i/>
          <w:sz w:val="20"/>
        </w:rPr>
        <w:t>residuos </w:t>
      </w:r>
      <w:r>
        <w:rPr>
          <w:sz w:val="20"/>
        </w:rPr>
        <w:t>y escombros procedentes de obras menores de construcción y reparación domicilia- ria.</w:t>
      </w:r>
    </w:p>
    <w:p>
      <w:pPr>
        <w:pStyle w:val="BodyText"/>
        <w:spacing w:before="60"/>
        <w:ind w:left="218" w:right="389"/>
        <w:jc w:val="both"/>
      </w:pPr>
      <w:r>
        <w:rPr>
          <w:b/>
        </w:rPr>
        <w:t>Servicio de recogida</w:t>
      </w:r>
      <w:r>
        <w:rPr/>
        <w:t>: servicio encargado de recoger los </w:t>
      </w:r>
      <w:r>
        <w:rPr>
          <w:i/>
        </w:rPr>
        <w:t>residuos </w:t>
      </w:r>
      <w:r>
        <w:rPr/>
        <w:t>generados en los edificios y transpor- tarlos hasta las instalaciones de reciclaje, valorización o eliminación. Este servicio lo presta habitualmen- te la administración municipal, bien directamente bien a través de empresas contratadas; aunque en algunos casos lo hace una agrupación de municipios o una administración supramunicipal.</w:t>
      </w:r>
    </w:p>
    <w:p>
      <w:pPr>
        <w:spacing w:after="0"/>
        <w:jc w:val="both"/>
        <w:sectPr>
          <w:pgSz w:w="11910" w:h="16840"/>
          <w:pgMar w:header="724" w:footer="636" w:top="1320" w:bottom="840" w:left="1200" w:right="740"/>
        </w:sectPr>
      </w:pPr>
    </w:p>
    <w:p>
      <w:pPr>
        <w:pStyle w:val="BodyText"/>
        <w:spacing w:before="1"/>
        <w:rPr>
          <w:sz w:val="28"/>
        </w:rPr>
      </w:pPr>
    </w:p>
    <w:p>
      <w:pPr>
        <w:pStyle w:val="Heading2"/>
        <w:tabs>
          <w:tab w:pos="2004" w:val="left" w:leader="none"/>
        </w:tabs>
        <w:spacing w:before="90"/>
      </w:pPr>
      <w:r>
        <w:rPr/>
        <w:t>Apéndice</w:t>
      </w:r>
      <w:r>
        <w:rPr>
          <w:spacing w:val="-2"/>
        </w:rPr>
        <w:t> </w:t>
      </w:r>
      <w:r>
        <w:rPr/>
        <w:t>B</w:t>
        <w:tab/>
        <w:t>Notación</w:t>
      </w:r>
    </w:p>
    <w:p>
      <w:pPr>
        <w:pStyle w:val="BodyText"/>
        <w:tabs>
          <w:tab w:pos="672" w:val="left" w:leader="none"/>
        </w:tabs>
        <w:spacing w:before="158"/>
        <w:ind w:left="672" w:right="398" w:hanging="454"/>
      </w:pPr>
      <w:r>
        <w:rPr/>
        <w:t>1</w:t>
        <w:tab/>
        <w:t>En este apéndice se recogen, ordenados alfabéticamente, los símbolos correspondientes a las magnitudes que se utilizan en esta sección del DB junto con sus</w:t>
      </w:r>
      <w:r>
        <w:rPr>
          <w:spacing w:val="-7"/>
        </w:rPr>
        <w:t> </w:t>
      </w:r>
      <w:r>
        <w:rPr/>
        <w:t>unidades.</w:t>
      </w:r>
    </w:p>
    <w:p>
      <w:pPr>
        <w:pStyle w:val="BodyText"/>
        <w:tabs>
          <w:tab w:pos="1290" w:val="left" w:leader="none"/>
        </w:tabs>
        <w:spacing w:line="302" w:lineRule="auto" w:before="60"/>
        <w:ind w:left="674" w:right="2954"/>
      </w:pPr>
      <w:r>
        <w:rPr/>
        <w:t>C:</w:t>
        <w:tab/>
        <w:t>capacidad de almacenamiento en la vivienda por fracción, [dm</w:t>
      </w:r>
      <w:r>
        <w:rPr>
          <w:vertAlign w:val="superscript"/>
        </w:rPr>
        <w:t>3</w:t>
      </w:r>
      <w:r>
        <w:rPr>
          <w:vertAlign w:val="baseline"/>
        </w:rPr>
        <w:t>]. CA:</w:t>
        <w:tab/>
        <w:t>coeficiente de almacenamiento,</w:t>
      </w:r>
      <w:r>
        <w:rPr>
          <w:spacing w:val="-3"/>
          <w:vertAlign w:val="baseline"/>
        </w:rPr>
        <w:t> </w:t>
      </w:r>
      <w:r>
        <w:rPr>
          <w:vertAlign w:val="baseline"/>
        </w:rPr>
        <w:t>[dm</w:t>
      </w:r>
      <w:r>
        <w:rPr>
          <w:vertAlign w:val="superscript"/>
        </w:rPr>
        <w:t>3</w:t>
      </w:r>
      <w:r>
        <w:rPr>
          <w:vertAlign w:val="baseline"/>
        </w:rPr>
        <w:t>/persona].</w:t>
      </w:r>
    </w:p>
    <w:p>
      <w:pPr>
        <w:pStyle w:val="BodyText"/>
        <w:tabs>
          <w:tab w:pos="1290" w:val="left" w:leader="none"/>
        </w:tabs>
        <w:spacing w:line="302" w:lineRule="auto" w:before="1"/>
        <w:ind w:left="674" w:right="5549"/>
      </w:pPr>
      <w:r>
        <w:rPr/>
        <w:t>CC:</w:t>
        <w:tab/>
        <w:t>capacidad de cada contenedor, [l]. C</w:t>
      </w:r>
      <w:r>
        <w:rPr>
          <w:vertAlign w:val="subscript"/>
        </w:rPr>
        <w:t>f</w:t>
      </w:r>
      <w:r>
        <w:rPr>
          <w:vertAlign w:val="baseline"/>
        </w:rPr>
        <w:t>:</w:t>
        <w:tab/>
        <w:t>factor de contenedor adimensional. F</w:t>
      </w:r>
      <w:r>
        <w:rPr>
          <w:vertAlign w:val="subscript"/>
        </w:rPr>
        <w:t>f</w:t>
      </w:r>
      <w:r>
        <w:rPr>
          <w:vertAlign w:val="baseline"/>
        </w:rPr>
        <w:t>:</w:t>
        <w:tab/>
        <w:t>factor de fracción</w:t>
      </w:r>
      <w:r>
        <w:rPr>
          <w:spacing w:val="-1"/>
          <w:vertAlign w:val="baseline"/>
        </w:rPr>
        <w:t> </w:t>
      </w:r>
      <w:r>
        <w:rPr>
          <w:vertAlign w:val="baseline"/>
        </w:rPr>
        <w:t>adimensional.</w:t>
      </w:r>
    </w:p>
    <w:p>
      <w:pPr>
        <w:pStyle w:val="BodyText"/>
        <w:tabs>
          <w:tab w:pos="1290" w:val="left" w:leader="none"/>
        </w:tabs>
        <w:spacing w:line="302" w:lineRule="auto" w:before="1"/>
        <w:ind w:left="674" w:right="2632"/>
      </w:pPr>
      <w:r>
        <w:rPr/>
        <w:t>G</w:t>
      </w:r>
      <w:r>
        <w:rPr>
          <w:vertAlign w:val="subscript"/>
        </w:rPr>
        <w:t>f</w:t>
      </w:r>
      <w:r>
        <w:rPr>
          <w:vertAlign w:val="baseline"/>
        </w:rPr>
        <w:t>:volumen generado de la fracción por persona y día, [dm</w:t>
      </w:r>
      <w:r>
        <w:rPr>
          <w:vertAlign w:val="superscript"/>
        </w:rPr>
        <w:t>3</w:t>
      </w:r>
      <w:r>
        <w:rPr>
          <w:vertAlign w:val="baseline"/>
        </w:rPr>
        <w:t>/(persona·día)]. M</w:t>
      </w:r>
      <w:r>
        <w:rPr>
          <w:vertAlign w:val="subscript"/>
        </w:rPr>
        <w:t>f</w:t>
      </w:r>
      <w:r>
        <w:rPr>
          <w:vertAlign w:val="baseline"/>
        </w:rPr>
        <w:t>:</w:t>
        <w:tab/>
        <w:t>factor de mayoración</w:t>
      </w:r>
      <w:r>
        <w:rPr>
          <w:spacing w:val="-1"/>
          <w:vertAlign w:val="baseline"/>
        </w:rPr>
        <w:t> </w:t>
      </w:r>
      <w:r>
        <w:rPr>
          <w:vertAlign w:val="baseline"/>
        </w:rPr>
        <w:t>adimensional.</w:t>
      </w:r>
    </w:p>
    <w:p>
      <w:pPr>
        <w:pStyle w:val="BodyText"/>
        <w:tabs>
          <w:tab w:pos="1290" w:val="left" w:leader="none"/>
        </w:tabs>
        <w:spacing w:line="302" w:lineRule="auto"/>
        <w:ind w:left="674" w:right="3570"/>
      </w:pPr>
      <w:r>
        <w:rPr/>
        <w:t>P:</w:t>
        <w:tab/>
        <w:t>número estimado de ocupantes habituales del edificio. P</w:t>
      </w:r>
      <w:r>
        <w:rPr>
          <w:vertAlign w:val="subscript"/>
        </w:rPr>
        <w:t>v</w:t>
      </w:r>
      <w:r>
        <w:rPr>
          <w:vertAlign w:val="baseline"/>
        </w:rPr>
        <w:t>:</w:t>
        <w:tab/>
        <w:t>número estimado de ocupantes habituales de la </w:t>
      </w:r>
      <w:r>
        <w:rPr>
          <w:spacing w:val="-3"/>
          <w:vertAlign w:val="baseline"/>
        </w:rPr>
        <w:t>vivienda. </w:t>
      </w:r>
      <w:r>
        <w:rPr>
          <w:vertAlign w:val="baseline"/>
        </w:rPr>
        <w:t>S:</w:t>
        <w:tab/>
        <w:t>superficie útil,</w:t>
      </w:r>
      <w:r>
        <w:rPr>
          <w:spacing w:val="-2"/>
          <w:vertAlign w:val="baseline"/>
        </w:rPr>
        <w:t> </w:t>
      </w:r>
      <w:r>
        <w:rPr>
          <w:vertAlign w:val="baseline"/>
        </w:rPr>
        <w:t>[m</w:t>
      </w:r>
      <w:r>
        <w:rPr>
          <w:vertAlign w:val="superscript"/>
        </w:rPr>
        <w:t>2</w:t>
      </w:r>
      <w:r>
        <w:rPr>
          <w:vertAlign w:val="baseline"/>
        </w:rPr>
        <w:t>].</w:t>
      </w:r>
    </w:p>
    <w:p>
      <w:pPr>
        <w:pStyle w:val="BodyText"/>
        <w:tabs>
          <w:tab w:pos="1290" w:val="left" w:leader="none"/>
        </w:tabs>
        <w:spacing w:line="302" w:lineRule="auto"/>
        <w:ind w:left="674" w:right="575"/>
      </w:pPr>
      <w:r>
        <w:rPr/>
        <w:t>SC:</w:t>
        <w:tab/>
        <w:t>superficie necesaria para el almacenamiento y maniobra de un contenedor de edificio, [m</w:t>
      </w:r>
      <w:r>
        <w:rPr>
          <w:vertAlign w:val="superscript"/>
        </w:rPr>
        <w:t>2</w:t>
      </w:r>
      <w:r>
        <w:rPr>
          <w:vertAlign w:val="baseline"/>
        </w:rPr>
        <w:t>]. S</w:t>
      </w:r>
      <w:r>
        <w:rPr>
          <w:vertAlign w:val="subscript"/>
        </w:rPr>
        <w:t>R</w:t>
      </w:r>
      <w:r>
        <w:rPr>
          <w:vertAlign w:val="baseline"/>
        </w:rPr>
        <w:t>:</w:t>
        <w:tab/>
        <w:t>superficie de reserva,</w:t>
      </w:r>
      <w:r>
        <w:rPr>
          <w:spacing w:val="-4"/>
          <w:vertAlign w:val="baseline"/>
        </w:rPr>
        <w:t> </w:t>
      </w:r>
      <w:r>
        <w:rPr>
          <w:vertAlign w:val="baseline"/>
        </w:rPr>
        <w:t>[m</w:t>
      </w:r>
      <w:r>
        <w:rPr>
          <w:vertAlign w:val="superscript"/>
        </w:rPr>
        <w:t>2</w:t>
      </w:r>
      <w:r>
        <w:rPr>
          <w:vertAlign w:val="baseline"/>
        </w:rPr>
        <w:t>].</w:t>
      </w:r>
    </w:p>
    <w:p>
      <w:pPr>
        <w:pStyle w:val="BodyText"/>
        <w:tabs>
          <w:tab w:pos="1290" w:val="left" w:leader="none"/>
        </w:tabs>
        <w:ind w:left="674"/>
      </w:pPr>
      <w:r>
        <w:rPr/>
        <w:t>T</w:t>
      </w:r>
      <w:r>
        <w:rPr>
          <w:vertAlign w:val="subscript"/>
        </w:rPr>
        <w:t>f</w:t>
      </w:r>
      <w:r>
        <w:rPr>
          <w:vertAlign w:val="baseline"/>
        </w:rPr>
        <w:t>:</w:t>
        <w:tab/>
        <w:t>período de recogida de la fracción,</w:t>
      </w:r>
      <w:r>
        <w:rPr>
          <w:spacing w:val="-3"/>
          <w:vertAlign w:val="baseline"/>
        </w:rPr>
        <w:t> </w:t>
      </w:r>
      <w:r>
        <w:rPr>
          <w:vertAlign w:val="baseline"/>
        </w:rPr>
        <w:t>[día].</w:t>
      </w:r>
    </w:p>
    <w:p>
      <w:pPr>
        <w:spacing w:after="0"/>
        <w:sectPr>
          <w:pgSz w:w="11910" w:h="16840"/>
          <w:pgMar w:header="724" w:footer="636" w:top="1320" w:bottom="840" w:left="1200" w:right="740"/>
        </w:sectPr>
      </w:pPr>
    </w:p>
    <w:p>
      <w:pPr>
        <w:pStyle w:val="Heading1"/>
        <w:spacing w:before="91"/>
      </w:pPr>
      <w:bookmarkStart w:name="DB HS3 2017 con comentarios jun 2018" w:id="4"/>
      <w:bookmarkEnd w:id="4"/>
      <w:r>
        <w:rPr>
          <w:b w:val="0"/>
        </w:rPr>
      </w:r>
      <w:r>
        <w:rPr/>
        <w:t>Sección HS 3</w:t>
      </w:r>
    </w:p>
    <w:p>
      <w:pPr>
        <w:spacing w:line="368" w:lineRule="exact" w:before="0"/>
        <w:ind w:left="218" w:right="0" w:firstLine="0"/>
        <w:jc w:val="left"/>
        <w:rPr>
          <w:b/>
          <w:sz w:val="32"/>
        </w:rPr>
      </w:pPr>
      <w:r>
        <w:rPr>
          <w:b/>
          <w:sz w:val="32"/>
        </w:rPr>
        <w:t>Calidad del aire interior</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53"/>
        </w:rPr>
      </w:pPr>
    </w:p>
    <w:p>
      <w:pPr>
        <w:pStyle w:val="Heading2"/>
        <w:numPr>
          <w:ilvl w:val="0"/>
          <w:numId w:val="115"/>
        </w:numPr>
        <w:tabs>
          <w:tab w:pos="843" w:val="left" w:leader="none"/>
        </w:tabs>
        <w:spacing w:line="240" w:lineRule="auto" w:before="0" w:after="0"/>
        <w:ind w:left="842" w:right="0" w:hanging="625"/>
        <w:jc w:val="both"/>
      </w:pPr>
      <w:r>
        <w:rPr/>
        <w:t>Generalidades</w:t>
      </w:r>
    </w:p>
    <w:p>
      <w:pPr>
        <w:pStyle w:val="BodyText"/>
        <w:spacing w:before="2"/>
        <w:rPr>
          <w:b/>
          <w:sz w:val="38"/>
        </w:rPr>
      </w:pPr>
    </w:p>
    <w:p>
      <w:pPr>
        <w:pStyle w:val="Heading3"/>
        <w:numPr>
          <w:ilvl w:val="1"/>
          <w:numId w:val="115"/>
        </w:numPr>
        <w:tabs>
          <w:tab w:pos="672" w:val="left" w:leader="none"/>
        </w:tabs>
        <w:spacing w:line="240" w:lineRule="auto" w:before="1" w:after="0"/>
        <w:ind w:left="671" w:right="0" w:hanging="454"/>
        <w:jc w:val="both"/>
      </w:pPr>
      <w:r>
        <w:rPr/>
        <w:t>Ámbito de</w:t>
      </w:r>
      <w:r>
        <w:rPr>
          <w:spacing w:val="-2"/>
        </w:rPr>
        <w:t> </w:t>
      </w:r>
      <w:r>
        <w:rPr/>
        <w:t>aplicación</w:t>
      </w:r>
    </w:p>
    <w:p>
      <w:pPr>
        <w:pStyle w:val="ListParagraph"/>
        <w:numPr>
          <w:ilvl w:val="0"/>
          <w:numId w:val="116"/>
        </w:numPr>
        <w:tabs>
          <w:tab w:pos="579" w:val="left" w:leader="none"/>
        </w:tabs>
        <w:spacing w:line="240" w:lineRule="auto" w:before="98" w:after="0"/>
        <w:ind w:left="575" w:right="389" w:hanging="358"/>
        <w:jc w:val="both"/>
        <w:rPr>
          <w:sz w:val="20"/>
        </w:rPr>
      </w:pPr>
      <w:r>
        <w:rPr>
          <w:sz w:val="20"/>
        </w:rPr>
        <w:t>Esta sección se aplica, en los edificios de viviendas, al interior de las mismas, los almacenes de resi- duos, los trasteros, los aparcamientos y garajes; y, en los edificios de cualquier otro uso, a los apar- camientos y los garajes. Se considera que forman parte de los aparcamientos y garajes las zonas de circulación de los</w:t>
      </w:r>
      <w:r>
        <w:rPr>
          <w:spacing w:val="-4"/>
          <w:sz w:val="20"/>
        </w:rPr>
        <w:t> </w:t>
      </w:r>
      <w:r>
        <w:rPr>
          <w:sz w:val="20"/>
        </w:rPr>
        <w:t>vehículos.</w:t>
      </w:r>
    </w:p>
    <w:p>
      <w:pPr>
        <w:pStyle w:val="BodyText"/>
        <w:rPr>
          <w:sz w:val="22"/>
        </w:rPr>
      </w:pPr>
    </w:p>
    <w:p>
      <w:pPr>
        <w:spacing w:before="157"/>
        <w:ind w:left="1790" w:right="418" w:firstLine="0"/>
        <w:jc w:val="left"/>
        <w:rPr>
          <w:sz w:val="16"/>
        </w:rPr>
      </w:pPr>
      <w:r>
        <w:rPr/>
        <w:pict>
          <v:line style="position:absolute;mso-position-horizontal-relative:page;mso-position-vertical-relative:paragraph;z-index:251826176" from="144.119995pt,4.974215pt" to="144.119995pt,29.394215pt" stroked="true" strokeweight=".48pt" strokecolor="#000000">
            <v:stroke dashstyle="solid"/>
            <w10:wrap type="none"/>
          </v:line>
        </w:pict>
      </w:r>
      <w:r>
        <w:rPr>
          <w:sz w:val="16"/>
        </w:rPr>
        <w:t>Se consideran incluidos en el ámbito de aplicación los edificios de viviendas de cualquier tipo, incluso las viviendas aisladas, en hilera o pareadas.</w:t>
      </w:r>
    </w:p>
    <w:p>
      <w:pPr>
        <w:pStyle w:val="BodyText"/>
        <w:spacing w:before="4"/>
        <w:rPr>
          <w:sz w:val="22"/>
        </w:rPr>
      </w:pPr>
    </w:p>
    <w:p>
      <w:pPr>
        <w:pStyle w:val="ListParagraph"/>
        <w:numPr>
          <w:ilvl w:val="0"/>
          <w:numId w:val="116"/>
        </w:numPr>
        <w:tabs>
          <w:tab w:pos="578" w:val="left" w:leader="none"/>
          <w:tab w:pos="579" w:val="left" w:leader="none"/>
        </w:tabs>
        <w:spacing w:line="240" w:lineRule="auto" w:before="94" w:after="0"/>
        <w:ind w:left="575" w:right="392" w:hanging="358"/>
        <w:jc w:val="left"/>
        <w:rPr>
          <w:sz w:val="20"/>
        </w:rPr>
      </w:pPr>
      <w:r>
        <w:rPr>
          <w:sz w:val="20"/>
        </w:rPr>
        <w:t>Para </w:t>
      </w:r>
      <w:r>
        <w:rPr>
          <w:i/>
          <w:sz w:val="20"/>
        </w:rPr>
        <w:t>locales </w:t>
      </w:r>
      <w:r>
        <w:rPr>
          <w:sz w:val="20"/>
        </w:rPr>
        <w:t>de cualquier otro tipo se considera que se cumplen las exigencias básicas si se obser- van las condiciones establecidas en el</w:t>
      </w:r>
      <w:r>
        <w:rPr>
          <w:spacing w:val="-2"/>
          <w:sz w:val="20"/>
        </w:rPr>
        <w:t> </w:t>
      </w:r>
      <w:r>
        <w:rPr>
          <w:sz w:val="20"/>
        </w:rPr>
        <w:t>RITE.</w:t>
      </w:r>
    </w:p>
    <w:p>
      <w:pPr>
        <w:pStyle w:val="BodyText"/>
        <w:spacing w:before="8"/>
        <w:rPr>
          <w:sz w:val="29"/>
        </w:rPr>
      </w:pPr>
    </w:p>
    <w:p>
      <w:pPr>
        <w:pStyle w:val="Heading3"/>
        <w:numPr>
          <w:ilvl w:val="1"/>
          <w:numId w:val="115"/>
        </w:numPr>
        <w:tabs>
          <w:tab w:pos="672" w:val="left" w:leader="none"/>
        </w:tabs>
        <w:spacing w:line="240" w:lineRule="auto" w:before="0" w:after="0"/>
        <w:ind w:left="671" w:right="0" w:hanging="454"/>
        <w:jc w:val="left"/>
      </w:pPr>
      <w:r>
        <w:rPr/>
        <w:t>Procedimiento de</w:t>
      </w:r>
      <w:r>
        <w:rPr>
          <w:spacing w:val="-1"/>
        </w:rPr>
        <w:t> </w:t>
      </w:r>
      <w:r>
        <w:rPr/>
        <w:t>verificación</w:t>
      </w:r>
    </w:p>
    <w:p>
      <w:pPr>
        <w:pStyle w:val="ListParagraph"/>
        <w:numPr>
          <w:ilvl w:val="0"/>
          <w:numId w:val="117"/>
        </w:numPr>
        <w:tabs>
          <w:tab w:pos="578" w:val="left" w:leader="none"/>
          <w:tab w:pos="579" w:val="left" w:leader="none"/>
        </w:tabs>
        <w:spacing w:line="240" w:lineRule="auto" w:before="98" w:after="0"/>
        <w:ind w:left="575" w:right="391" w:hanging="358"/>
        <w:jc w:val="left"/>
        <w:rPr>
          <w:sz w:val="20"/>
        </w:rPr>
      </w:pPr>
      <w:r>
        <w:rPr>
          <w:sz w:val="20"/>
        </w:rPr>
        <w:t>Para la aplicación de esta sección debe seguirse la secuencia de verificaciones que se expone a continuación.</w:t>
      </w:r>
    </w:p>
    <w:p>
      <w:pPr>
        <w:pStyle w:val="ListParagraph"/>
        <w:numPr>
          <w:ilvl w:val="0"/>
          <w:numId w:val="117"/>
        </w:numPr>
        <w:tabs>
          <w:tab w:pos="578" w:val="left" w:leader="none"/>
          <w:tab w:pos="579" w:val="left" w:leader="none"/>
        </w:tabs>
        <w:spacing w:line="240" w:lineRule="auto" w:before="60" w:after="0"/>
        <w:ind w:left="578" w:right="0" w:hanging="361"/>
        <w:jc w:val="left"/>
        <w:rPr>
          <w:sz w:val="20"/>
        </w:rPr>
      </w:pPr>
      <w:r>
        <w:rPr>
          <w:sz w:val="20"/>
        </w:rPr>
        <w:t>Cumplimiento de las condiciones establecidas en el apartado</w:t>
      </w:r>
      <w:r>
        <w:rPr>
          <w:spacing w:val="-7"/>
          <w:sz w:val="20"/>
        </w:rPr>
        <w:t> </w:t>
      </w:r>
      <w:r>
        <w:rPr>
          <w:sz w:val="20"/>
        </w:rPr>
        <w:t>2.</w:t>
      </w:r>
    </w:p>
    <w:p>
      <w:pPr>
        <w:pStyle w:val="ListParagraph"/>
        <w:numPr>
          <w:ilvl w:val="0"/>
          <w:numId w:val="117"/>
        </w:numPr>
        <w:tabs>
          <w:tab w:pos="578" w:val="left" w:leader="none"/>
          <w:tab w:pos="579" w:val="left" w:leader="none"/>
        </w:tabs>
        <w:spacing w:line="240" w:lineRule="auto" w:before="61" w:after="0"/>
        <w:ind w:left="578" w:right="0" w:hanging="361"/>
        <w:jc w:val="left"/>
        <w:rPr>
          <w:sz w:val="20"/>
        </w:rPr>
      </w:pPr>
      <w:r>
        <w:rPr>
          <w:sz w:val="20"/>
        </w:rPr>
        <w:t>Cumplimiento de las condiciones de diseño del sistema de ventilación del apartado</w:t>
      </w:r>
      <w:r>
        <w:rPr>
          <w:spacing w:val="-11"/>
          <w:sz w:val="20"/>
        </w:rPr>
        <w:t> </w:t>
      </w:r>
      <w:r>
        <w:rPr>
          <w:sz w:val="20"/>
        </w:rPr>
        <w:t>3:</w:t>
      </w:r>
    </w:p>
    <w:p>
      <w:pPr>
        <w:pStyle w:val="ListParagraph"/>
        <w:numPr>
          <w:ilvl w:val="1"/>
          <w:numId w:val="117"/>
        </w:numPr>
        <w:tabs>
          <w:tab w:pos="940" w:val="left" w:leader="none"/>
        </w:tabs>
        <w:spacing w:line="240" w:lineRule="auto" w:before="59" w:after="0"/>
        <w:ind w:left="938" w:right="391" w:hanging="363"/>
        <w:jc w:val="left"/>
        <w:rPr>
          <w:sz w:val="20"/>
        </w:rPr>
      </w:pPr>
      <w:r>
        <w:rPr>
          <w:sz w:val="20"/>
        </w:rPr>
        <w:t>para cada tipo de </w:t>
      </w:r>
      <w:r>
        <w:rPr>
          <w:i/>
          <w:sz w:val="20"/>
        </w:rPr>
        <w:t>local</w:t>
      </w:r>
      <w:r>
        <w:rPr>
          <w:sz w:val="20"/>
        </w:rPr>
        <w:t>, el tipo de ventilación y las condiciones relativas a los medios de ventila- ción, ya sea natural, mecánica o</w:t>
      </w:r>
      <w:r>
        <w:rPr>
          <w:spacing w:val="-2"/>
          <w:sz w:val="20"/>
        </w:rPr>
        <w:t> </w:t>
      </w:r>
      <w:r>
        <w:rPr>
          <w:sz w:val="20"/>
        </w:rPr>
        <w:t>híbrida;</w:t>
      </w:r>
    </w:p>
    <w:p>
      <w:pPr>
        <w:pStyle w:val="ListParagraph"/>
        <w:numPr>
          <w:ilvl w:val="1"/>
          <w:numId w:val="117"/>
        </w:numPr>
        <w:tabs>
          <w:tab w:pos="939" w:val="left" w:leader="none"/>
        </w:tabs>
        <w:spacing w:line="240" w:lineRule="auto" w:before="59" w:after="0"/>
        <w:ind w:left="938" w:right="0" w:hanging="363"/>
        <w:jc w:val="left"/>
        <w:rPr>
          <w:sz w:val="20"/>
        </w:rPr>
      </w:pPr>
      <w:r>
        <w:rPr>
          <w:sz w:val="20"/>
        </w:rPr>
        <w:t>las condiciones relativas a los elementos constructivos</w:t>
      </w:r>
      <w:r>
        <w:rPr>
          <w:spacing w:val="-3"/>
          <w:sz w:val="20"/>
        </w:rPr>
        <w:t> </w:t>
      </w:r>
      <w:r>
        <w:rPr>
          <w:sz w:val="20"/>
        </w:rPr>
        <w:t>siguientes:</w:t>
      </w:r>
    </w:p>
    <w:p>
      <w:pPr>
        <w:pStyle w:val="ListParagraph"/>
        <w:numPr>
          <w:ilvl w:val="2"/>
          <w:numId w:val="117"/>
        </w:numPr>
        <w:tabs>
          <w:tab w:pos="1297" w:val="left" w:leader="none"/>
          <w:tab w:pos="1298" w:val="left" w:leader="none"/>
        </w:tabs>
        <w:spacing w:line="240" w:lineRule="auto" w:before="61" w:after="0"/>
        <w:ind w:left="1297" w:right="0" w:hanging="415"/>
        <w:jc w:val="left"/>
        <w:rPr>
          <w:sz w:val="20"/>
        </w:rPr>
      </w:pPr>
      <w:r>
        <w:rPr>
          <w:sz w:val="20"/>
        </w:rPr>
        <w:t>aberturas y bocas de</w:t>
      </w:r>
      <w:r>
        <w:rPr>
          <w:spacing w:val="-1"/>
          <w:sz w:val="20"/>
        </w:rPr>
        <w:t> </w:t>
      </w:r>
      <w:r>
        <w:rPr>
          <w:sz w:val="20"/>
        </w:rPr>
        <w:t>ventilación;</w:t>
      </w:r>
    </w:p>
    <w:p>
      <w:pPr>
        <w:pStyle w:val="ListParagraph"/>
        <w:numPr>
          <w:ilvl w:val="2"/>
          <w:numId w:val="117"/>
        </w:numPr>
        <w:tabs>
          <w:tab w:pos="1298" w:val="left" w:leader="none"/>
          <w:tab w:pos="1299" w:val="left" w:leader="none"/>
        </w:tabs>
        <w:spacing w:line="240" w:lineRule="auto" w:before="60" w:after="0"/>
        <w:ind w:left="1298" w:right="0" w:hanging="439"/>
        <w:jc w:val="left"/>
        <w:rPr>
          <w:sz w:val="20"/>
        </w:rPr>
      </w:pPr>
      <w:r>
        <w:rPr>
          <w:sz w:val="20"/>
        </w:rPr>
        <w:t>conductos de</w:t>
      </w:r>
      <w:r>
        <w:rPr>
          <w:spacing w:val="-3"/>
          <w:sz w:val="20"/>
        </w:rPr>
        <w:t> </w:t>
      </w:r>
      <w:r>
        <w:rPr>
          <w:sz w:val="20"/>
        </w:rPr>
        <w:t>admisión;</w:t>
      </w:r>
    </w:p>
    <w:p>
      <w:pPr>
        <w:pStyle w:val="ListParagraph"/>
        <w:numPr>
          <w:ilvl w:val="2"/>
          <w:numId w:val="117"/>
        </w:numPr>
        <w:tabs>
          <w:tab w:pos="1297" w:val="left" w:leader="none"/>
          <w:tab w:pos="1298" w:val="left" w:leader="none"/>
        </w:tabs>
        <w:spacing w:line="240" w:lineRule="auto" w:before="59" w:after="0"/>
        <w:ind w:left="1297" w:right="0" w:hanging="460"/>
        <w:jc w:val="left"/>
        <w:rPr>
          <w:sz w:val="20"/>
        </w:rPr>
      </w:pPr>
      <w:r>
        <w:rPr>
          <w:sz w:val="20"/>
        </w:rPr>
        <w:t>conductos de extracción para ventilación</w:t>
      </w:r>
      <w:r>
        <w:rPr>
          <w:spacing w:val="-6"/>
          <w:sz w:val="20"/>
        </w:rPr>
        <w:t> </w:t>
      </w:r>
      <w:r>
        <w:rPr>
          <w:sz w:val="20"/>
        </w:rPr>
        <w:t>híbrida;</w:t>
      </w:r>
    </w:p>
    <w:p>
      <w:pPr>
        <w:pStyle w:val="ListParagraph"/>
        <w:numPr>
          <w:ilvl w:val="2"/>
          <w:numId w:val="117"/>
        </w:numPr>
        <w:tabs>
          <w:tab w:pos="1298" w:val="left" w:leader="none"/>
          <w:tab w:pos="1299" w:val="left" w:leader="none"/>
        </w:tabs>
        <w:spacing w:line="240" w:lineRule="auto" w:before="61" w:after="0"/>
        <w:ind w:left="1298" w:right="0" w:hanging="467"/>
        <w:jc w:val="left"/>
        <w:rPr>
          <w:sz w:val="20"/>
        </w:rPr>
      </w:pPr>
      <w:r>
        <w:rPr>
          <w:i/>
          <w:sz w:val="20"/>
        </w:rPr>
        <w:t>conductos de extracción </w:t>
      </w:r>
      <w:r>
        <w:rPr>
          <w:sz w:val="20"/>
        </w:rPr>
        <w:t>para ventilación</w:t>
      </w:r>
      <w:r>
        <w:rPr>
          <w:spacing w:val="-5"/>
          <w:sz w:val="20"/>
        </w:rPr>
        <w:t> </w:t>
      </w:r>
      <w:r>
        <w:rPr>
          <w:sz w:val="20"/>
        </w:rPr>
        <w:t>mecánica;</w:t>
      </w:r>
    </w:p>
    <w:p>
      <w:pPr>
        <w:pStyle w:val="ListParagraph"/>
        <w:numPr>
          <w:ilvl w:val="2"/>
          <w:numId w:val="117"/>
        </w:numPr>
        <w:tabs>
          <w:tab w:pos="1298" w:val="left" w:leader="none"/>
          <w:tab w:pos="1299" w:val="left" w:leader="none"/>
        </w:tabs>
        <w:spacing w:line="240" w:lineRule="auto" w:before="60" w:after="0"/>
        <w:ind w:left="1298" w:right="0" w:hanging="444"/>
        <w:jc w:val="left"/>
        <w:rPr>
          <w:sz w:val="20"/>
        </w:rPr>
      </w:pPr>
      <w:r>
        <w:rPr>
          <w:sz w:val="20"/>
        </w:rPr>
        <w:t>aspiradores híbridos, aspiradores mecánicos y</w:t>
      </w:r>
      <w:r>
        <w:rPr>
          <w:spacing w:val="-5"/>
          <w:sz w:val="20"/>
        </w:rPr>
        <w:t> </w:t>
      </w:r>
      <w:r>
        <w:rPr>
          <w:sz w:val="20"/>
        </w:rPr>
        <w:t>extractores;</w:t>
      </w:r>
    </w:p>
    <w:p>
      <w:pPr>
        <w:pStyle w:val="ListParagraph"/>
        <w:numPr>
          <w:ilvl w:val="2"/>
          <w:numId w:val="117"/>
        </w:numPr>
        <w:tabs>
          <w:tab w:pos="1298" w:val="left" w:leader="none"/>
          <w:tab w:pos="1299" w:val="left" w:leader="none"/>
        </w:tabs>
        <w:spacing w:line="240" w:lineRule="auto" w:before="59" w:after="0"/>
        <w:ind w:left="1298" w:right="0" w:hanging="467"/>
        <w:jc w:val="left"/>
        <w:rPr>
          <w:sz w:val="20"/>
        </w:rPr>
      </w:pPr>
      <w:r>
        <w:rPr>
          <w:sz w:val="20"/>
        </w:rPr>
        <w:t>ventanas y puertas</w:t>
      </w:r>
      <w:r>
        <w:rPr>
          <w:spacing w:val="-1"/>
          <w:sz w:val="20"/>
        </w:rPr>
        <w:t> </w:t>
      </w:r>
      <w:r>
        <w:rPr>
          <w:sz w:val="20"/>
        </w:rPr>
        <w:t>exteriores.</w:t>
      </w:r>
    </w:p>
    <w:p>
      <w:pPr>
        <w:pStyle w:val="ListParagraph"/>
        <w:numPr>
          <w:ilvl w:val="0"/>
          <w:numId w:val="117"/>
        </w:numPr>
        <w:tabs>
          <w:tab w:pos="578" w:val="left" w:leader="none"/>
          <w:tab w:pos="579" w:val="left" w:leader="none"/>
        </w:tabs>
        <w:spacing w:line="240" w:lineRule="auto" w:before="61" w:after="0"/>
        <w:ind w:left="576" w:right="393" w:hanging="358"/>
        <w:jc w:val="left"/>
        <w:rPr>
          <w:sz w:val="20"/>
        </w:rPr>
      </w:pPr>
      <w:r>
        <w:rPr>
          <w:sz w:val="20"/>
        </w:rPr>
        <w:t>Cumplimiento de las condiciones de dimensionado del apartado 4 relativas a los elementos construc- tivos.</w:t>
      </w:r>
    </w:p>
    <w:p>
      <w:pPr>
        <w:pStyle w:val="ListParagraph"/>
        <w:numPr>
          <w:ilvl w:val="0"/>
          <w:numId w:val="117"/>
        </w:numPr>
        <w:tabs>
          <w:tab w:pos="578" w:val="left" w:leader="none"/>
          <w:tab w:pos="579" w:val="left" w:leader="none"/>
        </w:tabs>
        <w:spacing w:line="240" w:lineRule="auto" w:before="60" w:after="0"/>
        <w:ind w:left="578" w:right="0" w:hanging="361"/>
        <w:jc w:val="left"/>
        <w:rPr>
          <w:sz w:val="20"/>
        </w:rPr>
      </w:pPr>
      <w:r>
        <w:rPr>
          <w:sz w:val="20"/>
        </w:rPr>
        <w:t>Cumplimiento de las condiciones de los productos de construcción del apartado</w:t>
      </w:r>
      <w:r>
        <w:rPr>
          <w:spacing w:val="-13"/>
          <w:sz w:val="20"/>
        </w:rPr>
        <w:t> </w:t>
      </w:r>
      <w:r>
        <w:rPr>
          <w:sz w:val="20"/>
        </w:rPr>
        <w:t>5.</w:t>
      </w:r>
    </w:p>
    <w:p>
      <w:pPr>
        <w:pStyle w:val="ListParagraph"/>
        <w:numPr>
          <w:ilvl w:val="0"/>
          <w:numId w:val="117"/>
        </w:numPr>
        <w:tabs>
          <w:tab w:pos="578" w:val="left" w:leader="none"/>
          <w:tab w:pos="579" w:val="left" w:leader="none"/>
        </w:tabs>
        <w:spacing w:line="240" w:lineRule="auto" w:before="60" w:after="0"/>
        <w:ind w:left="578" w:right="0" w:hanging="361"/>
        <w:jc w:val="left"/>
        <w:rPr>
          <w:sz w:val="20"/>
        </w:rPr>
      </w:pPr>
      <w:r>
        <w:rPr>
          <w:sz w:val="20"/>
        </w:rPr>
        <w:t>Cumplimiento de las condiciones de construcción del apartado</w:t>
      </w:r>
      <w:r>
        <w:rPr>
          <w:spacing w:val="-7"/>
          <w:sz w:val="20"/>
        </w:rPr>
        <w:t> </w:t>
      </w:r>
      <w:r>
        <w:rPr>
          <w:sz w:val="20"/>
        </w:rPr>
        <w:t>6.</w:t>
      </w:r>
    </w:p>
    <w:p>
      <w:pPr>
        <w:pStyle w:val="ListParagraph"/>
        <w:numPr>
          <w:ilvl w:val="0"/>
          <w:numId w:val="117"/>
        </w:numPr>
        <w:tabs>
          <w:tab w:pos="578" w:val="left" w:leader="none"/>
          <w:tab w:pos="579" w:val="left" w:leader="none"/>
        </w:tabs>
        <w:spacing w:line="240" w:lineRule="auto" w:before="60" w:after="0"/>
        <w:ind w:left="578" w:right="0" w:hanging="361"/>
        <w:jc w:val="left"/>
        <w:rPr>
          <w:sz w:val="20"/>
        </w:rPr>
      </w:pPr>
      <w:r>
        <w:rPr>
          <w:sz w:val="20"/>
        </w:rPr>
        <w:t>Cumplimiento de las condiciones de mantenimiento y conservación del apartado</w:t>
      </w:r>
      <w:r>
        <w:rPr>
          <w:spacing w:val="-13"/>
          <w:sz w:val="20"/>
        </w:rPr>
        <w:t> </w:t>
      </w:r>
      <w:r>
        <w:rPr>
          <w:sz w:val="20"/>
        </w:rPr>
        <w:t>7.</w:t>
      </w:r>
    </w:p>
    <w:p>
      <w:pPr>
        <w:spacing w:after="0" w:line="240" w:lineRule="auto"/>
        <w:jc w:val="left"/>
        <w:rPr>
          <w:sz w:val="20"/>
        </w:rPr>
        <w:sectPr>
          <w:pgSz w:w="11910" w:h="16840"/>
          <w:pgMar w:header="724" w:footer="636" w:top="1320" w:bottom="820" w:left="1200" w:right="738"/>
        </w:sectPr>
      </w:pPr>
    </w:p>
    <w:p>
      <w:pPr>
        <w:pStyle w:val="Heading2"/>
        <w:tabs>
          <w:tab w:pos="841" w:val="left" w:leader="none"/>
        </w:tabs>
        <w:spacing w:before="91"/>
      </w:pPr>
      <w:r>
        <w:rPr/>
        <w:t>2</w:t>
        <w:tab/>
        <w:t>Caracterización y cuantificación de la</w:t>
      </w:r>
      <w:r>
        <w:rPr>
          <w:spacing w:val="-4"/>
        </w:rPr>
        <w:t> </w:t>
      </w:r>
      <w:r>
        <w:rPr/>
        <w:t>exigencia</w:t>
      </w:r>
    </w:p>
    <w:p>
      <w:pPr>
        <w:pStyle w:val="ListParagraph"/>
        <w:numPr>
          <w:ilvl w:val="0"/>
          <w:numId w:val="118"/>
        </w:numPr>
        <w:tabs>
          <w:tab w:pos="675" w:val="left" w:leader="none"/>
        </w:tabs>
        <w:spacing w:line="240" w:lineRule="auto" w:before="158" w:after="0"/>
        <w:ind w:left="575" w:right="392" w:hanging="358"/>
        <w:jc w:val="both"/>
        <w:rPr>
          <w:sz w:val="20"/>
          <w:szCs w:val="20"/>
        </w:rPr>
      </w:pPr>
      <w:r>
        <w:rPr/>
        <w:tab/>
      </w:r>
      <w:r>
        <w:rPr>
          <w:sz w:val="20"/>
          <w:szCs w:val="20"/>
        </w:rPr>
        <w:t>En los </w:t>
      </w:r>
      <w:r>
        <w:rPr>
          <w:i/>
          <w:sz w:val="20"/>
          <w:szCs w:val="20"/>
        </w:rPr>
        <w:t>locales habitables </w:t>
      </w:r>
      <w:r>
        <w:rPr>
          <w:sz w:val="20"/>
          <w:szCs w:val="20"/>
        </w:rPr>
        <w:t>de las viviendas debe aportarse un caudal de aire exterior suficiente para</w:t>
      </w:r>
      <w:r>
        <w:rPr>
          <w:position w:val="1"/>
          <w:sz w:val="20"/>
          <w:szCs w:val="20"/>
        </w:rPr>
        <w:t> conseguir que en cada </w:t>
      </w:r>
      <w:r>
        <w:rPr>
          <w:i/>
          <w:position w:val="1"/>
          <w:sz w:val="20"/>
          <w:szCs w:val="20"/>
        </w:rPr>
        <w:t>local </w:t>
      </w:r>
      <w:r>
        <w:rPr>
          <w:position w:val="1"/>
          <w:sz w:val="20"/>
          <w:szCs w:val="20"/>
        </w:rPr>
        <w:t>la concentración media anual de CO</w:t>
      </w:r>
      <w:r>
        <w:rPr>
          <w:sz w:val="13"/>
          <w:szCs w:val="13"/>
        </w:rPr>
        <w:t>2 </w:t>
      </w:r>
      <w:r>
        <w:rPr>
          <w:position w:val="1"/>
          <w:sz w:val="20"/>
          <w:szCs w:val="20"/>
        </w:rPr>
        <w:t>sea menor que 900 ppm y que el acumulado anual de CO</w:t>
      </w:r>
      <w:r>
        <w:rPr>
          <w:sz w:val="13"/>
          <w:szCs w:val="13"/>
        </w:rPr>
        <w:t>2 </w:t>
      </w:r>
      <w:r>
        <w:rPr>
          <w:position w:val="1"/>
          <w:sz w:val="20"/>
          <w:szCs w:val="20"/>
        </w:rPr>
        <w:t>que exceda 1.600 ppm sea menor que 500.000 ppmꞏh, en ambos </w:t>
      </w:r>
      <w:r>
        <w:rPr>
          <w:spacing w:val="-9"/>
          <w:position w:val="1"/>
          <w:sz w:val="20"/>
          <w:szCs w:val="20"/>
        </w:rPr>
        <w:t>casos</w:t>
      </w:r>
      <w:r>
        <w:rPr>
          <w:spacing w:val="-9"/>
          <w:sz w:val="20"/>
          <w:szCs w:val="20"/>
        </w:rPr>
        <w:t> </w:t>
      </w:r>
      <w:r>
        <w:rPr>
          <w:sz w:val="20"/>
          <w:szCs w:val="20"/>
        </w:rPr>
        <w:t>con las condiciones de diseño del apéndice</w:t>
      </w:r>
      <w:r>
        <w:rPr>
          <w:spacing w:val="-4"/>
          <w:sz w:val="20"/>
          <w:szCs w:val="20"/>
        </w:rPr>
        <w:t> </w:t>
      </w:r>
      <w:r>
        <w:rPr>
          <w:sz w:val="20"/>
          <w:szCs w:val="20"/>
        </w:rPr>
        <w:t>C.</w:t>
      </w:r>
    </w:p>
    <w:p>
      <w:pPr>
        <w:pStyle w:val="ListParagraph"/>
        <w:numPr>
          <w:ilvl w:val="0"/>
          <w:numId w:val="118"/>
        </w:numPr>
        <w:tabs>
          <w:tab w:pos="579" w:val="left" w:leader="none"/>
        </w:tabs>
        <w:spacing w:line="240" w:lineRule="auto" w:before="60" w:after="0"/>
        <w:ind w:left="576" w:right="392" w:hanging="358"/>
        <w:jc w:val="both"/>
        <w:rPr>
          <w:sz w:val="20"/>
        </w:rPr>
      </w:pPr>
      <w:r>
        <w:rPr>
          <w:sz w:val="20"/>
        </w:rPr>
        <w:t>Además, el caudal de aire exterior aportado debe ser suficiente para eliminar los contaminantes no directamente relacionados con la presencia humana. Esta condición se considera satisfecha con el establecimiento</w:t>
      </w:r>
      <w:r>
        <w:rPr>
          <w:spacing w:val="-3"/>
          <w:sz w:val="20"/>
        </w:rPr>
        <w:t> </w:t>
      </w:r>
      <w:r>
        <w:rPr>
          <w:sz w:val="20"/>
        </w:rPr>
        <w:t>de</w:t>
      </w:r>
      <w:r>
        <w:rPr>
          <w:spacing w:val="-2"/>
          <w:sz w:val="20"/>
        </w:rPr>
        <w:t> </w:t>
      </w:r>
      <w:r>
        <w:rPr>
          <w:sz w:val="20"/>
        </w:rPr>
        <w:t>un</w:t>
      </w:r>
      <w:r>
        <w:rPr>
          <w:spacing w:val="-3"/>
          <w:sz w:val="20"/>
        </w:rPr>
        <w:t> </w:t>
      </w:r>
      <w:r>
        <w:rPr>
          <w:sz w:val="20"/>
        </w:rPr>
        <w:t>caudal</w:t>
      </w:r>
      <w:r>
        <w:rPr>
          <w:spacing w:val="-3"/>
          <w:sz w:val="20"/>
        </w:rPr>
        <w:t> </w:t>
      </w:r>
      <w:r>
        <w:rPr>
          <w:sz w:val="20"/>
        </w:rPr>
        <w:t>mínimo</w:t>
      </w:r>
      <w:r>
        <w:rPr>
          <w:spacing w:val="-2"/>
          <w:sz w:val="20"/>
        </w:rPr>
        <w:t> </w:t>
      </w:r>
      <w:r>
        <w:rPr>
          <w:sz w:val="20"/>
        </w:rPr>
        <w:t>de</w:t>
      </w:r>
      <w:r>
        <w:rPr>
          <w:spacing w:val="-4"/>
          <w:sz w:val="20"/>
        </w:rPr>
        <w:t> </w:t>
      </w:r>
      <w:r>
        <w:rPr>
          <w:sz w:val="20"/>
        </w:rPr>
        <w:t>1,5</w:t>
      </w:r>
      <w:r>
        <w:rPr>
          <w:spacing w:val="-4"/>
          <w:sz w:val="20"/>
        </w:rPr>
        <w:t> </w:t>
      </w:r>
      <w:r>
        <w:rPr>
          <w:sz w:val="20"/>
        </w:rPr>
        <w:t>l/s</w:t>
      </w:r>
      <w:r>
        <w:rPr>
          <w:spacing w:val="-3"/>
          <w:sz w:val="20"/>
        </w:rPr>
        <w:t> </w:t>
      </w:r>
      <w:r>
        <w:rPr>
          <w:sz w:val="20"/>
        </w:rPr>
        <w:t>por</w:t>
      </w:r>
      <w:r>
        <w:rPr>
          <w:spacing w:val="-3"/>
          <w:sz w:val="20"/>
        </w:rPr>
        <w:t> </w:t>
      </w:r>
      <w:r>
        <w:rPr>
          <w:i/>
          <w:sz w:val="20"/>
        </w:rPr>
        <w:t>local</w:t>
      </w:r>
      <w:r>
        <w:rPr>
          <w:i/>
          <w:spacing w:val="-4"/>
          <w:sz w:val="20"/>
        </w:rPr>
        <w:t> </w:t>
      </w:r>
      <w:r>
        <w:rPr>
          <w:i/>
          <w:sz w:val="20"/>
        </w:rPr>
        <w:t>habitable</w:t>
      </w:r>
      <w:r>
        <w:rPr>
          <w:i/>
          <w:spacing w:val="-4"/>
          <w:sz w:val="20"/>
        </w:rPr>
        <w:t> </w:t>
      </w:r>
      <w:r>
        <w:rPr>
          <w:sz w:val="20"/>
        </w:rPr>
        <w:t>en</w:t>
      </w:r>
      <w:r>
        <w:rPr>
          <w:spacing w:val="-2"/>
          <w:sz w:val="20"/>
        </w:rPr>
        <w:t> </w:t>
      </w:r>
      <w:r>
        <w:rPr>
          <w:sz w:val="20"/>
        </w:rPr>
        <w:t>los</w:t>
      </w:r>
      <w:r>
        <w:rPr>
          <w:spacing w:val="-3"/>
          <w:sz w:val="20"/>
        </w:rPr>
        <w:t> </w:t>
      </w:r>
      <w:r>
        <w:rPr>
          <w:sz w:val="20"/>
        </w:rPr>
        <w:t>periodos</w:t>
      </w:r>
      <w:r>
        <w:rPr>
          <w:spacing w:val="-2"/>
          <w:sz w:val="20"/>
        </w:rPr>
        <w:t> </w:t>
      </w:r>
      <w:r>
        <w:rPr>
          <w:sz w:val="20"/>
        </w:rPr>
        <w:t>de</w:t>
      </w:r>
      <w:r>
        <w:rPr>
          <w:spacing w:val="-2"/>
          <w:sz w:val="20"/>
        </w:rPr>
        <w:t> </w:t>
      </w:r>
      <w:r>
        <w:rPr>
          <w:sz w:val="20"/>
        </w:rPr>
        <w:t>no</w:t>
      </w:r>
      <w:r>
        <w:rPr>
          <w:spacing w:val="-3"/>
          <w:sz w:val="20"/>
        </w:rPr>
        <w:t> </w:t>
      </w:r>
      <w:r>
        <w:rPr>
          <w:sz w:val="20"/>
        </w:rPr>
        <w:t>ocupación.</w:t>
      </w:r>
    </w:p>
    <w:p>
      <w:pPr>
        <w:pStyle w:val="ListParagraph"/>
        <w:numPr>
          <w:ilvl w:val="0"/>
          <w:numId w:val="118"/>
        </w:numPr>
        <w:tabs>
          <w:tab w:pos="579" w:val="left" w:leader="none"/>
        </w:tabs>
        <w:spacing w:line="240" w:lineRule="auto" w:before="60" w:after="0"/>
        <w:ind w:left="576" w:right="391" w:hanging="358"/>
        <w:jc w:val="both"/>
        <w:rPr>
          <w:sz w:val="20"/>
        </w:rPr>
      </w:pPr>
      <w:r>
        <w:rPr>
          <w:sz w:val="20"/>
        </w:rPr>
        <w:t>Las dos condiciones anteriores se consideran satisfechas con el establecimiento de una </w:t>
      </w:r>
      <w:r>
        <w:rPr>
          <w:i/>
          <w:sz w:val="20"/>
        </w:rPr>
        <w:t>ventilación </w:t>
      </w:r>
      <w:r>
        <w:rPr>
          <w:i/>
          <w:sz w:val="20"/>
        </w:rPr>
        <w:t>de caudal constante </w:t>
      </w:r>
      <w:r>
        <w:rPr>
          <w:sz w:val="20"/>
        </w:rPr>
        <w:t>acorde con la tabla</w:t>
      </w:r>
      <w:r>
        <w:rPr>
          <w:spacing w:val="-7"/>
          <w:sz w:val="20"/>
        </w:rPr>
        <w:t> </w:t>
      </w:r>
      <w:r>
        <w:rPr>
          <w:sz w:val="20"/>
        </w:rPr>
        <w:t>2.1.</w:t>
      </w:r>
    </w:p>
    <w:p>
      <w:pPr>
        <w:pStyle w:val="BodyText"/>
        <w:spacing w:before="5"/>
        <w:rPr>
          <w:sz w:val="30"/>
        </w:rPr>
      </w:pPr>
    </w:p>
    <w:p>
      <w:pPr>
        <w:spacing w:before="0"/>
        <w:ind w:left="655" w:right="829" w:firstLine="0"/>
        <w:jc w:val="center"/>
        <w:rPr>
          <w:b/>
          <w:i/>
          <w:sz w:val="18"/>
        </w:rPr>
      </w:pPr>
      <w:r>
        <w:rPr>
          <w:b/>
          <w:sz w:val="18"/>
        </w:rPr>
        <w:t>Tabla 2.1 Caudales mínimos para </w:t>
      </w:r>
      <w:r>
        <w:rPr>
          <w:b/>
          <w:i/>
          <w:sz w:val="18"/>
        </w:rPr>
        <w:t>ventilación de caudal constante </w:t>
      </w:r>
      <w:r>
        <w:rPr>
          <w:b/>
          <w:sz w:val="18"/>
        </w:rPr>
        <w:t>en </w:t>
      </w:r>
      <w:r>
        <w:rPr>
          <w:b/>
          <w:i/>
          <w:sz w:val="18"/>
        </w:rPr>
        <w:t>locales habitables</w:t>
      </w:r>
    </w:p>
    <w:p>
      <w:pPr>
        <w:pStyle w:val="BodyText"/>
        <w:spacing w:before="3"/>
        <w:rPr>
          <w:b/>
          <w:i/>
          <w:sz w:val="18"/>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8"/>
        <w:gridCol w:w="1252"/>
        <w:gridCol w:w="1304"/>
        <w:gridCol w:w="1694"/>
        <w:gridCol w:w="1218"/>
        <w:gridCol w:w="1476"/>
      </w:tblGrid>
      <w:tr>
        <w:trPr>
          <w:trHeight w:val="278" w:hRule="atLeast"/>
        </w:trPr>
        <w:tc>
          <w:tcPr>
            <w:tcW w:w="1998" w:type="dxa"/>
            <w:tcBorders>
              <w:top w:val="nil"/>
              <w:left w:val="nil"/>
            </w:tcBorders>
          </w:tcPr>
          <w:p>
            <w:pPr>
              <w:pStyle w:val="TableParagraph"/>
              <w:jc w:val="left"/>
              <w:rPr>
                <w:rFonts w:ascii="Times New Roman"/>
                <w:sz w:val="18"/>
              </w:rPr>
            </w:pPr>
          </w:p>
        </w:tc>
        <w:tc>
          <w:tcPr>
            <w:tcW w:w="6944" w:type="dxa"/>
            <w:gridSpan w:val="5"/>
            <w:tcBorders>
              <w:top w:val="nil"/>
              <w:right w:val="nil"/>
            </w:tcBorders>
          </w:tcPr>
          <w:p>
            <w:pPr>
              <w:pStyle w:val="TableParagraph"/>
              <w:spacing w:before="14"/>
              <w:ind w:left="2315" w:right="2315"/>
              <w:rPr>
                <w:b/>
                <w:sz w:val="20"/>
              </w:rPr>
            </w:pPr>
            <w:r>
              <w:rPr>
                <w:b/>
                <w:position w:val="1"/>
                <w:sz w:val="20"/>
              </w:rPr>
              <w:t>Caudal mínimo q</w:t>
            </w:r>
            <w:r>
              <w:rPr>
                <w:b/>
                <w:sz w:val="13"/>
              </w:rPr>
              <w:t>v  </w:t>
            </w:r>
            <w:r>
              <w:rPr>
                <w:b/>
                <w:position w:val="1"/>
                <w:sz w:val="20"/>
              </w:rPr>
              <w:t>en l/s</w:t>
            </w:r>
          </w:p>
        </w:tc>
      </w:tr>
      <w:tr>
        <w:trPr>
          <w:trHeight w:val="347" w:hRule="atLeast"/>
        </w:trPr>
        <w:tc>
          <w:tcPr>
            <w:tcW w:w="1998" w:type="dxa"/>
            <w:vMerge w:val="restart"/>
            <w:tcBorders>
              <w:left w:val="nil"/>
            </w:tcBorders>
          </w:tcPr>
          <w:p>
            <w:pPr>
              <w:pStyle w:val="TableParagraph"/>
              <w:spacing w:before="4"/>
              <w:jc w:val="left"/>
              <w:rPr>
                <w:b/>
                <w:i/>
                <w:sz w:val="24"/>
              </w:rPr>
            </w:pPr>
          </w:p>
          <w:p>
            <w:pPr>
              <w:pStyle w:val="TableParagraph"/>
              <w:ind w:left="88"/>
              <w:jc w:val="left"/>
              <w:rPr>
                <w:b/>
                <w:sz w:val="20"/>
              </w:rPr>
            </w:pPr>
            <w:r>
              <w:rPr>
                <w:b/>
                <w:sz w:val="20"/>
              </w:rPr>
              <w:t>Tipo de vivienda</w:t>
            </w:r>
          </w:p>
        </w:tc>
        <w:tc>
          <w:tcPr>
            <w:tcW w:w="4250" w:type="dxa"/>
            <w:gridSpan w:val="3"/>
          </w:tcPr>
          <w:p>
            <w:pPr>
              <w:pStyle w:val="TableParagraph"/>
              <w:spacing w:before="45"/>
              <w:ind w:left="1225"/>
              <w:jc w:val="left"/>
              <w:rPr>
                <w:b/>
                <w:sz w:val="13"/>
              </w:rPr>
            </w:pPr>
            <w:r>
              <w:rPr>
                <w:b/>
                <w:i/>
                <w:sz w:val="20"/>
              </w:rPr>
              <w:t>Locales </w:t>
            </w:r>
            <w:r>
              <w:rPr>
                <w:b/>
                <w:sz w:val="20"/>
              </w:rPr>
              <w:t>secos </w:t>
            </w:r>
            <w:r>
              <w:rPr>
                <w:b/>
                <w:position w:val="7"/>
                <w:sz w:val="13"/>
              </w:rPr>
              <w:t>(1) (2)</w:t>
            </w:r>
          </w:p>
        </w:tc>
        <w:tc>
          <w:tcPr>
            <w:tcW w:w="2694" w:type="dxa"/>
            <w:gridSpan w:val="2"/>
            <w:tcBorders>
              <w:right w:val="nil"/>
            </w:tcBorders>
          </w:tcPr>
          <w:p>
            <w:pPr>
              <w:pStyle w:val="TableParagraph"/>
              <w:spacing w:before="45"/>
              <w:ind w:left="392"/>
              <w:jc w:val="left"/>
              <w:rPr>
                <w:b/>
                <w:sz w:val="13"/>
              </w:rPr>
            </w:pPr>
            <w:r>
              <w:rPr>
                <w:b/>
                <w:i/>
                <w:sz w:val="20"/>
              </w:rPr>
              <w:t>Locales </w:t>
            </w:r>
            <w:r>
              <w:rPr>
                <w:b/>
                <w:sz w:val="20"/>
              </w:rPr>
              <w:t>húmedos </w:t>
            </w:r>
            <w:r>
              <w:rPr>
                <w:b/>
                <w:position w:val="7"/>
                <w:sz w:val="13"/>
              </w:rPr>
              <w:t>(2)</w:t>
            </w:r>
          </w:p>
        </w:tc>
      </w:tr>
      <w:tr>
        <w:trPr>
          <w:trHeight w:val="490" w:hRule="atLeast"/>
        </w:trPr>
        <w:tc>
          <w:tcPr>
            <w:tcW w:w="1998" w:type="dxa"/>
            <w:vMerge/>
            <w:tcBorders>
              <w:top w:val="nil"/>
              <w:left w:val="nil"/>
            </w:tcBorders>
          </w:tcPr>
          <w:p>
            <w:pPr>
              <w:rPr>
                <w:sz w:val="2"/>
                <w:szCs w:val="2"/>
              </w:rPr>
            </w:pPr>
          </w:p>
        </w:tc>
        <w:tc>
          <w:tcPr>
            <w:tcW w:w="1252" w:type="dxa"/>
            <w:tcBorders>
              <w:right w:val="nil"/>
            </w:tcBorders>
          </w:tcPr>
          <w:p>
            <w:pPr>
              <w:pStyle w:val="TableParagraph"/>
              <w:spacing w:line="228" w:lineRule="exact"/>
              <w:ind w:left="124"/>
              <w:jc w:val="left"/>
              <w:rPr>
                <w:b/>
                <w:sz w:val="20"/>
              </w:rPr>
            </w:pPr>
            <w:r>
              <w:rPr>
                <w:b/>
                <w:sz w:val="20"/>
              </w:rPr>
              <w:t>Dormitorio</w:t>
            </w:r>
          </w:p>
          <w:p>
            <w:pPr>
              <w:pStyle w:val="TableParagraph"/>
              <w:spacing w:line="226" w:lineRule="exact" w:before="16"/>
              <w:ind w:left="219"/>
              <w:jc w:val="left"/>
              <w:rPr>
                <w:b/>
                <w:sz w:val="20"/>
              </w:rPr>
            </w:pPr>
            <w:r>
              <w:rPr>
                <w:b/>
                <w:sz w:val="20"/>
              </w:rPr>
              <w:t>principal</w:t>
            </w:r>
          </w:p>
        </w:tc>
        <w:tc>
          <w:tcPr>
            <w:tcW w:w="1304" w:type="dxa"/>
            <w:tcBorders>
              <w:left w:val="nil"/>
              <w:right w:val="nil"/>
            </w:tcBorders>
          </w:tcPr>
          <w:p>
            <w:pPr>
              <w:pStyle w:val="TableParagraph"/>
              <w:spacing w:line="228" w:lineRule="exact"/>
              <w:ind w:left="89" w:right="63"/>
              <w:rPr>
                <w:b/>
                <w:sz w:val="20"/>
              </w:rPr>
            </w:pPr>
            <w:r>
              <w:rPr>
                <w:b/>
                <w:sz w:val="20"/>
              </w:rPr>
              <w:t>Resto de</w:t>
            </w:r>
          </w:p>
          <w:p>
            <w:pPr>
              <w:pStyle w:val="TableParagraph"/>
              <w:spacing w:line="226" w:lineRule="exact" w:before="16"/>
              <w:ind w:left="89" w:right="63"/>
              <w:rPr>
                <w:b/>
                <w:sz w:val="20"/>
              </w:rPr>
            </w:pPr>
            <w:r>
              <w:rPr>
                <w:b/>
                <w:sz w:val="20"/>
              </w:rPr>
              <w:t>dormitorios</w:t>
            </w:r>
          </w:p>
        </w:tc>
        <w:tc>
          <w:tcPr>
            <w:tcW w:w="1694" w:type="dxa"/>
            <w:tcBorders>
              <w:left w:val="nil"/>
            </w:tcBorders>
          </w:tcPr>
          <w:p>
            <w:pPr>
              <w:pStyle w:val="TableParagraph"/>
              <w:spacing w:line="228" w:lineRule="exact"/>
              <w:ind w:left="72" w:right="64"/>
              <w:rPr>
                <w:b/>
                <w:sz w:val="20"/>
              </w:rPr>
            </w:pPr>
            <w:r>
              <w:rPr>
                <w:b/>
                <w:sz w:val="20"/>
              </w:rPr>
              <w:t>Salas de estar y</w:t>
            </w:r>
          </w:p>
          <w:p>
            <w:pPr>
              <w:pStyle w:val="TableParagraph"/>
              <w:spacing w:line="231" w:lineRule="exact" w:before="11"/>
              <w:ind w:left="69" w:right="64"/>
              <w:rPr>
                <w:b/>
                <w:sz w:val="13"/>
              </w:rPr>
            </w:pPr>
            <w:r>
              <w:rPr>
                <w:b/>
                <w:sz w:val="20"/>
              </w:rPr>
              <w:t>comedores </w:t>
            </w:r>
            <w:r>
              <w:rPr>
                <w:b/>
                <w:position w:val="7"/>
                <w:sz w:val="13"/>
              </w:rPr>
              <w:t>(3)</w:t>
            </w:r>
          </w:p>
        </w:tc>
        <w:tc>
          <w:tcPr>
            <w:tcW w:w="1218" w:type="dxa"/>
            <w:tcBorders>
              <w:right w:val="nil"/>
            </w:tcBorders>
          </w:tcPr>
          <w:p>
            <w:pPr>
              <w:pStyle w:val="TableParagraph"/>
              <w:spacing w:line="228" w:lineRule="exact"/>
              <w:ind w:left="52" w:right="132"/>
              <w:rPr>
                <w:b/>
                <w:sz w:val="20"/>
              </w:rPr>
            </w:pPr>
            <w:r>
              <w:rPr>
                <w:b/>
                <w:sz w:val="20"/>
              </w:rPr>
              <w:t>Mínimo en</w:t>
            </w:r>
          </w:p>
          <w:p>
            <w:pPr>
              <w:pStyle w:val="TableParagraph"/>
              <w:spacing w:line="226" w:lineRule="exact" w:before="16"/>
              <w:ind w:left="52" w:right="132"/>
              <w:rPr>
                <w:b/>
                <w:sz w:val="20"/>
              </w:rPr>
            </w:pPr>
            <w:r>
              <w:rPr>
                <w:b/>
                <w:sz w:val="20"/>
              </w:rPr>
              <w:t>total</w:t>
            </w:r>
          </w:p>
        </w:tc>
        <w:tc>
          <w:tcPr>
            <w:tcW w:w="1476" w:type="dxa"/>
            <w:tcBorders>
              <w:left w:val="nil"/>
              <w:right w:val="nil"/>
            </w:tcBorders>
          </w:tcPr>
          <w:p>
            <w:pPr>
              <w:pStyle w:val="TableParagraph"/>
              <w:spacing w:line="228" w:lineRule="exact"/>
              <w:ind w:left="141" w:right="217"/>
              <w:rPr>
                <w:b/>
                <w:sz w:val="20"/>
              </w:rPr>
            </w:pPr>
            <w:r>
              <w:rPr>
                <w:b/>
                <w:sz w:val="20"/>
              </w:rPr>
              <w:t>Mínimo por</w:t>
            </w:r>
          </w:p>
          <w:p>
            <w:pPr>
              <w:pStyle w:val="TableParagraph"/>
              <w:spacing w:line="225" w:lineRule="exact" w:before="17"/>
              <w:ind w:left="141" w:right="216"/>
              <w:rPr>
                <w:b/>
                <w:i/>
                <w:sz w:val="20"/>
              </w:rPr>
            </w:pPr>
            <w:r>
              <w:rPr>
                <w:b/>
                <w:i/>
                <w:sz w:val="20"/>
              </w:rPr>
              <w:t>local</w:t>
            </w:r>
          </w:p>
        </w:tc>
      </w:tr>
      <w:tr>
        <w:trPr>
          <w:trHeight w:val="274" w:hRule="atLeast"/>
        </w:trPr>
        <w:tc>
          <w:tcPr>
            <w:tcW w:w="1998" w:type="dxa"/>
            <w:tcBorders>
              <w:left w:val="nil"/>
            </w:tcBorders>
          </w:tcPr>
          <w:p>
            <w:pPr>
              <w:pStyle w:val="TableParagraph"/>
              <w:spacing w:line="229" w:lineRule="exact" w:before="25"/>
              <w:ind w:left="88"/>
              <w:jc w:val="left"/>
              <w:rPr>
                <w:sz w:val="20"/>
              </w:rPr>
            </w:pPr>
            <w:r>
              <w:rPr>
                <w:sz w:val="20"/>
              </w:rPr>
              <w:t>0 ó 1 dormitorios</w:t>
            </w:r>
          </w:p>
        </w:tc>
        <w:tc>
          <w:tcPr>
            <w:tcW w:w="1252" w:type="dxa"/>
            <w:tcBorders>
              <w:right w:val="nil"/>
            </w:tcBorders>
          </w:tcPr>
          <w:p>
            <w:pPr>
              <w:pStyle w:val="TableParagraph"/>
              <w:spacing w:line="229" w:lineRule="exact" w:before="25"/>
              <w:ind w:left="25"/>
              <w:rPr>
                <w:sz w:val="20"/>
              </w:rPr>
            </w:pPr>
            <w:r>
              <w:rPr>
                <w:w w:val="100"/>
                <w:sz w:val="20"/>
              </w:rPr>
              <w:t>8</w:t>
            </w:r>
          </w:p>
        </w:tc>
        <w:tc>
          <w:tcPr>
            <w:tcW w:w="1304" w:type="dxa"/>
            <w:tcBorders>
              <w:left w:val="nil"/>
              <w:right w:val="nil"/>
            </w:tcBorders>
          </w:tcPr>
          <w:p>
            <w:pPr>
              <w:pStyle w:val="TableParagraph"/>
              <w:spacing w:line="229" w:lineRule="exact" w:before="25"/>
              <w:ind w:right="603"/>
              <w:jc w:val="right"/>
              <w:rPr>
                <w:sz w:val="20"/>
              </w:rPr>
            </w:pPr>
            <w:r>
              <w:rPr>
                <w:w w:val="100"/>
                <w:sz w:val="20"/>
              </w:rPr>
              <w:t>-</w:t>
            </w:r>
          </w:p>
        </w:tc>
        <w:tc>
          <w:tcPr>
            <w:tcW w:w="1694" w:type="dxa"/>
            <w:tcBorders>
              <w:left w:val="nil"/>
            </w:tcBorders>
          </w:tcPr>
          <w:p>
            <w:pPr>
              <w:pStyle w:val="TableParagraph"/>
              <w:spacing w:line="229" w:lineRule="exact" w:before="25"/>
              <w:ind w:left="4"/>
              <w:rPr>
                <w:sz w:val="20"/>
              </w:rPr>
            </w:pPr>
            <w:r>
              <w:rPr>
                <w:w w:val="100"/>
                <w:sz w:val="20"/>
              </w:rPr>
              <w:t>6</w:t>
            </w:r>
          </w:p>
        </w:tc>
        <w:tc>
          <w:tcPr>
            <w:tcW w:w="1218" w:type="dxa"/>
            <w:tcBorders>
              <w:right w:val="nil"/>
            </w:tcBorders>
          </w:tcPr>
          <w:p>
            <w:pPr>
              <w:pStyle w:val="TableParagraph"/>
              <w:spacing w:line="229" w:lineRule="exact" w:before="25"/>
              <w:ind w:left="455"/>
              <w:jc w:val="left"/>
              <w:rPr>
                <w:sz w:val="20"/>
              </w:rPr>
            </w:pPr>
            <w:r>
              <w:rPr>
                <w:sz w:val="20"/>
              </w:rPr>
              <w:t>12</w:t>
            </w:r>
          </w:p>
        </w:tc>
        <w:tc>
          <w:tcPr>
            <w:tcW w:w="1476" w:type="dxa"/>
            <w:tcBorders>
              <w:left w:val="nil"/>
              <w:right w:val="nil"/>
            </w:tcBorders>
          </w:tcPr>
          <w:p>
            <w:pPr>
              <w:pStyle w:val="TableParagraph"/>
              <w:spacing w:line="229" w:lineRule="exact" w:before="25"/>
              <w:ind w:left="643"/>
              <w:jc w:val="left"/>
              <w:rPr>
                <w:sz w:val="20"/>
              </w:rPr>
            </w:pPr>
            <w:r>
              <w:rPr>
                <w:w w:val="100"/>
                <w:sz w:val="20"/>
              </w:rPr>
              <w:t>6</w:t>
            </w:r>
          </w:p>
        </w:tc>
      </w:tr>
      <w:tr>
        <w:trPr>
          <w:trHeight w:val="275" w:hRule="atLeast"/>
        </w:trPr>
        <w:tc>
          <w:tcPr>
            <w:tcW w:w="1998" w:type="dxa"/>
            <w:tcBorders>
              <w:left w:val="nil"/>
            </w:tcBorders>
          </w:tcPr>
          <w:p>
            <w:pPr>
              <w:pStyle w:val="TableParagraph"/>
              <w:spacing w:before="25"/>
              <w:ind w:left="88"/>
              <w:jc w:val="left"/>
              <w:rPr>
                <w:sz w:val="20"/>
              </w:rPr>
            </w:pPr>
            <w:r>
              <w:rPr>
                <w:sz w:val="20"/>
              </w:rPr>
              <w:t>2 dormitorios</w:t>
            </w:r>
          </w:p>
        </w:tc>
        <w:tc>
          <w:tcPr>
            <w:tcW w:w="1252" w:type="dxa"/>
            <w:tcBorders>
              <w:right w:val="nil"/>
            </w:tcBorders>
          </w:tcPr>
          <w:p>
            <w:pPr>
              <w:pStyle w:val="TableParagraph"/>
              <w:spacing w:before="25"/>
              <w:ind w:left="25"/>
              <w:rPr>
                <w:sz w:val="20"/>
              </w:rPr>
            </w:pPr>
            <w:r>
              <w:rPr>
                <w:w w:val="100"/>
                <w:sz w:val="20"/>
              </w:rPr>
              <w:t>8</w:t>
            </w:r>
          </w:p>
        </w:tc>
        <w:tc>
          <w:tcPr>
            <w:tcW w:w="1304" w:type="dxa"/>
            <w:tcBorders>
              <w:left w:val="nil"/>
              <w:right w:val="nil"/>
            </w:tcBorders>
          </w:tcPr>
          <w:p>
            <w:pPr>
              <w:pStyle w:val="TableParagraph"/>
              <w:spacing w:before="25"/>
              <w:ind w:right="581"/>
              <w:jc w:val="right"/>
              <w:rPr>
                <w:sz w:val="20"/>
              </w:rPr>
            </w:pPr>
            <w:r>
              <w:rPr>
                <w:w w:val="100"/>
                <w:sz w:val="20"/>
              </w:rPr>
              <w:t>4</w:t>
            </w:r>
          </w:p>
        </w:tc>
        <w:tc>
          <w:tcPr>
            <w:tcW w:w="1694" w:type="dxa"/>
            <w:tcBorders>
              <w:left w:val="nil"/>
            </w:tcBorders>
          </w:tcPr>
          <w:p>
            <w:pPr>
              <w:pStyle w:val="TableParagraph"/>
              <w:spacing w:before="25"/>
              <w:ind w:left="3"/>
              <w:rPr>
                <w:sz w:val="20"/>
              </w:rPr>
            </w:pPr>
            <w:r>
              <w:rPr>
                <w:w w:val="100"/>
                <w:sz w:val="20"/>
              </w:rPr>
              <w:t>8</w:t>
            </w:r>
          </w:p>
        </w:tc>
        <w:tc>
          <w:tcPr>
            <w:tcW w:w="1218" w:type="dxa"/>
            <w:tcBorders>
              <w:right w:val="nil"/>
            </w:tcBorders>
          </w:tcPr>
          <w:p>
            <w:pPr>
              <w:pStyle w:val="TableParagraph"/>
              <w:spacing w:before="25"/>
              <w:ind w:left="454"/>
              <w:jc w:val="left"/>
              <w:rPr>
                <w:sz w:val="20"/>
              </w:rPr>
            </w:pPr>
            <w:r>
              <w:rPr>
                <w:sz w:val="20"/>
              </w:rPr>
              <w:t>24</w:t>
            </w:r>
          </w:p>
        </w:tc>
        <w:tc>
          <w:tcPr>
            <w:tcW w:w="1476" w:type="dxa"/>
            <w:tcBorders>
              <w:left w:val="nil"/>
              <w:right w:val="nil"/>
            </w:tcBorders>
          </w:tcPr>
          <w:p>
            <w:pPr>
              <w:pStyle w:val="TableParagraph"/>
              <w:spacing w:before="25"/>
              <w:ind w:left="643"/>
              <w:jc w:val="left"/>
              <w:rPr>
                <w:sz w:val="20"/>
              </w:rPr>
            </w:pPr>
            <w:r>
              <w:rPr>
                <w:w w:val="100"/>
                <w:sz w:val="20"/>
              </w:rPr>
              <w:t>7</w:t>
            </w:r>
          </w:p>
        </w:tc>
      </w:tr>
      <w:tr>
        <w:trPr>
          <w:trHeight w:val="275" w:hRule="atLeast"/>
        </w:trPr>
        <w:tc>
          <w:tcPr>
            <w:tcW w:w="1998" w:type="dxa"/>
            <w:tcBorders>
              <w:left w:val="nil"/>
            </w:tcBorders>
          </w:tcPr>
          <w:p>
            <w:pPr>
              <w:pStyle w:val="TableParagraph"/>
              <w:spacing w:before="25"/>
              <w:ind w:left="88"/>
              <w:jc w:val="left"/>
              <w:rPr>
                <w:sz w:val="20"/>
              </w:rPr>
            </w:pPr>
            <w:r>
              <w:rPr>
                <w:sz w:val="20"/>
              </w:rPr>
              <w:t>3 o más dormitorios</w:t>
            </w:r>
          </w:p>
        </w:tc>
        <w:tc>
          <w:tcPr>
            <w:tcW w:w="1252" w:type="dxa"/>
            <w:tcBorders>
              <w:right w:val="nil"/>
            </w:tcBorders>
          </w:tcPr>
          <w:p>
            <w:pPr>
              <w:pStyle w:val="TableParagraph"/>
              <w:spacing w:before="25"/>
              <w:ind w:left="25"/>
              <w:rPr>
                <w:sz w:val="20"/>
              </w:rPr>
            </w:pPr>
            <w:r>
              <w:rPr>
                <w:w w:val="100"/>
                <w:sz w:val="20"/>
              </w:rPr>
              <w:t>8</w:t>
            </w:r>
          </w:p>
        </w:tc>
        <w:tc>
          <w:tcPr>
            <w:tcW w:w="1304" w:type="dxa"/>
            <w:tcBorders>
              <w:left w:val="nil"/>
              <w:right w:val="nil"/>
            </w:tcBorders>
          </w:tcPr>
          <w:p>
            <w:pPr>
              <w:pStyle w:val="TableParagraph"/>
              <w:spacing w:before="25"/>
              <w:ind w:right="581"/>
              <w:jc w:val="right"/>
              <w:rPr>
                <w:sz w:val="20"/>
              </w:rPr>
            </w:pPr>
            <w:r>
              <w:rPr>
                <w:w w:val="100"/>
                <w:sz w:val="20"/>
              </w:rPr>
              <w:t>4</w:t>
            </w:r>
          </w:p>
        </w:tc>
        <w:tc>
          <w:tcPr>
            <w:tcW w:w="1694" w:type="dxa"/>
            <w:tcBorders>
              <w:left w:val="nil"/>
            </w:tcBorders>
          </w:tcPr>
          <w:p>
            <w:pPr>
              <w:pStyle w:val="TableParagraph"/>
              <w:spacing w:before="12"/>
              <w:ind w:left="69" w:right="64"/>
              <w:rPr>
                <w:sz w:val="20"/>
              </w:rPr>
            </w:pPr>
            <w:r>
              <w:rPr>
                <w:sz w:val="20"/>
              </w:rPr>
              <w:t>10</w:t>
            </w:r>
          </w:p>
        </w:tc>
        <w:tc>
          <w:tcPr>
            <w:tcW w:w="1218" w:type="dxa"/>
            <w:tcBorders>
              <w:right w:val="nil"/>
            </w:tcBorders>
          </w:tcPr>
          <w:p>
            <w:pPr>
              <w:pStyle w:val="TableParagraph"/>
              <w:spacing w:before="25"/>
              <w:ind w:left="454"/>
              <w:jc w:val="left"/>
              <w:rPr>
                <w:sz w:val="20"/>
              </w:rPr>
            </w:pPr>
            <w:r>
              <w:rPr>
                <w:sz w:val="20"/>
              </w:rPr>
              <w:t>33</w:t>
            </w:r>
          </w:p>
        </w:tc>
        <w:tc>
          <w:tcPr>
            <w:tcW w:w="1476" w:type="dxa"/>
            <w:tcBorders>
              <w:left w:val="nil"/>
              <w:right w:val="nil"/>
            </w:tcBorders>
          </w:tcPr>
          <w:p>
            <w:pPr>
              <w:pStyle w:val="TableParagraph"/>
              <w:spacing w:before="25"/>
              <w:ind w:left="643"/>
              <w:jc w:val="left"/>
              <w:rPr>
                <w:sz w:val="20"/>
              </w:rPr>
            </w:pPr>
            <w:r>
              <w:rPr>
                <w:w w:val="100"/>
                <w:sz w:val="20"/>
              </w:rPr>
              <w:t>8</w:t>
            </w:r>
          </w:p>
        </w:tc>
      </w:tr>
    </w:tbl>
    <w:p>
      <w:pPr>
        <w:pStyle w:val="ListParagraph"/>
        <w:numPr>
          <w:ilvl w:val="1"/>
          <w:numId w:val="118"/>
        </w:numPr>
        <w:tabs>
          <w:tab w:pos="1070" w:val="left" w:leader="none"/>
        </w:tabs>
        <w:spacing w:line="345" w:lineRule="auto" w:before="82" w:after="0"/>
        <w:ind w:left="1069" w:right="314" w:hanging="284"/>
        <w:jc w:val="left"/>
        <w:rPr>
          <w:sz w:val="16"/>
        </w:rPr>
      </w:pPr>
      <w:r>
        <w:rPr>
          <w:position w:val="1"/>
          <w:sz w:val="16"/>
        </w:rPr>
        <w:t>En los </w:t>
      </w:r>
      <w:r>
        <w:rPr>
          <w:i/>
          <w:sz w:val="16"/>
        </w:rPr>
        <w:t>locales </w:t>
      </w:r>
      <w:r>
        <w:rPr>
          <w:position w:val="1"/>
          <w:sz w:val="16"/>
        </w:rPr>
        <w:t>secos de las viviendas destinados a varios usos se considera el caudal correspondiente al uso para el que</w:t>
      </w:r>
      <w:r>
        <w:rPr>
          <w:sz w:val="16"/>
        </w:rPr>
        <w:t> resulte un caudal</w:t>
      </w:r>
      <w:r>
        <w:rPr>
          <w:spacing w:val="-1"/>
          <w:sz w:val="16"/>
        </w:rPr>
        <w:t> </w:t>
      </w:r>
      <w:r>
        <w:rPr>
          <w:sz w:val="16"/>
        </w:rPr>
        <w:t>mayor</w:t>
      </w:r>
    </w:p>
    <w:p>
      <w:pPr>
        <w:pStyle w:val="ListParagraph"/>
        <w:numPr>
          <w:ilvl w:val="1"/>
          <w:numId w:val="118"/>
        </w:numPr>
        <w:tabs>
          <w:tab w:pos="1070" w:val="left" w:leader="none"/>
        </w:tabs>
        <w:spacing w:line="240" w:lineRule="auto" w:before="12" w:after="0"/>
        <w:ind w:left="1069" w:right="0" w:hanging="284"/>
        <w:jc w:val="left"/>
        <w:rPr>
          <w:sz w:val="16"/>
        </w:rPr>
      </w:pPr>
      <w:r>
        <w:rPr>
          <w:position w:val="1"/>
          <w:sz w:val="16"/>
        </w:rPr>
        <w:t>Cuando en un mismo </w:t>
      </w:r>
      <w:r>
        <w:rPr>
          <w:i/>
          <w:sz w:val="16"/>
        </w:rPr>
        <w:t>local </w:t>
      </w:r>
      <w:r>
        <w:rPr>
          <w:position w:val="1"/>
          <w:sz w:val="16"/>
        </w:rPr>
        <w:t>se den usos de </w:t>
      </w:r>
      <w:r>
        <w:rPr>
          <w:i/>
          <w:sz w:val="16"/>
        </w:rPr>
        <w:t>local </w:t>
      </w:r>
      <w:r>
        <w:rPr>
          <w:position w:val="1"/>
          <w:sz w:val="16"/>
        </w:rPr>
        <w:t>seco y húmedo, cada zona debe dotarse de su caudal</w:t>
      </w:r>
      <w:r>
        <w:rPr>
          <w:spacing w:val="-14"/>
          <w:position w:val="1"/>
          <w:sz w:val="16"/>
        </w:rPr>
        <w:t> </w:t>
      </w:r>
      <w:r>
        <w:rPr>
          <w:position w:val="1"/>
          <w:sz w:val="16"/>
        </w:rPr>
        <w:t>correspondiente</w:t>
      </w:r>
    </w:p>
    <w:p>
      <w:pPr>
        <w:pStyle w:val="ListParagraph"/>
        <w:numPr>
          <w:ilvl w:val="1"/>
          <w:numId w:val="118"/>
        </w:numPr>
        <w:tabs>
          <w:tab w:pos="1070" w:val="left" w:leader="none"/>
        </w:tabs>
        <w:spacing w:line="240" w:lineRule="auto" w:before="82" w:after="0"/>
        <w:ind w:left="1069" w:right="0" w:hanging="284"/>
        <w:jc w:val="left"/>
        <w:rPr>
          <w:sz w:val="16"/>
        </w:rPr>
      </w:pPr>
      <w:r>
        <w:rPr>
          <w:position w:val="1"/>
          <w:sz w:val="16"/>
        </w:rPr>
        <w:t>Otros </w:t>
      </w:r>
      <w:r>
        <w:rPr>
          <w:i/>
          <w:sz w:val="16"/>
        </w:rPr>
        <w:t>locales </w:t>
      </w:r>
      <w:r>
        <w:rPr>
          <w:position w:val="1"/>
          <w:sz w:val="16"/>
        </w:rPr>
        <w:t>pertenecientes a la vivienda con usos similares (salas de juego, despachos,</w:t>
      </w:r>
      <w:r>
        <w:rPr>
          <w:spacing w:val="-5"/>
          <w:position w:val="1"/>
          <w:sz w:val="16"/>
        </w:rPr>
        <w:t> </w:t>
      </w:r>
      <w:r>
        <w:rPr>
          <w:position w:val="1"/>
          <w:sz w:val="16"/>
        </w:rPr>
        <w:t>etc.)</w:t>
      </w:r>
    </w:p>
    <w:p>
      <w:pPr>
        <w:pStyle w:val="BodyText"/>
        <w:spacing w:before="10"/>
        <w:rPr>
          <w:sz w:val="23"/>
        </w:rPr>
      </w:pPr>
    </w:p>
    <w:p>
      <w:pPr>
        <w:pStyle w:val="ListParagraph"/>
        <w:numPr>
          <w:ilvl w:val="0"/>
          <w:numId w:val="118"/>
        </w:numPr>
        <w:tabs>
          <w:tab w:pos="645" w:val="left" w:leader="none"/>
        </w:tabs>
        <w:spacing w:line="312" w:lineRule="auto" w:before="0" w:after="0"/>
        <w:ind w:left="644" w:right="391" w:hanging="427"/>
        <w:jc w:val="both"/>
        <w:rPr>
          <w:sz w:val="20"/>
        </w:rPr>
      </w:pPr>
      <w:r>
        <w:rPr>
          <w:sz w:val="20"/>
        </w:rPr>
        <w:t>En la zona de cocción de las cocinas debe disponerse un sistema que permita extraer los </w:t>
      </w:r>
      <w:r>
        <w:rPr>
          <w:i/>
          <w:sz w:val="20"/>
        </w:rPr>
        <w:t>contami- </w:t>
      </w:r>
      <w:r>
        <w:rPr>
          <w:i/>
          <w:sz w:val="20"/>
        </w:rPr>
        <w:t>nantes </w:t>
      </w:r>
      <w:r>
        <w:rPr>
          <w:sz w:val="20"/>
        </w:rPr>
        <w:t>que se producen durante su uso, de forma independiente a la </w:t>
      </w:r>
      <w:r>
        <w:rPr>
          <w:i/>
          <w:sz w:val="20"/>
        </w:rPr>
        <w:t>ventilación </w:t>
      </w:r>
      <w:r>
        <w:rPr>
          <w:sz w:val="20"/>
        </w:rPr>
        <w:t>general de los </w:t>
      </w:r>
      <w:r>
        <w:rPr>
          <w:i/>
          <w:sz w:val="20"/>
        </w:rPr>
        <w:t>loca- </w:t>
      </w:r>
      <w:r>
        <w:rPr>
          <w:i/>
          <w:sz w:val="20"/>
        </w:rPr>
        <w:t>les habitables</w:t>
      </w:r>
      <w:r>
        <w:rPr>
          <w:sz w:val="20"/>
        </w:rPr>
        <w:t>. Esta condición se considera satisfecha si se dispone de un sistema en la zona de cocción que permita </w:t>
      </w:r>
      <w:r>
        <w:rPr>
          <w:i/>
          <w:sz w:val="20"/>
        </w:rPr>
        <w:t>extraer </w:t>
      </w:r>
      <w:r>
        <w:rPr>
          <w:sz w:val="20"/>
        </w:rPr>
        <w:t>un caudal mínimo de 50</w:t>
      </w:r>
      <w:r>
        <w:rPr>
          <w:spacing w:val="-9"/>
          <w:sz w:val="20"/>
        </w:rPr>
        <w:t> </w:t>
      </w:r>
      <w:r>
        <w:rPr>
          <w:sz w:val="20"/>
        </w:rPr>
        <w:t>l/s.</w:t>
      </w:r>
    </w:p>
    <w:p>
      <w:pPr>
        <w:pStyle w:val="ListParagraph"/>
        <w:numPr>
          <w:ilvl w:val="0"/>
          <w:numId w:val="118"/>
        </w:numPr>
        <w:tabs>
          <w:tab w:pos="645" w:val="left" w:leader="none"/>
        </w:tabs>
        <w:spacing w:line="312" w:lineRule="auto" w:before="119" w:after="0"/>
        <w:ind w:left="644" w:right="390" w:hanging="426"/>
        <w:jc w:val="both"/>
        <w:rPr>
          <w:sz w:val="20"/>
        </w:rPr>
      </w:pPr>
      <w:r>
        <w:rPr>
          <w:sz w:val="20"/>
        </w:rPr>
        <w:t>Para los </w:t>
      </w:r>
      <w:r>
        <w:rPr>
          <w:i/>
          <w:sz w:val="20"/>
        </w:rPr>
        <w:t>locales </w:t>
      </w:r>
      <w:r>
        <w:rPr>
          <w:sz w:val="20"/>
        </w:rPr>
        <w:t>no habitables incluidos en el ámbito de aplicación debe aportarse al menos el cau- dal de aire exterior suficiente para eliminar los </w:t>
      </w:r>
      <w:r>
        <w:rPr>
          <w:i/>
          <w:sz w:val="20"/>
        </w:rPr>
        <w:t>contaminantes </w:t>
      </w:r>
      <w:r>
        <w:rPr>
          <w:sz w:val="20"/>
        </w:rPr>
        <w:t>propios del uso de cada </w:t>
      </w:r>
      <w:r>
        <w:rPr>
          <w:i/>
          <w:sz w:val="20"/>
        </w:rPr>
        <w:t>local</w:t>
      </w:r>
      <w:r>
        <w:rPr>
          <w:sz w:val="20"/>
        </w:rPr>
        <w:t>. En el caso de trasteros, sus zonas comunes y almacenes de residuos los </w:t>
      </w:r>
      <w:r>
        <w:rPr>
          <w:i/>
          <w:sz w:val="20"/>
        </w:rPr>
        <w:t>contaminantes </w:t>
      </w:r>
      <w:r>
        <w:rPr>
          <w:sz w:val="20"/>
        </w:rPr>
        <w:t>principales son la humedad, los olores y los compuestos orgánicos volátiles. En el caso de los aparcamientos y ga- rajes son el monóxido de carbono y los óxidos de</w:t>
      </w:r>
      <w:r>
        <w:rPr>
          <w:spacing w:val="-8"/>
          <w:sz w:val="20"/>
        </w:rPr>
        <w:t> </w:t>
      </w:r>
      <w:r>
        <w:rPr>
          <w:sz w:val="20"/>
        </w:rPr>
        <w:t>nitrógeno.</w:t>
      </w:r>
    </w:p>
    <w:p>
      <w:pPr>
        <w:pStyle w:val="ListParagraph"/>
        <w:numPr>
          <w:ilvl w:val="0"/>
          <w:numId w:val="118"/>
        </w:numPr>
        <w:tabs>
          <w:tab w:pos="645" w:val="left" w:leader="none"/>
        </w:tabs>
        <w:spacing w:line="312" w:lineRule="auto" w:before="120" w:after="0"/>
        <w:ind w:left="644" w:right="389" w:hanging="427"/>
        <w:jc w:val="both"/>
        <w:rPr>
          <w:sz w:val="20"/>
        </w:rPr>
      </w:pPr>
      <w:r>
        <w:rPr>
          <w:sz w:val="20"/>
        </w:rPr>
        <w:t>Esta condición se considera satisfecha si el sistema de </w:t>
      </w:r>
      <w:r>
        <w:rPr>
          <w:i/>
          <w:sz w:val="20"/>
        </w:rPr>
        <w:t>ventilación </w:t>
      </w:r>
      <w:r>
        <w:rPr>
          <w:sz w:val="20"/>
        </w:rPr>
        <w:t>es capaz de establecer al menos los </w:t>
      </w:r>
      <w:r>
        <w:rPr>
          <w:i/>
          <w:sz w:val="20"/>
        </w:rPr>
        <w:t>caudales de ventilación </w:t>
      </w:r>
      <w:r>
        <w:rPr>
          <w:sz w:val="20"/>
        </w:rPr>
        <w:t>de la tabla 2.2., ya sea mediante </w:t>
      </w:r>
      <w:r>
        <w:rPr>
          <w:i/>
          <w:sz w:val="20"/>
        </w:rPr>
        <w:t>ventilación de caudal constante </w:t>
      </w:r>
      <w:r>
        <w:rPr>
          <w:sz w:val="20"/>
        </w:rPr>
        <w:t>o </w:t>
      </w:r>
      <w:r>
        <w:rPr>
          <w:i/>
          <w:sz w:val="20"/>
        </w:rPr>
        <w:t>venti- </w:t>
      </w:r>
      <w:r>
        <w:rPr>
          <w:i/>
          <w:sz w:val="20"/>
        </w:rPr>
        <w:t>lación de caudal variable </w:t>
      </w:r>
      <w:r>
        <w:rPr>
          <w:sz w:val="20"/>
        </w:rPr>
        <w:t>controlada mediante detectores de presencia, detectores de </w:t>
      </w:r>
      <w:r>
        <w:rPr>
          <w:i/>
          <w:sz w:val="20"/>
        </w:rPr>
        <w:t>contaminan- </w:t>
      </w:r>
      <w:r>
        <w:rPr>
          <w:i/>
          <w:sz w:val="20"/>
        </w:rPr>
        <w:t>tes</w:t>
      </w:r>
      <w:r>
        <w:rPr>
          <w:sz w:val="20"/>
        </w:rPr>
        <w:t>, programación temporal u otro tipo de</w:t>
      </w:r>
      <w:r>
        <w:rPr>
          <w:spacing w:val="-2"/>
          <w:sz w:val="20"/>
        </w:rPr>
        <w:t> </w:t>
      </w:r>
      <w:r>
        <w:rPr>
          <w:sz w:val="20"/>
        </w:rPr>
        <w:t>sistema.</w:t>
      </w:r>
    </w:p>
    <w:p>
      <w:pPr>
        <w:spacing w:before="121"/>
        <w:ind w:left="1677" w:right="0" w:firstLine="0"/>
        <w:jc w:val="both"/>
        <w:rPr>
          <w:b/>
          <w:sz w:val="20"/>
        </w:rPr>
      </w:pPr>
      <w:r>
        <w:rPr>
          <w:b/>
          <w:sz w:val="20"/>
        </w:rPr>
        <w:t>Tabla 2.2 </w:t>
      </w:r>
      <w:r>
        <w:rPr>
          <w:b/>
          <w:i/>
          <w:sz w:val="20"/>
        </w:rPr>
        <w:t>Caudales de ventilación </w:t>
      </w:r>
      <w:r>
        <w:rPr>
          <w:b/>
          <w:sz w:val="20"/>
        </w:rPr>
        <w:t>mínimos en </w:t>
      </w:r>
      <w:r>
        <w:rPr>
          <w:b/>
          <w:i/>
          <w:sz w:val="20"/>
        </w:rPr>
        <w:t>local</w:t>
      </w:r>
      <w:r>
        <w:rPr>
          <w:b/>
          <w:sz w:val="20"/>
        </w:rPr>
        <w:t>es no habitables</w:t>
      </w:r>
    </w:p>
    <w:p>
      <w:pPr>
        <w:pStyle w:val="BodyText"/>
        <w:spacing w:before="6"/>
        <w:rPr>
          <w:b/>
          <w:sz w:val="10"/>
        </w:rPr>
      </w:pPr>
    </w:p>
    <w:tbl>
      <w:tblPr>
        <w:tblW w:w="0" w:type="auto"/>
        <w:jc w:val="left"/>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4"/>
        <w:gridCol w:w="4280"/>
      </w:tblGrid>
      <w:tr>
        <w:trPr>
          <w:trHeight w:val="279" w:hRule="atLeast"/>
        </w:trPr>
        <w:tc>
          <w:tcPr>
            <w:tcW w:w="3384" w:type="dxa"/>
            <w:tcBorders>
              <w:top w:val="nil"/>
              <w:left w:val="nil"/>
            </w:tcBorders>
          </w:tcPr>
          <w:p>
            <w:pPr>
              <w:pStyle w:val="TableParagraph"/>
              <w:jc w:val="left"/>
              <w:rPr>
                <w:rFonts w:ascii="Times New Roman"/>
                <w:sz w:val="18"/>
              </w:rPr>
            </w:pPr>
          </w:p>
        </w:tc>
        <w:tc>
          <w:tcPr>
            <w:tcW w:w="4280" w:type="dxa"/>
            <w:tcBorders>
              <w:top w:val="nil"/>
              <w:right w:val="nil"/>
            </w:tcBorders>
          </w:tcPr>
          <w:p>
            <w:pPr>
              <w:pStyle w:val="TableParagraph"/>
              <w:spacing w:before="14"/>
              <w:ind w:left="1023"/>
              <w:jc w:val="left"/>
              <w:rPr>
                <w:b/>
                <w:sz w:val="20"/>
              </w:rPr>
            </w:pPr>
            <w:r>
              <w:rPr>
                <w:b/>
                <w:position w:val="1"/>
                <w:sz w:val="20"/>
              </w:rPr>
              <w:t>Caudal mínimo q</w:t>
            </w:r>
            <w:r>
              <w:rPr>
                <w:b/>
                <w:sz w:val="13"/>
              </w:rPr>
              <w:t>v </w:t>
            </w:r>
            <w:r>
              <w:rPr>
                <w:b/>
                <w:position w:val="1"/>
                <w:sz w:val="20"/>
              </w:rPr>
              <w:t>en l/s</w:t>
            </w:r>
          </w:p>
        </w:tc>
      </w:tr>
      <w:tr>
        <w:trPr>
          <w:trHeight w:val="624" w:hRule="atLeast"/>
        </w:trPr>
        <w:tc>
          <w:tcPr>
            <w:tcW w:w="3384" w:type="dxa"/>
            <w:tcBorders>
              <w:left w:val="nil"/>
            </w:tcBorders>
          </w:tcPr>
          <w:p>
            <w:pPr>
              <w:pStyle w:val="TableParagraph"/>
              <w:spacing w:before="4"/>
              <w:jc w:val="left"/>
              <w:rPr>
                <w:b/>
                <w:sz w:val="24"/>
              </w:rPr>
            </w:pPr>
          </w:p>
          <w:p>
            <w:pPr>
              <w:pStyle w:val="TableParagraph"/>
              <w:ind w:left="88"/>
              <w:jc w:val="left"/>
              <w:rPr>
                <w:b/>
                <w:i/>
                <w:sz w:val="20"/>
              </w:rPr>
            </w:pPr>
            <w:r>
              <w:rPr>
                <w:b/>
                <w:i/>
                <w:sz w:val="20"/>
              </w:rPr>
              <w:t>Locales</w:t>
            </w:r>
          </w:p>
        </w:tc>
        <w:tc>
          <w:tcPr>
            <w:tcW w:w="4280" w:type="dxa"/>
            <w:tcBorders>
              <w:right w:val="nil"/>
            </w:tcBorders>
          </w:tcPr>
          <w:p>
            <w:pPr>
              <w:pStyle w:val="TableParagraph"/>
              <w:tabs>
                <w:tab w:pos="2625" w:val="left" w:leader="none"/>
              </w:tabs>
              <w:spacing w:line="168" w:lineRule="auto" w:before="85"/>
              <w:ind w:left="2464" w:right="161" w:hanging="1815"/>
              <w:jc w:val="left"/>
              <w:rPr>
                <w:b/>
                <w:sz w:val="20"/>
              </w:rPr>
            </w:pPr>
            <w:r>
              <w:rPr>
                <w:b/>
                <w:position w:val="-11"/>
                <w:sz w:val="20"/>
              </w:rPr>
              <w:t>Por</w:t>
            </w:r>
            <w:r>
              <w:rPr>
                <w:b/>
                <w:spacing w:val="-2"/>
                <w:position w:val="-11"/>
                <w:sz w:val="20"/>
              </w:rPr>
              <w:t> </w:t>
            </w:r>
            <w:r>
              <w:rPr>
                <w:b/>
                <w:position w:val="-11"/>
                <w:sz w:val="20"/>
              </w:rPr>
              <w:t>m</w:t>
            </w:r>
            <w:r>
              <w:rPr>
                <w:position w:val="-4"/>
                <w:sz w:val="13"/>
              </w:rPr>
              <w:t>2</w:t>
            </w:r>
            <w:r>
              <w:rPr>
                <w:spacing w:val="18"/>
                <w:position w:val="-4"/>
                <w:sz w:val="13"/>
              </w:rPr>
              <w:t> </w:t>
            </w:r>
            <w:r>
              <w:rPr>
                <w:b/>
                <w:position w:val="-11"/>
                <w:sz w:val="20"/>
              </w:rPr>
              <w:t>útil</w:t>
              <w:tab/>
              <w:tab/>
            </w:r>
            <w:r>
              <w:rPr>
                <w:b/>
                <w:sz w:val="20"/>
              </w:rPr>
              <w:t>En función de otros</w:t>
            </w:r>
            <w:r>
              <w:rPr>
                <w:b/>
                <w:spacing w:val="11"/>
                <w:sz w:val="20"/>
              </w:rPr>
              <w:t> </w:t>
            </w:r>
            <w:r>
              <w:rPr>
                <w:b/>
                <w:spacing w:val="-3"/>
                <w:sz w:val="20"/>
              </w:rPr>
              <w:t>parámetros</w:t>
            </w:r>
          </w:p>
        </w:tc>
      </w:tr>
      <w:tr>
        <w:trPr>
          <w:trHeight w:val="275" w:hRule="atLeast"/>
        </w:trPr>
        <w:tc>
          <w:tcPr>
            <w:tcW w:w="3384" w:type="dxa"/>
            <w:tcBorders>
              <w:left w:val="nil"/>
            </w:tcBorders>
          </w:tcPr>
          <w:p>
            <w:pPr>
              <w:pStyle w:val="TableParagraph"/>
              <w:spacing w:line="229" w:lineRule="exact" w:before="27"/>
              <w:ind w:left="88"/>
              <w:jc w:val="left"/>
              <w:rPr>
                <w:b/>
                <w:sz w:val="20"/>
              </w:rPr>
            </w:pPr>
            <w:r>
              <w:rPr>
                <w:b/>
                <w:sz w:val="20"/>
              </w:rPr>
              <w:t>Trasteros y sus zonas comunes</w:t>
            </w:r>
          </w:p>
        </w:tc>
        <w:tc>
          <w:tcPr>
            <w:tcW w:w="4280" w:type="dxa"/>
            <w:tcBorders>
              <w:right w:val="nil"/>
            </w:tcBorders>
          </w:tcPr>
          <w:p>
            <w:pPr>
              <w:pStyle w:val="TableParagraph"/>
              <w:spacing w:before="9"/>
              <w:ind w:left="1007"/>
              <w:jc w:val="left"/>
              <w:rPr>
                <w:sz w:val="20"/>
              </w:rPr>
            </w:pPr>
            <w:r>
              <w:rPr>
                <w:sz w:val="20"/>
              </w:rPr>
              <w:t>0,7</w:t>
            </w:r>
          </w:p>
        </w:tc>
      </w:tr>
      <w:tr>
        <w:trPr>
          <w:trHeight w:val="274" w:hRule="atLeast"/>
        </w:trPr>
        <w:tc>
          <w:tcPr>
            <w:tcW w:w="3384" w:type="dxa"/>
            <w:tcBorders>
              <w:left w:val="nil"/>
            </w:tcBorders>
          </w:tcPr>
          <w:p>
            <w:pPr>
              <w:pStyle w:val="TableParagraph"/>
              <w:spacing w:line="227" w:lineRule="exact" w:before="27"/>
              <w:ind w:left="88"/>
              <w:jc w:val="left"/>
              <w:rPr>
                <w:b/>
                <w:sz w:val="20"/>
              </w:rPr>
            </w:pPr>
            <w:r>
              <w:rPr>
                <w:b/>
                <w:sz w:val="20"/>
              </w:rPr>
              <w:t>Aparcamientos y garajes</w:t>
            </w:r>
          </w:p>
        </w:tc>
        <w:tc>
          <w:tcPr>
            <w:tcW w:w="4280" w:type="dxa"/>
            <w:tcBorders>
              <w:right w:val="nil"/>
            </w:tcBorders>
          </w:tcPr>
          <w:p>
            <w:pPr>
              <w:pStyle w:val="TableParagraph"/>
              <w:spacing w:line="229" w:lineRule="exact" w:before="25"/>
              <w:ind w:left="2680"/>
              <w:jc w:val="left"/>
              <w:rPr>
                <w:sz w:val="20"/>
              </w:rPr>
            </w:pPr>
            <w:r>
              <w:rPr>
                <w:sz w:val="20"/>
              </w:rPr>
              <w:t>120 por plaza</w:t>
            </w:r>
          </w:p>
        </w:tc>
      </w:tr>
      <w:tr>
        <w:trPr>
          <w:trHeight w:val="275" w:hRule="atLeast"/>
        </w:trPr>
        <w:tc>
          <w:tcPr>
            <w:tcW w:w="3384" w:type="dxa"/>
            <w:tcBorders>
              <w:left w:val="nil"/>
            </w:tcBorders>
          </w:tcPr>
          <w:p>
            <w:pPr>
              <w:pStyle w:val="TableParagraph"/>
              <w:spacing w:line="229" w:lineRule="exact" w:before="27"/>
              <w:ind w:left="88"/>
              <w:jc w:val="left"/>
              <w:rPr>
                <w:b/>
                <w:sz w:val="20"/>
              </w:rPr>
            </w:pPr>
            <w:r>
              <w:rPr>
                <w:b/>
                <w:sz w:val="20"/>
              </w:rPr>
              <w:t>Almacenes de residuos</w:t>
            </w:r>
          </w:p>
        </w:tc>
        <w:tc>
          <w:tcPr>
            <w:tcW w:w="4280" w:type="dxa"/>
            <w:tcBorders>
              <w:right w:val="nil"/>
            </w:tcBorders>
          </w:tcPr>
          <w:p>
            <w:pPr>
              <w:pStyle w:val="TableParagraph"/>
              <w:spacing w:before="9"/>
              <w:ind w:left="1036"/>
              <w:jc w:val="left"/>
              <w:rPr>
                <w:sz w:val="20"/>
              </w:rPr>
            </w:pPr>
            <w:r>
              <w:rPr>
                <w:sz w:val="20"/>
              </w:rPr>
              <w:t>10</w:t>
            </w:r>
          </w:p>
        </w:tc>
      </w:tr>
    </w:tbl>
    <w:p>
      <w:pPr>
        <w:pStyle w:val="BodyText"/>
        <w:spacing w:before="2"/>
        <w:rPr>
          <w:b/>
          <w:sz w:val="30"/>
        </w:rPr>
      </w:pPr>
    </w:p>
    <w:p>
      <w:pPr>
        <w:spacing w:before="1"/>
        <w:ind w:left="1802" w:right="385" w:firstLine="0"/>
        <w:jc w:val="left"/>
        <w:rPr>
          <w:sz w:val="16"/>
        </w:rPr>
      </w:pPr>
      <w:r>
        <w:rPr/>
        <w:pict>
          <v:line style="position:absolute;mso-position-horizontal-relative:page;mso-position-vertical-relative:paragraph;z-index:251827200" from="144.720001pt,-2.825795pt" to="144.720001pt,18.534205pt" stroked="true" strokeweight=".48001pt" strokecolor="#000000">
            <v:stroke dashstyle="solid"/>
            <w10:wrap type="none"/>
          </v:line>
        </w:pict>
      </w:r>
      <w:r>
        <w:rPr>
          <w:sz w:val="16"/>
        </w:rPr>
        <w:t>En el caso de garajes con ventilación mecánica y sistema de detección de monóxido de carbono, se entiende que debe activarse el caudal mínimo exigido al menos cuando la concentración del CO supere los valores</w:t>
      </w:r>
    </w:p>
    <w:p>
      <w:pPr>
        <w:spacing w:after="0"/>
        <w:jc w:val="left"/>
        <w:rPr>
          <w:sz w:val="16"/>
        </w:rPr>
        <w:sectPr>
          <w:pgSz w:w="11910" w:h="16840"/>
          <w:pgMar w:header="724" w:footer="636" w:top="1320" w:bottom="820" w:left="1200" w:right="738"/>
        </w:sectPr>
      </w:pPr>
    </w:p>
    <w:p>
      <w:pPr>
        <w:spacing w:before="90"/>
        <w:ind w:left="1802" w:right="386" w:hanging="1"/>
        <w:jc w:val="left"/>
        <w:rPr>
          <w:sz w:val="16"/>
        </w:rPr>
      </w:pPr>
      <w:r>
        <w:rPr/>
        <w:pict>
          <v:line style="position:absolute;mso-position-horizontal-relative:page;mso-position-vertical-relative:paragraph;z-index:251828224" from="144.720001pt,4.624224pt" to="144.720001pt,25.984224pt" stroked="true" strokeweight=".48001pt" strokecolor="#000000">
            <v:stroke dashstyle="solid"/>
            <w10:wrap type="none"/>
          </v:line>
        </w:pict>
      </w:r>
      <w:r>
        <w:rPr>
          <w:sz w:val="16"/>
        </w:rPr>
        <w:t>límite establecidos en el apartado 3.1.4.2 Medios de ventilación mecánica. Durante los periodos de tiempo en los que no se alcance dicho límite, podrán establecerse caudales inferiores de ventilación.</w:t>
      </w:r>
    </w:p>
    <w:p>
      <w:pPr>
        <w:pStyle w:val="BodyText"/>
      </w:pPr>
    </w:p>
    <w:p>
      <w:pPr>
        <w:pStyle w:val="BodyText"/>
        <w:spacing w:before="1"/>
        <w:rPr>
          <w:sz w:val="19"/>
        </w:rPr>
      </w:pPr>
    </w:p>
    <w:p>
      <w:pPr>
        <w:pStyle w:val="Heading2"/>
        <w:numPr>
          <w:ilvl w:val="0"/>
          <w:numId w:val="119"/>
        </w:numPr>
        <w:tabs>
          <w:tab w:pos="842" w:val="left" w:leader="none"/>
          <w:tab w:pos="843" w:val="left" w:leader="none"/>
        </w:tabs>
        <w:spacing w:line="240" w:lineRule="auto" w:before="91" w:after="0"/>
        <w:ind w:left="842" w:right="0" w:hanging="625"/>
        <w:jc w:val="left"/>
      </w:pPr>
      <w:r>
        <w:rPr/>
        <w:t>Diseño</w:t>
      </w:r>
    </w:p>
    <w:p>
      <w:pPr>
        <w:pStyle w:val="BodyText"/>
        <w:spacing w:before="3"/>
        <w:rPr>
          <w:b/>
          <w:sz w:val="38"/>
        </w:rPr>
      </w:pPr>
    </w:p>
    <w:p>
      <w:pPr>
        <w:pStyle w:val="Heading3"/>
        <w:numPr>
          <w:ilvl w:val="1"/>
          <w:numId w:val="119"/>
        </w:numPr>
        <w:tabs>
          <w:tab w:pos="672" w:val="left" w:leader="none"/>
        </w:tabs>
        <w:spacing w:line="240" w:lineRule="auto" w:before="0" w:after="0"/>
        <w:ind w:left="671" w:right="0" w:hanging="454"/>
        <w:jc w:val="left"/>
      </w:pPr>
      <w:r>
        <w:rPr/>
        <w:t>Condiciones generales de los sistemas de</w:t>
      </w:r>
      <w:r>
        <w:rPr>
          <w:spacing w:val="-5"/>
        </w:rPr>
        <w:t> </w:t>
      </w:r>
      <w:r>
        <w:rPr/>
        <w:t>ventilación</w:t>
      </w:r>
    </w:p>
    <w:p>
      <w:pPr>
        <w:pStyle w:val="BodyText"/>
        <w:spacing w:before="2"/>
        <w:rPr>
          <w:b/>
          <w:sz w:val="26"/>
        </w:rPr>
      </w:pPr>
    </w:p>
    <w:p>
      <w:pPr>
        <w:pStyle w:val="Heading5"/>
        <w:numPr>
          <w:ilvl w:val="2"/>
          <w:numId w:val="119"/>
        </w:numPr>
        <w:tabs>
          <w:tab w:pos="938" w:val="left" w:leader="none"/>
          <w:tab w:pos="939" w:val="left" w:leader="none"/>
        </w:tabs>
        <w:spacing w:line="240" w:lineRule="auto" w:before="0" w:after="0"/>
        <w:ind w:left="938" w:right="0" w:hanging="721"/>
        <w:jc w:val="left"/>
      </w:pPr>
      <w:r>
        <w:rPr/>
        <w:t>Viviendas</w:t>
      </w:r>
    </w:p>
    <w:p>
      <w:pPr>
        <w:pStyle w:val="ListParagraph"/>
        <w:numPr>
          <w:ilvl w:val="0"/>
          <w:numId w:val="120"/>
        </w:numPr>
        <w:tabs>
          <w:tab w:pos="578" w:val="left" w:leader="none"/>
          <w:tab w:pos="579" w:val="left" w:leader="none"/>
        </w:tabs>
        <w:spacing w:line="240" w:lineRule="auto" w:before="97" w:after="0"/>
        <w:ind w:left="576" w:right="389" w:hanging="358"/>
        <w:jc w:val="left"/>
        <w:rPr>
          <w:sz w:val="20"/>
        </w:rPr>
      </w:pPr>
      <w:r>
        <w:rPr>
          <w:sz w:val="20"/>
        </w:rPr>
        <w:t>Las viviendas deben disponer de un sistema general de </w:t>
      </w:r>
      <w:r>
        <w:rPr>
          <w:i/>
          <w:sz w:val="20"/>
        </w:rPr>
        <w:t>ventilación </w:t>
      </w:r>
      <w:r>
        <w:rPr>
          <w:sz w:val="20"/>
        </w:rPr>
        <w:t>que puede ser </w:t>
      </w:r>
      <w:r>
        <w:rPr>
          <w:i/>
          <w:sz w:val="20"/>
        </w:rPr>
        <w:t>híbrida </w:t>
      </w:r>
      <w:r>
        <w:rPr>
          <w:sz w:val="20"/>
        </w:rPr>
        <w:t>o </w:t>
      </w:r>
      <w:r>
        <w:rPr>
          <w:i/>
          <w:sz w:val="20"/>
        </w:rPr>
        <w:t>mecáni- </w:t>
      </w:r>
      <w:r>
        <w:rPr>
          <w:i/>
          <w:sz w:val="20"/>
        </w:rPr>
        <w:t>ca </w:t>
      </w:r>
      <w:r>
        <w:rPr>
          <w:sz w:val="20"/>
        </w:rPr>
        <w:t>con las siguientes características (véanse los ejemplos de la figura</w:t>
      </w:r>
      <w:r>
        <w:rPr>
          <w:spacing w:val="-7"/>
          <w:sz w:val="20"/>
        </w:rPr>
        <w:t> </w:t>
      </w:r>
      <w:r>
        <w:rPr>
          <w:sz w:val="20"/>
        </w:rPr>
        <w:t>3.1):</w:t>
      </w:r>
    </w:p>
    <w:p>
      <w:pPr>
        <w:pStyle w:val="BodyText"/>
        <w:spacing w:before="6"/>
        <w:rPr>
          <w:sz w:val="30"/>
        </w:rPr>
      </w:pPr>
    </w:p>
    <w:p>
      <w:pPr>
        <w:spacing w:before="0"/>
        <w:ind w:left="1802" w:right="392" w:firstLine="0"/>
        <w:jc w:val="both"/>
        <w:rPr>
          <w:sz w:val="16"/>
        </w:rPr>
      </w:pPr>
      <w:r>
        <w:rPr/>
        <w:pict>
          <v:line style="position:absolute;mso-position-horizontal-relative:page;mso-position-vertical-relative:paragraph;z-index:251829248" from="144.720001pt,.124214pt" to="144.720001pt,70.504214pt" stroked="true" strokeweight=".48001pt" strokecolor="#000000">
            <v:stroke dashstyle="solid"/>
            <w10:wrap type="none"/>
          </v:line>
        </w:pict>
      </w:r>
      <w:r>
        <w:rPr>
          <w:sz w:val="16"/>
        </w:rPr>
        <w:t>Este sistema de ventilación se exige para proporcionar una ventilación de fondo que sirva para diluir los contaminantes que se producen de forma habitual por el uso de la vivienda, como son la humedad y el CO</w:t>
      </w:r>
      <w:r>
        <w:rPr>
          <w:sz w:val="16"/>
          <w:vertAlign w:val="subscript"/>
        </w:rPr>
        <w:t>2</w:t>
      </w:r>
      <w:r>
        <w:rPr>
          <w:sz w:val="16"/>
          <w:vertAlign w:val="baseline"/>
        </w:rPr>
        <w:t> producidos por el metabolismo de las personas y en la realización de sus actividades, como higiene, lavado y secado de ropa, así como otros producidos también de forma habitual por los productos de construcción, mobiliario y acabados de la vivienda, como son el formaldehido ureico y fenólico, etc.</w:t>
      </w:r>
    </w:p>
    <w:p>
      <w:pPr>
        <w:spacing w:before="60"/>
        <w:ind w:left="1802" w:right="392" w:firstLine="0"/>
        <w:jc w:val="both"/>
        <w:rPr>
          <w:sz w:val="16"/>
        </w:rPr>
      </w:pPr>
      <w:r>
        <w:rPr>
          <w:sz w:val="16"/>
        </w:rPr>
        <w:t>No se acepta que la ventilación sea exclusivamente natural para garantizar su adecuado funcionamiento en todo momento y evitar su fallo, por ejemplo en momentos de inversión térmica.</w:t>
      </w:r>
    </w:p>
    <w:p>
      <w:pPr>
        <w:pStyle w:val="BodyText"/>
        <w:spacing w:before="3"/>
        <w:rPr>
          <w:sz w:val="22"/>
        </w:rPr>
      </w:pPr>
    </w:p>
    <w:p>
      <w:pPr>
        <w:pStyle w:val="ListParagraph"/>
        <w:numPr>
          <w:ilvl w:val="1"/>
          <w:numId w:val="120"/>
        </w:numPr>
        <w:tabs>
          <w:tab w:pos="940" w:val="left" w:leader="none"/>
        </w:tabs>
        <w:spacing w:line="240" w:lineRule="auto" w:before="94" w:after="0"/>
        <w:ind w:left="938" w:right="391" w:hanging="363"/>
        <w:jc w:val="both"/>
        <w:rPr>
          <w:sz w:val="20"/>
        </w:rPr>
      </w:pPr>
      <w:r>
        <w:rPr>
          <w:sz w:val="20"/>
        </w:rPr>
        <w:t>el aire debe circular desde los </w:t>
      </w:r>
      <w:r>
        <w:rPr>
          <w:i/>
          <w:sz w:val="20"/>
        </w:rPr>
        <w:t>locales </w:t>
      </w:r>
      <w:r>
        <w:rPr>
          <w:sz w:val="20"/>
        </w:rPr>
        <w:t>secos a los húmedos, para ello los comedores, los dormi- torios y las salas de estar deben disponer de </w:t>
      </w:r>
      <w:r>
        <w:rPr>
          <w:i/>
          <w:sz w:val="20"/>
        </w:rPr>
        <w:t>aberturas de admisión</w:t>
      </w:r>
      <w:r>
        <w:rPr>
          <w:sz w:val="20"/>
        </w:rPr>
        <w:t>; los aseos, las cocinas y los cuartos de baño deben disponer de </w:t>
      </w:r>
      <w:r>
        <w:rPr>
          <w:i/>
          <w:sz w:val="20"/>
        </w:rPr>
        <w:t>aberturas de extracción</w:t>
      </w:r>
      <w:r>
        <w:rPr>
          <w:sz w:val="20"/>
        </w:rPr>
        <w:t>; las particiones situadas entre los lo- cales con </w:t>
      </w:r>
      <w:r>
        <w:rPr>
          <w:i/>
          <w:sz w:val="20"/>
        </w:rPr>
        <w:t>admisión </w:t>
      </w:r>
      <w:r>
        <w:rPr>
          <w:sz w:val="20"/>
        </w:rPr>
        <w:t>y los locales con </w:t>
      </w:r>
      <w:r>
        <w:rPr>
          <w:i/>
          <w:sz w:val="20"/>
        </w:rPr>
        <w:t>extracción </w:t>
      </w:r>
      <w:r>
        <w:rPr>
          <w:sz w:val="20"/>
        </w:rPr>
        <w:t>deben disponer de </w:t>
      </w:r>
      <w:r>
        <w:rPr>
          <w:i/>
          <w:sz w:val="20"/>
        </w:rPr>
        <w:t>aberturas de</w:t>
      </w:r>
      <w:r>
        <w:rPr>
          <w:i/>
          <w:spacing w:val="-17"/>
          <w:sz w:val="20"/>
        </w:rPr>
        <w:t> </w:t>
      </w:r>
      <w:r>
        <w:rPr>
          <w:i/>
          <w:sz w:val="20"/>
        </w:rPr>
        <w:t>paso</w:t>
      </w:r>
      <w:r>
        <w:rPr>
          <w:sz w:val="20"/>
        </w:rPr>
        <w:t>;</w:t>
      </w:r>
    </w:p>
    <w:p>
      <w:pPr>
        <w:pStyle w:val="BodyText"/>
        <w:rPr>
          <w:sz w:val="22"/>
        </w:rPr>
      </w:pPr>
    </w:p>
    <w:p>
      <w:pPr>
        <w:spacing w:before="157"/>
        <w:ind w:left="1802" w:right="418" w:firstLine="0"/>
        <w:jc w:val="left"/>
        <w:rPr>
          <w:sz w:val="16"/>
        </w:rPr>
      </w:pPr>
      <w:r>
        <w:rPr/>
        <w:pict>
          <v:line style="position:absolute;mso-position-horizontal-relative:page;mso-position-vertical-relative:paragraph;z-index:251830272" from="144.720001pt,4.974209pt" to="144.720001pt,29.394209pt" stroked="true" strokeweight=".48001pt" strokecolor="#000000">
            <v:stroke dashstyle="solid"/>
            <w10:wrap type="none"/>
          </v:line>
        </w:pict>
      </w:r>
      <w:r>
        <w:rPr>
          <w:sz w:val="16"/>
        </w:rPr>
        <w:t>Esta condición se establece para que no se produzca un flujo de contaminantes de los locales más contami- nados a los menos contaminados.</w:t>
      </w:r>
    </w:p>
    <w:p>
      <w:pPr>
        <w:pStyle w:val="BodyText"/>
        <w:spacing w:before="3"/>
        <w:rPr>
          <w:sz w:val="22"/>
        </w:rPr>
      </w:pPr>
    </w:p>
    <w:p>
      <w:pPr>
        <w:pStyle w:val="ListParagraph"/>
        <w:numPr>
          <w:ilvl w:val="1"/>
          <w:numId w:val="120"/>
        </w:numPr>
        <w:tabs>
          <w:tab w:pos="939" w:val="left" w:leader="none"/>
        </w:tabs>
        <w:spacing w:line="240" w:lineRule="auto" w:before="94" w:after="0"/>
        <w:ind w:left="938" w:right="392" w:hanging="363"/>
        <w:jc w:val="both"/>
        <w:rPr>
          <w:sz w:val="20"/>
        </w:rPr>
      </w:pPr>
      <w:r>
        <w:rPr>
          <w:sz w:val="20"/>
        </w:rPr>
        <w:t>los </w:t>
      </w:r>
      <w:r>
        <w:rPr>
          <w:i/>
          <w:sz w:val="20"/>
        </w:rPr>
        <w:t>locales </w:t>
      </w:r>
      <w:r>
        <w:rPr>
          <w:sz w:val="20"/>
        </w:rPr>
        <w:t>con varios usos de los del punto anterior, deben disponer en cada zona destinada a un uso diferente de las aberturas</w:t>
      </w:r>
      <w:r>
        <w:rPr>
          <w:spacing w:val="-4"/>
          <w:sz w:val="20"/>
        </w:rPr>
        <w:t> </w:t>
      </w:r>
      <w:r>
        <w:rPr>
          <w:sz w:val="20"/>
        </w:rPr>
        <w:t>correspondientes;</w:t>
      </w:r>
    </w:p>
    <w:p>
      <w:pPr>
        <w:pStyle w:val="ListParagraph"/>
        <w:numPr>
          <w:ilvl w:val="1"/>
          <w:numId w:val="120"/>
        </w:numPr>
        <w:tabs>
          <w:tab w:pos="939" w:val="left" w:leader="none"/>
        </w:tabs>
        <w:spacing w:line="240" w:lineRule="auto" w:before="60" w:after="0"/>
        <w:ind w:left="938" w:right="390" w:hanging="363"/>
        <w:jc w:val="both"/>
        <w:rPr>
          <w:sz w:val="20"/>
        </w:rPr>
      </w:pPr>
      <w:r>
        <w:rPr>
          <w:sz w:val="20"/>
        </w:rPr>
        <w:t>como </w:t>
      </w:r>
      <w:r>
        <w:rPr>
          <w:i/>
          <w:sz w:val="20"/>
        </w:rPr>
        <w:t>aberturas de admisión</w:t>
      </w:r>
      <w:r>
        <w:rPr>
          <w:sz w:val="20"/>
        </w:rPr>
        <w:t>, se dispondrán aberturas dotadas de </w:t>
      </w:r>
      <w:r>
        <w:rPr>
          <w:i/>
          <w:sz w:val="20"/>
        </w:rPr>
        <w:t>aireadores </w:t>
      </w:r>
      <w:r>
        <w:rPr>
          <w:sz w:val="20"/>
        </w:rPr>
        <w:t>o </w:t>
      </w:r>
      <w:r>
        <w:rPr>
          <w:i/>
          <w:sz w:val="20"/>
        </w:rPr>
        <w:t>aperturas fijas </w:t>
      </w:r>
      <w:r>
        <w:rPr>
          <w:sz w:val="20"/>
        </w:rPr>
        <w:t>de la carpintería, como son los </w:t>
      </w:r>
      <w:r>
        <w:rPr>
          <w:i/>
          <w:sz w:val="20"/>
        </w:rPr>
        <w:t>dispositivos de microventilación </w:t>
      </w:r>
      <w:r>
        <w:rPr>
          <w:sz w:val="20"/>
        </w:rPr>
        <w:t>con una permeabilidad al aire según UNE EN 12207:2000 en la posición de apertura de clase 1; no obstante, cuando las carpinterías exteriores sean de clase 1 de permeabilidad al aire según UNE EN 12207:2000 pueden conside- rarse como </w:t>
      </w:r>
      <w:r>
        <w:rPr>
          <w:i/>
          <w:sz w:val="20"/>
        </w:rPr>
        <w:t>aberturas de admisión </w:t>
      </w:r>
      <w:r>
        <w:rPr>
          <w:sz w:val="20"/>
        </w:rPr>
        <w:t>las </w:t>
      </w:r>
      <w:r>
        <w:rPr>
          <w:i/>
          <w:sz w:val="20"/>
        </w:rPr>
        <w:t>juntas de</w:t>
      </w:r>
      <w:r>
        <w:rPr>
          <w:i/>
          <w:spacing w:val="-9"/>
          <w:sz w:val="20"/>
        </w:rPr>
        <w:t> </w:t>
      </w:r>
      <w:r>
        <w:rPr>
          <w:i/>
          <w:sz w:val="20"/>
        </w:rPr>
        <w:t>apertura</w:t>
      </w:r>
      <w:r>
        <w:rPr>
          <w:sz w:val="20"/>
        </w:rPr>
        <w:t>;</w:t>
      </w:r>
    </w:p>
    <w:p>
      <w:pPr>
        <w:pStyle w:val="BodyText"/>
        <w:rPr>
          <w:sz w:val="22"/>
        </w:rPr>
      </w:pPr>
    </w:p>
    <w:p>
      <w:pPr>
        <w:spacing w:before="157"/>
        <w:ind w:left="1886" w:right="0" w:firstLine="0"/>
        <w:jc w:val="left"/>
        <w:rPr>
          <w:sz w:val="16"/>
        </w:rPr>
      </w:pPr>
      <w:r>
        <w:rPr/>
        <w:pict>
          <v:line style="position:absolute;mso-position-horizontal-relative:page;mso-position-vertical-relative:paragraph;z-index:251831296" from="148.919998pt,4.974318pt" to="148.919998pt,59.754318pt" stroked="true" strokeweight=".48pt" strokecolor="#000000">
            <v:stroke dashstyle="solid"/>
            <w10:wrap type="none"/>
          </v:line>
        </w:pict>
      </w:r>
      <w:r>
        <w:rPr>
          <w:sz w:val="16"/>
        </w:rPr>
        <w:t>La permeabilidad al aire según UNE EN 12207:2000 se obtiene:</w:t>
      </w:r>
    </w:p>
    <w:p>
      <w:pPr>
        <w:pStyle w:val="ListParagraph"/>
        <w:numPr>
          <w:ilvl w:val="2"/>
          <w:numId w:val="120"/>
        </w:numPr>
        <w:tabs>
          <w:tab w:pos="2468" w:val="left" w:leader="none"/>
        </w:tabs>
        <w:spacing w:line="240" w:lineRule="auto" w:before="120" w:after="0"/>
        <w:ind w:left="2467" w:right="0" w:hanging="222"/>
        <w:jc w:val="left"/>
        <w:rPr>
          <w:sz w:val="16"/>
        </w:rPr>
      </w:pPr>
      <w:r>
        <w:rPr>
          <w:sz w:val="16"/>
        </w:rPr>
        <w:t>en la posición de cerrada para clasificar las ventanas o carpinterías exteriores en</w:t>
      </w:r>
      <w:r>
        <w:rPr>
          <w:spacing w:val="-5"/>
          <w:sz w:val="16"/>
        </w:rPr>
        <w:t> </w:t>
      </w:r>
      <w:r>
        <w:rPr>
          <w:sz w:val="16"/>
        </w:rPr>
        <w:t>general,</w:t>
      </w:r>
    </w:p>
    <w:p>
      <w:pPr>
        <w:pStyle w:val="ListParagraph"/>
        <w:numPr>
          <w:ilvl w:val="2"/>
          <w:numId w:val="120"/>
        </w:numPr>
        <w:tabs>
          <w:tab w:pos="2468" w:val="left" w:leader="none"/>
        </w:tabs>
        <w:spacing w:line="240" w:lineRule="auto" w:before="119" w:after="0"/>
        <w:ind w:left="2467" w:right="394" w:hanging="221"/>
        <w:jc w:val="left"/>
        <w:rPr>
          <w:sz w:val="16"/>
        </w:rPr>
      </w:pPr>
      <w:r>
        <w:rPr>
          <w:sz w:val="16"/>
        </w:rPr>
        <w:t>en la posición de apertura para clasificar las aberturas de admisión, como los aireadores o apertu- ras</w:t>
      </w:r>
      <w:r>
        <w:rPr>
          <w:spacing w:val="-1"/>
          <w:sz w:val="16"/>
        </w:rPr>
        <w:t> </w:t>
      </w:r>
      <w:r>
        <w:rPr>
          <w:sz w:val="16"/>
        </w:rPr>
        <w:t>fijas.</w:t>
      </w:r>
    </w:p>
    <w:p>
      <w:pPr>
        <w:pStyle w:val="BodyText"/>
        <w:spacing w:before="5"/>
        <w:rPr>
          <w:sz w:val="23"/>
        </w:rPr>
      </w:pPr>
    </w:p>
    <w:p>
      <w:pPr>
        <w:spacing w:before="95"/>
        <w:ind w:left="1886" w:right="0" w:firstLine="0"/>
        <w:jc w:val="left"/>
        <w:rPr>
          <w:sz w:val="16"/>
        </w:rPr>
      </w:pPr>
      <w:r>
        <w:rPr/>
        <w:pict>
          <v:line style="position:absolute;mso-position-horizontal-relative:page;mso-position-vertical-relative:paragraph;z-index:251832320" from="148.919998pt,1.873945pt" to="148.919998pt,26.293945pt" stroked="true" strokeweight=".48pt" strokecolor="#000000">
            <v:stroke dashstyle="solid"/>
            <w10:wrap type="none"/>
          </v:line>
        </w:pict>
      </w:r>
      <w:r>
        <w:rPr>
          <w:sz w:val="16"/>
        </w:rPr>
        <w:t>Esta clase 1 exigida .para los aireadores y las aperturas fijas se refiere a la mínima permeabilidad al aire necesaria pero, desde el punto de vista de la calidad del aire, podría ser mayor.</w:t>
      </w:r>
    </w:p>
    <w:p>
      <w:pPr>
        <w:pStyle w:val="BodyText"/>
        <w:spacing w:before="5"/>
        <w:rPr>
          <w:sz w:val="23"/>
        </w:rPr>
      </w:pPr>
    </w:p>
    <w:p>
      <w:pPr>
        <w:spacing w:before="95"/>
        <w:ind w:left="1874" w:right="394" w:firstLine="0"/>
        <w:jc w:val="both"/>
        <w:rPr>
          <w:sz w:val="16"/>
        </w:rPr>
      </w:pPr>
      <w:r>
        <w:rPr/>
        <w:pict>
          <v:line style="position:absolute;mso-position-horizontal-relative:page;mso-position-vertical-relative:paragraph;z-index:251833344" from="148.320007pt,1.873847pt" to="148.320007pt,59.893847pt" stroked="true" strokeweight=".48pt" strokecolor="#000000">
            <v:stroke dashstyle="solid"/>
            <w10:wrap type="none"/>
          </v:line>
        </w:pict>
      </w:r>
      <w:r>
        <w:rPr>
          <w:sz w:val="16"/>
        </w:rPr>
        <w:t>Se entiende que una ventana clasificada según UNE EN 12207:2000 no pierde su clasificación al incorpo- rársele un aireador porque lo que se evalúa con esta norma es el comportamiento de las juntas de apertura.</w:t>
      </w:r>
    </w:p>
    <w:p>
      <w:pPr>
        <w:spacing w:before="120"/>
        <w:ind w:left="1874" w:right="393" w:firstLine="0"/>
        <w:jc w:val="both"/>
        <w:rPr>
          <w:sz w:val="16"/>
        </w:rPr>
      </w:pPr>
      <w:r>
        <w:rPr>
          <w:sz w:val="16"/>
        </w:rPr>
        <w:t>En este texto esta clasificación se utiliza para establecer la obligatoriedad de disponer un elemento adicio- nal que aporte aire exterior. Si la ventana es de clase 1, no necesita ningún elemento adicional para propor- cionar el aire necesario.</w:t>
      </w:r>
    </w:p>
    <w:p>
      <w:pPr>
        <w:pStyle w:val="BodyText"/>
        <w:spacing w:before="5"/>
        <w:rPr>
          <w:sz w:val="23"/>
        </w:rPr>
      </w:pPr>
    </w:p>
    <w:p>
      <w:pPr>
        <w:spacing w:before="94"/>
        <w:ind w:left="1874" w:right="393" w:firstLine="0"/>
        <w:jc w:val="both"/>
        <w:rPr>
          <w:sz w:val="16"/>
        </w:rPr>
      </w:pPr>
      <w:r>
        <w:rPr/>
        <w:pict>
          <v:line style="position:absolute;mso-position-horizontal-relative:page;mso-position-vertical-relative:paragraph;z-index:251834368" from="148.320007pt,1.82385pt" to="148.320007pt,59.84385pt" stroked="true" strokeweight=".48pt" strokecolor="#000000">
            <v:stroke dashstyle="solid"/>
            <w10:wrap type="none"/>
          </v:line>
        </w:pict>
      </w:r>
      <w:r>
        <w:rPr>
          <w:sz w:val="16"/>
        </w:rPr>
        <w:t>La exigencia sobre demanda energética del edificio, en la que influyen las pérdidas energéticas producidas como consecuencia de la ventilación, se trata en el DB HE-1 Limitación de la demanda energética.</w:t>
      </w:r>
    </w:p>
    <w:p>
      <w:pPr>
        <w:spacing w:before="121"/>
        <w:ind w:left="1874" w:right="393" w:firstLine="0"/>
        <w:jc w:val="both"/>
        <w:rPr>
          <w:sz w:val="16"/>
        </w:rPr>
      </w:pPr>
      <w:r>
        <w:rPr>
          <w:sz w:val="16"/>
        </w:rPr>
        <w:t>De esta forma, las pérdidas energéticas debidas a la ventilación se tienen en cuenta en la evaluación de la demanda global de los edificios que se realiza en HULC al introducirse el valor de las renovaciones por hora correspondiente a cada edificio, y que debe responder con el exigido en esta sección.</w:t>
      </w:r>
    </w:p>
    <w:p>
      <w:pPr>
        <w:spacing w:after="0"/>
        <w:jc w:val="both"/>
        <w:rPr>
          <w:sz w:val="16"/>
        </w:rPr>
        <w:sectPr>
          <w:pgSz w:w="11910" w:h="16840"/>
          <w:pgMar w:header="724" w:footer="636" w:top="1320" w:bottom="820" w:left="1200" w:right="738"/>
        </w:sectPr>
      </w:pPr>
    </w:p>
    <w:p>
      <w:pPr>
        <w:spacing w:before="150"/>
        <w:ind w:left="1874" w:right="418" w:firstLine="0"/>
        <w:jc w:val="left"/>
        <w:rPr>
          <w:sz w:val="16"/>
        </w:rPr>
      </w:pPr>
      <w:r>
        <w:rPr/>
        <w:pict>
          <v:line style="position:absolute;mso-position-horizontal-relative:page;mso-position-vertical-relative:paragraph;z-index:251835392" from="148.320007pt,4.624224pt" to="148.320007pt,28.984224pt" stroked="true" strokeweight=".48pt" strokecolor="#000000">
            <v:stroke dashstyle="solid"/>
            <w10:wrap type="none"/>
          </v:line>
        </w:pict>
      </w:r>
      <w:r>
        <w:rPr>
          <w:sz w:val="16"/>
        </w:rPr>
        <w:t>Los requisitos de calidad del aire y de limitación de la demanda energética se pueden cumplir simultánea- mente.</w:t>
      </w:r>
    </w:p>
    <w:p>
      <w:pPr>
        <w:pStyle w:val="BodyText"/>
        <w:spacing w:before="5"/>
        <w:rPr>
          <w:sz w:val="23"/>
        </w:rPr>
      </w:pPr>
    </w:p>
    <w:p>
      <w:pPr>
        <w:spacing w:before="94"/>
        <w:ind w:left="1874" w:right="391" w:firstLine="0"/>
        <w:jc w:val="both"/>
        <w:rPr>
          <w:sz w:val="16"/>
        </w:rPr>
      </w:pPr>
      <w:r>
        <w:rPr/>
        <w:pict>
          <v:line style="position:absolute;mso-position-horizontal-relative:page;mso-position-vertical-relative:paragraph;z-index:251836416" from="148.320007pt,1.824004pt" to="148.320007pt,102.624004pt" stroked="true" strokeweight=".48pt" strokecolor="#000000">
            <v:stroke dashstyle="solid"/>
            <w10:wrap type="none"/>
          </v:line>
        </w:pict>
      </w:r>
      <w:r>
        <w:rPr>
          <w:sz w:val="16"/>
        </w:rPr>
        <w:t>La exigencia acústica sobre las aberturas de admisión se trata en el DB HR Protección frente al ruido, de tal forma que se exige, por un lado, un aislamiento acústico mínimo a las ventanas y sus componentes, cajas de persiana y aireadores, con los dispositivos de ventilación cerrados y, por otro lado, a la parte opaca de la fachada.</w:t>
      </w:r>
    </w:p>
    <w:p>
      <w:pPr>
        <w:spacing w:before="120"/>
        <w:ind w:left="1874" w:right="392" w:firstLine="0"/>
        <w:jc w:val="both"/>
        <w:rPr>
          <w:sz w:val="16"/>
        </w:rPr>
      </w:pPr>
      <w:r>
        <w:rPr>
          <w:sz w:val="16"/>
        </w:rPr>
        <w:t>El aislamiento acústico mínimo de los aireadores se suele conseguir mediante la disposición de un material absorbente acústico en el interior del aireador que produce una atenuación acústica debida a la fricción del aire con las fibras del material absorbente, o mediante el diseño interior del recorrido de aire de forma labe- ríntica, que es el sistema utilizado cuando se necesita un aislamiento acústico mayor.</w:t>
      </w:r>
    </w:p>
    <w:p>
      <w:pPr>
        <w:spacing w:before="120"/>
        <w:ind w:left="1874" w:right="0" w:firstLine="0"/>
        <w:jc w:val="both"/>
        <w:rPr>
          <w:sz w:val="16"/>
        </w:rPr>
      </w:pPr>
      <w:r>
        <w:rPr>
          <w:sz w:val="16"/>
        </w:rPr>
        <w:t>Los requisitos de calidad del aire y de protección frente al ruido se cumplen de forma independiente.</w:t>
      </w:r>
    </w:p>
    <w:p>
      <w:pPr>
        <w:pStyle w:val="BodyText"/>
        <w:spacing w:before="2"/>
        <w:rPr>
          <w:sz w:val="22"/>
        </w:rPr>
      </w:pPr>
    </w:p>
    <w:p>
      <w:pPr>
        <w:pStyle w:val="ListParagraph"/>
        <w:numPr>
          <w:ilvl w:val="1"/>
          <w:numId w:val="120"/>
        </w:numPr>
        <w:tabs>
          <w:tab w:pos="939" w:val="left" w:leader="none"/>
        </w:tabs>
        <w:spacing w:line="240" w:lineRule="auto" w:before="94" w:after="0"/>
        <w:ind w:left="938" w:right="391" w:hanging="363"/>
        <w:jc w:val="left"/>
        <w:rPr>
          <w:sz w:val="20"/>
        </w:rPr>
      </w:pPr>
      <w:r>
        <w:rPr>
          <w:sz w:val="20"/>
        </w:rPr>
        <w:t>cuando la </w:t>
      </w:r>
      <w:r>
        <w:rPr>
          <w:i/>
          <w:sz w:val="20"/>
        </w:rPr>
        <w:t>ventilación </w:t>
      </w:r>
      <w:r>
        <w:rPr>
          <w:sz w:val="20"/>
        </w:rPr>
        <w:t>sea </w:t>
      </w:r>
      <w:r>
        <w:rPr>
          <w:i/>
          <w:sz w:val="20"/>
        </w:rPr>
        <w:t>híbrida </w:t>
      </w:r>
      <w:r>
        <w:rPr>
          <w:sz w:val="20"/>
        </w:rPr>
        <w:t>las </w:t>
      </w:r>
      <w:r>
        <w:rPr>
          <w:i/>
          <w:sz w:val="20"/>
        </w:rPr>
        <w:t>aberturas de admisión </w:t>
      </w:r>
      <w:r>
        <w:rPr>
          <w:sz w:val="20"/>
        </w:rPr>
        <w:t>deben comunicar directamente con el</w:t>
      </w:r>
      <w:r>
        <w:rPr>
          <w:spacing w:val="-1"/>
          <w:sz w:val="20"/>
        </w:rPr>
        <w:t> </w:t>
      </w:r>
      <w:r>
        <w:rPr>
          <w:sz w:val="20"/>
        </w:rPr>
        <w:t>exterior;</w:t>
      </w:r>
    </w:p>
    <w:p>
      <w:pPr>
        <w:pStyle w:val="BodyText"/>
        <w:rPr>
          <w:sz w:val="22"/>
        </w:rPr>
      </w:pPr>
    </w:p>
    <w:p>
      <w:pPr>
        <w:spacing w:before="158"/>
        <w:ind w:left="1958" w:right="0" w:firstLine="0"/>
        <w:jc w:val="left"/>
        <w:rPr>
          <w:sz w:val="16"/>
        </w:rPr>
      </w:pPr>
      <w:r>
        <w:rPr/>
        <w:pict>
          <v:line style="position:absolute;mso-position-horizontal-relative:page;mso-position-vertical-relative:paragraph;z-index:251837440" from="152.520004pt,5.024177pt" to="152.520004pt,29.444177pt" stroked="true" strokeweight=".48pt" strokecolor="#000000">
            <v:stroke dashstyle="solid"/>
            <w10:wrap type="none"/>
          </v:line>
        </w:pict>
      </w:r>
      <w:r>
        <w:rPr>
          <w:sz w:val="16"/>
        </w:rPr>
        <w:t>Esta condición se establece para reducir las pérdidas de carga que se puedan producir en los recorridos y favorecer el funcionamiento del sistema en régimen natural.</w:t>
      </w:r>
    </w:p>
    <w:p>
      <w:pPr>
        <w:pStyle w:val="BodyText"/>
        <w:spacing w:before="2"/>
        <w:rPr>
          <w:sz w:val="22"/>
        </w:rPr>
      </w:pPr>
    </w:p>
    <w:p>
      <w:pPr>
        <w:pStyle w:val="ListParagraph"/>
        <w:numPr>
          <w:ilvl w:val="1"/>
          <w:numId w:val="120"/>
        </w:numPr>
        <w:tabs>
          <w:tab w:pos="939" w:val="left" w:leader="none"/>
        </w:tabs>
        <w:spacing w:line="240" w:lineRule="auto" w:before="94" w:after="0"/>
        <w:ind w:left="938" w:right="0" w:hanging="364"/>
        <w:jc w:val="left"/>
        <w:rPr>
          <w:sz w:val="20"/>
        </w:rPr>
      </w:pPr>
      <w:r>
        <w:rPr>
          <w:sz w:val="20"/>
        </w:rPr>
        <w:t>los </w:t>
      </w:r>
      <w:r>
        <w:rPr>
          <w:i/>
          <w:sz w:val="20"/>
        </w:rPr>
        <w:t>aireadores </w:t>
      </w:r>
      <w:r>
        <w:rPr>
          <w:sz w:val="20"/>
        </w:rPr>
        <w:t>deben disponerse a una distancia del suelo mayor que 1,80</w:t>
      </w:r>
      <w:r>
        <w:rPr>
          <w:spacing w:val="-11"/>
          <w:sz w:val="20"/>
        </w:rPr>
        <w:t> </w:t>
      </w:r>
      <w:r>
        <w:rPr>
          <w:sz w:val="20"/>
        </w:rPr>
        <w:t>m;</w:t>
      </w:r>
    </w:p>
    <w:p>
      <w:pPr>
        <w:pStyle w:val="BodyText"/>
        <w:rPr>
          <w:sz w:val="22"/>
        </w:rPr>
      </w:pPr>
    </w:p>
    <w:p>
      <w:pPr>
        <w:spacing w:before="158"/>
        <w:ind w:left="655" w:right="950" w:firstLine="0"/>
        <w:jc w:val="center"/>
        <w:rPr>
          <w:sz w:val="16"/>
        </w:rPr>
      </w:pPr>
      <w:r>
        <w:rPr/>
        <w:pict>
          <v:line style="position:absolute;mso-position-horizontal-relative:page;mso-position-vertical-relative:paragraph;z-index:251838464" from="148.919998pt,5.024194pt" to="148.919998pt,20.204194pt" stroked="true" strokeweight=".48pt" strokecolor="#000000">
            <v:stroke dashstyle="solid"/>
            <w10:wrap type="none"/>
          </v:line>
        </w:pict>
      </w:r>
      <w:r>
        <w:rPr>
          <w:sz w:val="16"/>
        </w:rPr>
        <w:t>Esta condición se establece para que no se produzcan corrientes de aire molestas.</w:t>
      </w:r>
    </w:p>
    <w:p>
      <w:pPr>
        <w:pStyle w:val="BodyText"/>
        <w:spacing w:before="3"/>
        <w:rPr>
          <w:sz w:val="22"/>
        </w:rPr>
      </w:pPr>
    </w:p>
    <w:p>
      <w:pPr>
        <w:pStyle w:val="ListParagraph"/>
        <w:numPr>
          <w:ilvl w:val="1"/>
          <w:numId w:val="120"/>
        </w:numPr>
        <w:tabs>
          <w:tab w:pos="939" w:val="left" w:leader="none"/>
        </w:tabs>
        <w:spacing w:line="240" w:lineRule="auto" w:before="94" w:after="0"/>
        <w:ind w:left="938" w:right="390" w:hanging="363"/>
        <w:jc w:val="both"/>
        <w:rPr>
          <w:sz w:val="20"/>
        </w:rPr>
      </w:pPr>
      <w:r>
        <w:rPr>
          <w:sz w:val="20"/>
        </w:rPr>
        <w:t>cuando algún </w:t>
      </w:r>
      <w:r>
        <w:rPr>
          <w:i/>
          <w:sz w:val="20"/>
        </w:rPr>
        <w:t>local </w:t>
      </w:r>
      <w:r>
        <w:rPr>
          <w:sz w:val="20"/>
        </w:rPr>
        <w:t>con </w:t>
      </w:r>
      <w:r>
        <w:rPr>
          <w:i/>
          <w:sz w:val="20"/>
        </w:rPr>
        <w:t>extracción </w:t>
      </w:r>
      <w:r>
        <w:rPr>
          <w:sz w:val="20"/>
        </w:rPr>
        <w:t>esté compartimentado, deben disponerse </w:t>
      </w:r>
      <w:r>
        <w:rPr>
          <w:i/>
          <w:sz w:val="20"/>
        </w:rPr>
        <w:t>aberturas de paso </w:t>
      </w:r>
      <w:r>
        <w:rPr>
          <w:sz w:val="20"/>
        </w:rPr>
        <w:t>entre los compartimentos; la </w:t>
      </w:r>
      <w:r>
        <w:rPr>
          <w:i/>
          <w:sz w:val="20"/>
        </w:rPr>
        <w:t>abertura de extracción </w:t>
      </w:r>
      <w:r>
        <w:rPr>
          <w:sz w:val="20"/>
        </w:rPr>
        <w:t>debe disponerse en el compartimento más contaminado que, en el caso de aseos y cuartos de baños, es aquel en el que está situado el inodoro, y en el caso de cocinas es aquel en el que está situada la zona de cocción; </w:t>
      </w:r>
      <w:r>
        <w:rPr>
          <w:i/>
          <w:sz w:val="20"/>
        </w:rPr>
        <w:t>la abertura </w:t>
      </w:r>
      <w:r>
        <w:rPr>
          <w:i/>
          <w:sz w:val="20"/>
        </w:rPr>
        <w:t>de paso </w:t>
      </w:r>
      <w:r>
        <w:rPr>
          <w:sz w:val="20"/>
        </w:rPr>
        <w:t>que conecta con el resto de la vivienda debe estar situada en el local menos contamina- do;</w:t>
      </w:r>
    </w:p>
    <w:p>
      <w:pPr>
        <w:pStyle w:val="BodyText"/>
        <w:rPr>
          <w:sz w:val="22"/>
        </w:rPr>
      </w:pPr>
    </w:p>
    <w:p>
      <w:pPr>
        <w:spacing w:before="157"/>
        <w:ind w:left="1886" w:right="0" w:firstLine="0"/>
        <w:jc w:val="left"/>
        <w:rPr>
          <w:sz w:val="16"/>
        </w:rPr>
      </w:pPr>
      <w:r>
        <w:rPr/>
        <w:pict>
          <v:line style="position:absolute;mso-position-horizontal-relative:page;mso-position-vertical-relative:paragraph;z-index:251839488" from="148.919998pt,4.974221pt" to="148.919998pt,29.394221pt" stroked="true" strokeweight=".48pt" strokecolor="#000000">
            <v:stroke dashstyle="solid"/>
            <w10:wrap type="none"/>
          </v:line>
        </w:pict>
      </w:r>
      <w:r>
        <w:rPr>
          <w:sz w:val="16"/>
        </w:rPr>
        <w:t>Esta condición se establece para que no se produzca un flujo de contaminantes de los locales más conta- minados a los menos contaminados.</w:t>
      </w:r>
    </w:p>
    <w:p>
      <w:pPr>
        <w:pStyle w:val="BodyText"/>
        <w:spacing w:before="3"/>
        <w:rPr>
          <w:sz w:val="22"/>
        </w:rPr>
      </w:pPr>
    </w:p>
    <w:p>
      <w:pPr>
        <w:pStyle w:val="ListParagraph"/>
        <w:numPr>
          <w:ilvl w:val="1"/>
          <w:numId w:val="120"/>
        </w:numPr>
        <w:tabs>
          <w:tab w:pos="939" w:val="left" w:leader="none"/>
        </w:tabs>
        <w:spacing w:line="240" w:lineRule="auto" w:before="94" w:after="0"/>
        <w:ind w:left="938" w:right="391" w:hanging="363"/>
        <w:jc w:val="both"/>
        <w:rPr>
          <w:sz w:val="20"/>
        </w:rPr>
      </w:pPr>
      <w:r>
        <w:rPr>
          <w:sz w:val="20"/>
        </w:rPr>
        <w:t>las </w:t>
      </w:r>
      <w:r>
        <w:rPr>
          <w:i/>
          <w:sz w:val="20"/>
        </w:rPr>
        <w:t>aberturas de extracción </w:t>
      </w:r>
      <w:r>
        <w:rPr>
          <w:sz w:val="20"/>
        </w:rPr>
        <w:t>deben conectarse a </w:t>
      </w:r>
      <w:r>
        <w:rPr>
          <w:i/>
          <w:sz w:val="20"/>
        </w:rPr>
        <w:t>conductos de extracción </w:t>
      </w:r>
      <w:r>
        <w:rPr>
          <w:sz w:val="20"/>
        </w:rPr>
        <w:t>y deben disponerse a una distancia del techo menor que 200 mm y a una distancia de cualquier rincón o esquina verti- cal mayor que 100</w:t>
      </w:r>
      <w:r>
        <w:rPr>
          <w:spacing w:val="-5"/>
          <w:sz w:val="20"/>
        </w:rPr>
        <w:t> </w:t>
      </w:r>
      <w:r>
        <w:rPr>
          <w:sz w:val="20"/>
        </w:rPr>
        <w:t>mm;</w:t>
      </w:r>
    </w:p>
    <w:p>
      <w:pPr>
        <w:pStyle w:val="ListParagraph"/>
        <w:numPr>
          <w:ilvl w:val="1"/>
          <w:numId w:val="120"/>
        </w:numPr>
        <w:tabs>
          <w:tab w:pos="939" w:val="left" w:leader="none"/>
        </w:tabs>
        <w:spacing w:line="240" w:lineRule="auto" w:before="59" w:after="0"/>
        <w:ind w:left="938" w:right="0" w:hanging="364"/>
        <w:jc w:val="both"/>
        <w:rPr>
          <w:sz w:val="20"/>
        </w:rPr>
      </w:pPr>
      <w:r>
        <w:rPr>
          <w:sz w:val="20"/>
        </w:rPr>
        <w:t>un mismo </w:t>
      </w:r>
      <w:r>
        <w:rPr>
          <w:i/>
          <w:sz w:val="20"/>
        </w:rPr>
        <w:t>conducto de extracción </w:t>
      </w:r>
      <w:r>
        <w:rPr>
          <w:sz w:val="20"/>
        </w:rPr>
        <w:t>puede ser compartido por aseos, baños, cocinas y</w:t>
      </w:r>
      <w:r>
        <w:rPr>
          <w:spacing w:val="-19"/>
          <w:sz w:val="20"/>
        </w:rPr>
        <w:t> </w:t>
      </w:r>
      <w:r>
        <w:rPr>
          <w:sz w:val="20"/>
        </w:rPr>
        <w:t>trasteros.</w:t>
      </w:r>
    </w:p>
    <w:p>
      <w:pPr>
        <w:pStyle w:val="BodyText"/>
        <w:rPr>
          <w:sz w:val="22"/>
        </w:rPr>
      </w:pPr>
    </w:p>
    <w:p>
      <w:pPr>
        <w:spacing w:before="158"/>
        <w:ind w:left="1886" w:right="0" w:firstLine="0"/>
        <w:jc w:val="left"/>
        <w:rPr>
          <w:sz w:val="16"/>
        </w:rPr>
      </w:pPr>
      <w:r>
        <w:rPr/>
        <w:pict>
          <v:line style="position:absolute;mso-position-horizontal-relative:page;mso-position-vertical-relative:paragraph;z-index:251840512" from="148.919998pt,5.024208pt" to="148.919998pt,20.204208pt" stroked="true" strokeweight=".48pt" strokecolor="#000000">
            <v:stroke dashstyle="solid"/>
            <w10:wrap type="none"/>
          </v:line>
        </w:pict>
      </w:r>
      <w:r>
        <w:rPr>
          <w:sz w:val="16"/>
        </w:rPr>
        <w:t>Se entiende que los conductos de extracción pueden ser individuales para cada vivienda o colectivos.</w:t>
      </w:r>
    </w:p>
    <w:p>
      <w:pPr>
        <w:spacing w:after="0"/>
        <w:jc w:val="left"/>
        <w:rPr>
          <w:sz w:val="16"/>
        </w:rPr>
        <w:sectPr>
          <w:pgSz w:w="11910" w:h="16840"/>
          <w:pgMar w:header="724" w:footer="636" w:top="1320" w:bottom="820" w:left="1200" w:right="738"/>
        </w:sectPr>
      </w:pPr>
    </w:p>
    <w:p>
      <w:pPr>
        <w:pStyle w:val="BodyText"/>
        <w:spacing w:before="1" w:after="1"/>
        <w:rPr>
          <w:sz w:val="10"/>
        </w:rPr>
      </w:pPr>
    </w:p>
    <w:p>
      <w:pPr>
        <w:pStyle w:val="BodyText"/>
        <w:tabs>
          <w:tab w:pos="7245" w:val="left" w:leader="none"/>
        </w:tabs>
        <w:ind w:left="1135"/>
      </w:pPr>
      <w:r>
        <w:rPr/>
        <w:pict>
          <v:group style="width:208.65pt;height:207.1pt;mso-position-horizontal-relative:char;mso-position-vertical-relative:line" coordorigin="0,0" coordsize="4173,4142">
            <v:shape style="position:absolute;left:5;top:132;width:4161;height:3876" coordorigin="6,133" coordsize="4161,3876" path="m6,4009l6,133,4166,133,4166,4009e" filled="false" stroked="true" strokeweight=".597906pt" strokecolor="#000000">
              <v:path arrowok="t"/>
              <v:stroke dashstyle="solid"/>
            </v:shape>
            <v:line style="position:absolute" from="4166,2370" to="931,2370" stroked="true" strokeweight=".608283pt" strokecolor="#000000">
              <v:stroke dashstyle="solid"/>
            </v:line>
            <v:line style="position:absolute" from="4166,1851" to="931,1851" stroked="true" strokeweight=".608283pt" strokecolor="#000000">
              <v:stroke dashstyle="solid"/>
            </v:line>
            <v:line style="position:absolute" from="1470,133" to="1470,1851" stroked="true" strokeweight=".58595pt" strokecolor="#000000">
              <v:stroke dashstyle="solid"/>
            </v:line>
            <v:shape style="position:absolute;left:5;top:1491;width:925;height:1199" coordorigin="6,1491" coordsize="925,1199" path="m931,2690l931,1491,6,1491e" filled="false" stroked="true" strokeweight=".594286pt" strokecolor="#000000">
              <v:path arrowok="t"/>
              <v:stroke dashstyle="solid"/>
            </v:shape>
            <v:line style="position:absolute" from="931,2690" to="6,2690" stroked="true" strokeweight=".608283pt" strokecolor="#000000">
              <v:stroke dashstyle="solid"/>
            </v:line>
            <v:line style="position:absolute" from="1470,2370" to="1470,4009" stroked="true" strokeweight=".58595pt" strokecolor="#000000">
              <v:stroke dashstyle="solid"/>
            </v:line>
            <v:line style="position:absolute" from="2741,2370" to="2741,4009" stroked="true" strokeweight=".58595pt" strokecolor="#000000">
              <v:stroke dashstyle="solid"/>
            </v:line>
            <v:line style="position:absolute" from="4166,4009" to="6,4009" stroked="true" strokeweight=".608283pt" strokecolor="#000000">
              <v:stroke dashstyle="solid"/>
            </v:line>
            <v:shape style="position:absolute;left:767;top:2135;width:328;height:62" coordorigin="768,2135" coordsize="328,62" path="m1095,2135l768,2135,838,2197e" filled="false" stroked="true" strokeweight=".607513pt" strokecolor="#000000">
              <v:path arrowok="t"/>
              <v:stroke dashstyle="solid"/>
            </v:shape>
            <v:line style="position:absolute" from="768,2135" to="838,2073" stroked="true" strokeweight=".598541pt" strokecolor="#000000">
              <v:stroke dashstyle="solid"/>
            </v:line>
            <v:line style="position:absolute" from="905,2073" to="905,2197" stroked="true" strokeweight=".58595pt" strokecolor="#000000">
              <v:stroke dashstyle="solid"/>
            </v:line>
            <v:line style="position:absolute" from="957,2073" to="957,2197" stroked="true" strokeweight=".58595pt" strokecolor="#000000">
              <v:stroke dashstyle="solid"/>
            </v:line>
            <v:shape style="position:absolute;left:1196;top:1681;width:60;height:340" coordorigin="1196,1682" coordsize="60,340" path="m1196,1682l1196,2022,1256,1949e" filled="false" stroked="true" strokeweight=".586616pt" strokecolor="#000000">
              <v:path arrowok="t"/>
              <v:stroke dashstyle="solid"/>
            </v:shape>
            <v:line style="position:absolute" from="1196,2022" to="1137,1949" stroked="true" strokeweight=".594879pt" strokecolor="#000000">
              <v:stroke dashstyle="solid"/>
            </v:line>
            <v:line style="position:absolute" from="1137,1879" to="1256,1879" stroked="true" strokeweight=".608283pt" strokecolor="#000000">
              <v:stroke dashstyle="solid"/>
            </v:line>
            <v:line style="position:absolute" from="1137,1825" to="1256,1825" stroked="true" strokeweight=".608283pt" strokecolor="#000000">
              <v:stroke dashstyle="solid"/>
            </v:line>
            <v:shape style="position:absolute;left:3456;top:1681;width:60;height:340" coordorigin="3456,1682" coordsize="60,340" path="m3456,1682l3456,2022,3516,1949e" filled="false" stroked="true" strokeweight=".586616pt" strokecolor="#000000">
              <v:path arrowok="t"/>
              <v:stroke dashstyle="solid"/>
            </v:shape>
            <v:line style="position:absolute" from="3456,2022" to="3397,1949" stroked="true" strokeweight=".594879pt" strokecolor="#000000">
              <v:stroke dashstyle="solid"/>
            </v:line>
            <v:line style="position:absolute" from="3397,1879" to="3516,1879" stroked="true" strokeweight=".608283pt" strokecolor="#000000">
              <v:stroke dashstyle="solid"/>
            </v:line>
            <v:line style="position:absolute" from="3397,1825" to="3516,1825" stroked="true" strokeweight=".608283pt" strokecolor="#000000">
              <v:stroke dashstyle="solid"/>
            </v:line>
            <v:shape style="position:absolute;left:2038;top:2202;width:61;height:340" coordorigin="2038,2202" coordsize="61,340" path="m2099,2542l2099,2202,2038,2275e" filled="false" stroked="true" strokeweight=".586638pt" strokecolor="#000000">
              <v:path arrowok="t"/>
              <v:stroke dashstyle="solid"/>
            </v:shape>
            <v:line style="position:absolute" from="2099,2202" to="2158,2275" stroked="true" strokeweight=".594879pt" strokecolor="#000000">
              <v:stroke dashstyle="solid"/>
            </v:line>
            <v:line style="position:absolute" from="2158,2345" to="2038,2345" stroked="true" strokeweight=".608283pt" strokecolor="#000000">
              <v:stroke dashstyle="solid"/>
            </v:line>
            <v:line style="position:absolute" from="2158,2399" to="2038,2399" stroked="true" strokeweight=".608283pt" strokecolor="#000000">
              <v:stroke dashstyle="solid"/>
            </v:line>
            <v:shape style="position:absolute;left:3456;top:2202;width:60;height:340" coordorigin="3456,2202" coordsize="60,340" path="m3456,2202l3456,2542,3516,2469e" filled="false" stroked="true" strokeweight=".586616pt" strokecolor="#000000">
              <v:path arrowok="t"/>
              <v:stroke dashstyle="solid"/>
            </v:shape>
            <v:line style="position:absolute" from="3456,2542" to="3397,2469" stroked="true" strokeweight=".594879pt" strokecolor="#000000">
              <v:stroke dashstyle="solid"/>
            </v:line>
            <v:line style="position:absolute" from="3397,2399" to="3516,2399" stroked="true" strokeweight=".608283pt" strokecolor="#000000">
              <v:stroke dashstyle="solid"/>
            </v:line>
            <v:line style="position:absolute" from="3397,2345" to="3516,2345" stroked="true" strokeweight=".608283pt" strokecolor="#000000">
              <v:stroke dashstyle="solid"/>
            </v:line>
            <v:shape style="position:absolute;left:1136;top:2202;width:60;height:340" coordorigin="1137,2202" coordsize="60,340" path="m1196,2542l1196,2202,1137,2275e" filled="false" stroked="true" strokeweight=".586616pt" strokecolor="#000000">
              <v:path arrowok="t"/>
              <v:stroke dashstyle="solid"/>
            </v:shape>
            <v:line style="position:absolute" from="1196,2202" to="1256,2275" stroked="true" strokeweight=".594879pt" strokecolor="#000000">
              <v:stroke dashstyle="solid"/>
            </v:line>
            <v:line style="position:absolute" from="1256,2345" to="1137,2345" stroked="true" strokeweight=".608283pt" strokecolor="#000000">
              <v:stroke dashstyle="solid"/>
            </v:line>
            <v:line style="position:absolute" from="1256,2399" to="1137,2399" stroked="true" strokeweight=".608283pt" strokecolor="#000000">
              <v:stroke dashstyle="solid"/>
            </v:line>
            <v:shape style="position:absolute;left:1135;top:2202;width:60;height:340" coordorigin="1136,2202" coordsize="60,340" path="m1195,2542l1195,2202,1136,2275e" filled="false" stroked="true" strokeweight=".586616pt" strokecolor="#000000">
              <v:path arrowok="t"/>
              <v:stroke dashstyle="solid"/>
            </v:shape>
            <v:line style="position:absolute" from="1195,2202" to="1255,2275" stroked="true" strokeweight=".594879pt" strokecolor="#000000">
              <v:stroke dashstyle="solid"/>
            </v:line>
            <v:line style="position:absolute" from="1255,2345" to="1136,2345" stroked="true" strokeweight=".608283pt" strokecolor="#000000">
              <v:stroke dashstyle="solid"/>
            </v:line>
            <v:line style="position:absolute" from="1255,2399" to="1136,2399" stroked="true" strokeweight=".608283pt" strokecolor="#000000">
              <v:stroke dashstyle="solid"/>
            </v:line>
            <v:shape style="position:absolute;left:3219;top:3094;width:490;height:114" type="#_x0000_t75" stroked="false">
              <v:imagedata r:id="rId76" o:title=""/>
            </v:shape>
            <v:shape style="position:absolute;left:1741;top:3096;width:730;height:112" type="#_x0000_t75" stroked="false">
              <v:imagedata r:id="rId77" o:title=""/>
            </v:shape>
            <v:shape style="position:absolute;left:378;top:3096;width:729;height:112" type="#_x0000_t75" stroked="false">
              <v:imagedata r:id="rId78" o:title=""/>
            </v:shape>
            <v:shape style="position:absolute;left:378;top:791;width:729;height:111" type="#_x0000_t75" stroked="false">
              <v:imagedata r:id="rId79" o:title=""/>
            </v:shape>
            <v:shape style="position:absolute;left:2180;top:789;width:1033;height:113" type="#_x0000_t75" stroked="false">
              <v:imagedata r:id="rId80" o:title=""/>
            </v:shape>
            <v:shape style="position:absolute;left:3229;top:820;width:31;height:81" coordorigin="3230,821" coordsize="31,81" path="m3243,821l3230,821,3230,901,3243,901,3243,858,3246,843,3251,836,3260,833,3243,833,3243,821xe" filled="true" fillcolor="#000000" stroked="false">
              <v:path arrowok="t"/>
              <v:fill type="solid"/>
            </v:shape>
            <v:shape style="position:absolute;left:3242;top:819;width:33;height:17" coordorigin="3242,820" coordsize="33,17" path="m3260,820l3251,822,3242,833,3260,833,3270,836,3275,824,3260,820xe" filled="true" fillcolor="#000000" stroked="false">
              <v:path arrowok="t"/>
              <v:fill type="solid"/>
            </v:shape>
            <v:shape style="position:absolute;left:176;top:1635;width:469;height:113" type="#_x0000_t75" stroked="false">
              <v:imagedata r:id="rId81" o:title=""/>
            </v:shape>
            <v:shape style="position:absolute;left:141;top:1834;width:168;height:112" type="#_x0000_t75" stroked="false">
              <v:imagedata r:id="rId82" o:title=""/>
            </v:shape>
            <v:shape style="position:absolute;left:372;top:1834;width:344;height:112" type="#_x0000_t75" stroked="false">
              <v:imagedata r:id="rId83" o:title=""/>
            </v:shape>
            <v:line style="position:absolute" from="196,2135" to="453,2135" stroked="true" strokeweight=".608283pt" strokecolor="#000000">
              <v:stroke dashstyle="solid"/>
            </v:line>
            <v:shape style="position:absolute;left:126;top:2073;width:71;height:124" coordorigin="126,2073" coordsize="71,124" path="m196,2073l126,2135,196,2197,196,2073e" filled="false" stroked="true" strokeweight=".591404pt" strokecolor="#000000">
              <v:path arrowok="t"/>
              <v:stroke dashstyle="solid"/>
            </v:shape>
            <v:shape style="position:absolute;left:126;top:2073;width:71;height:62" coordorigin="126,2074" coordsize="71,62" path="m196,2074l126,2136,173,2136,196,2074xe" filled="true" fillcolor="#000000" stroked="false">
              <v:path arrowok="t"/>
              <v:fill type="solid"/>
            </v:shape>
            <v:shape style="position:absolute;left:126;top:2135;width:71;height:62" coordorigin="126,2136" coordsize="71,62" path="m173,2136l126,2136,196,2198,173,2136xe" filled="true" fillcolor="#000000" stroked="false">
              <v:path arrowok="t"/>
              <v:fill type="solid"/>
            </v:shape>
            <v:shape style="position:absolute;left:172;top:2073;width:24;height:124" coordorigin="173,2074" coordsize="24,124" path="m196,2074l173,2136,196,2198,196,2074xe" filled="true" fillcolor="#000000" stroked="false">
              <v:path arrowok="t"/>
              <v:fill type="solid"/>
            </v:shape>
            <v:line style="position:absolute" from="3456,3817" to="3456,3550" stroked="true" strokeweight=".58595pt" strokecolor="#000000">
              <v:stroke dashstyle="solid"/>
            </v:line>
            <v:shape style="position:absolute;left:3396;top:3817;width:120;height:73" coordorigin="3397,3817" coordsize="120,73" path="m3397,3817l3456,3890,3516,3817,3397,3817e" filled="false" stroked="true" strokeweight=".602189pt" strokecolor="#000000">
              <v:path arrowok="t"/>
              <v:stroke dashstyle="solid"/>
            </v:shape>
            <v:shape style="position:absolute;left:3396;top:3817;width:60;height:73" coordorigin="3397,3818" coordsize="60,73" path="m3397,3818l3456,3891,3456,3842,3397,3818xe" filled="true" fillcolor="#000000" stroked="false">
              <v:path arrowok="t"/>
              <v:fill type="solid"/>
            </v:shape>
            <v:shape style="position:absolute;left:3456;top:3817;width:60;height:73" coordorigin="3456,3818" coordsize="60,73" path="m3516,3818l3456,3842,3456,3891,3516,3818xe" filled="true" fillcolor="#000000" stroked="false">
              <v:path arrowok="t"/>
              <v:fill type="solid"/>
            </v:shape>
            <v:shape style="position:absolute;left:3396;top:3817;width:120;height:25" coordorigin="3397,3818" coordsize="120,25" path="m3516,3818l3397,3818,3456,3842,3516,3818xe" filled="true" fillcolor="#000000" stroked="false">
              <v:path arrowok="t"/>
              <v:fill type="solid"/>
            </v:shape>
            <v:rect style="position:absolute;left:47;top:2032;width:80;height:205" filled="false" stroked="true" strokeweight=".588849pt" strokecolor="#000000">
              <v:stroke dashstyle="solid"/>
            </v:rect>
            <v:line style="position:absolute" from="126,2033" to="47,2238" stroked="true" strokeweight=".588849pt" strokecolor="#000000">
              <v:stroke dashstyle="solid"/>
            </v:line>
            <v:rect style="position:absolute;left:3357;top:3890;width:198;height:83" filled="false" stroked="true" strokeweight=".604985pt" strokecolor="#000000">
              <v:stroke dashstyle="solid"/>
            </v:rect>
            <v:line style="position:absolute" from="3358,3890" to="3555,3972" stroked="true" strokeweight=".604985pt" strokecolor="#000000">
              <v:stroke dashstyle="solid"/>
            </v:line>
            <v:line style="position:absolute" from="773,4142" to="773,3875" stroked="true" strokeweight=".58595pt" strokecolor="#000000">
              <v:stroke dashstyle="solid"/>
            </v:line>
            <v:shape style="position:absolute;left:713;top:3801;width:121;height:73" coordorigin="713,3802" coordsize="121,73" path="m713,3875l773,3802,833,3875,713,3875e" filled="false" stroked="true" strokeweight=".60226pt" strokecolor="#000000">
              <v:path arrowok="t"/>
              <v:stroke dashstyle="solid"/>
            </v:shape>
            <v:line style="position:absolute" from="2098,4142" to="2098,3875" stroked="true" strokeweight=".58595pt" strokecolor="#000000">
              <v:stroke dashstyle="solid"/>
            </v:line>
            <v:shape style="position:absolute;left:2038;top:3801;width:120;height:73" coordorigin="2038,3802" coordsize="120,73" path="m2038,3875l2098,3802,2157,3875,2038,3875e" filled="false" stroked="true" strokeweight=".602189pt" strokecolor="#000000">
              <v:path arrowok="t"/>
              <v:stroke dashstyle="solid"/>
            </v:shape>
            <v:line style="position:absolute" from="773,0" to="773,267" stroked="true" strokeweight=".58595pt" strokecolor="#000000">
              <v:stroke dashstyle="solid"/>
            </v:line>
            <v:shape style="position:absolute;left:713;top:266;width:121;height:73" coordorigin="713,267" coordsize="121,73" path="m833,267l773,340,713,267,833,267e" filled="false" stroked="true" strokeweight=".60226pt" strokecolor="#000000">
              <v:path arrowok="t"/>
              <v:stroke dashstyle="solid"/>
            </v:shape>
            <v:line style="position:absolute" from="2306,0" to="2306,267" stroked="true" strokeweight=".58595pt" strokecolor="#000000">
              <v:stroke dashstyle="solid"/>
            </v:line>
            <v:shape style="position:absolute;left:2246;top:266;width:120;height:73" coordorigin="2246,267" coordsize="120,73" path="m2366,267l2306,340,2246,267,2366,267e" filled="false" stroked="true" strokeweight=".602189pt" strokecolor="#000000">
              <v:path arrowok="t"/>
              <v:stroke dashstyle="solid"/>
            </v:shape>
            <v:line style="position:absolute" from="3325,0" to="3325,267" stroked="true" strokeweight=".58595pt" strokecolor="#000000">
              <v:stroke dashstyle="solid"/>
            </v:line>
            <v:shape style="position:absolute;left:3264;top:266;width:120;height:73" coordorigin="3265,267" coordsize="120,73" path="m3384,267l3325,340,3265,267,3384,267e" filled="false" stroked="true" strokeweight=".602189pt" strokecolor="#000000">
              <v:path arrowok="t"/>
              <v:stroke dashstyle="solid"/>
            </v:shape>
          </v:group>
        </w:pict>
      </w:r>
      <w:r>
        <w:rPr/>
      </w:r>
      <w:r>
        <w:rPr/>
        <w:tab/>
      </w:r>
      <w:r>
        <w:rPr>
          <w:position w:val="13"/>
        </w:rPr>
        <w:pict>
          <v:group style="width:124.8pt;height:194.4pt;mso-position-horizontal-relative:char;mso-position-vertical-relative:line" coordorigin="0,0" coordsize="2496,3888">
            <v:rect style="position:absolute;left:5;top:5;width:2370;height:3876" filled="false" stroked="true" strokeweight=".592025pt" strokecolor="#000000">
              <v:stroke dashstyle="solid"/>
            </v:rect>
            <v:shape style="position:absolute;left:5;top:5;width:874;height:1365" coordorigin="6,6" coordsize="874,1365" path="m879,6l879,1371,6,1371e" filled="false" stroked="true" strokeweight=".592436pt" strokecolor="#000000">
              <v:path arrowok="t"/>
              <v:stroke dashstyle="solid"/>
            </v:shape>
            <v:shape style="position:absolute;left:30;top:3635;width:413;height:217" type="#_x0000_t75" stroked="false">
              <v:imagedata r:id="rId84" o:title=""/>
            </v:shape>
            <v:shape style="position:absolute;left:30;top:51;width:413;height:217" type="#_x0000_t75" stroked="false">
              <v:imagedata r:id="rId85" o:title=""/>
            </v:shape>
            <v:shape style="position:absolute;left:715;top:537;width:328;height:62" coordorigin="716,537" coordsize="328,62" path="m1043,537l716,537,786,599e" filled="false" stroked="true" strokeweight=".607513pt" strokecolor="#000000">
              <v:path arrowok="t"/>
              <v:stroke dashstyle="solid"/>
            </v:shape>
            <v:line style="position:absolute" from="716,537" to="786,475" stroked="true" strokeweight=".598541pt" strokecolor="#000000">
              <v:stroke dashstyle="solid"/>
            </v:line>
            <v:line style="position:absolute" from="854,475" to="854,599" stroked="true" strokeweight=".58595pt" strokecolor="#000000">
              <v:stroke dashstyle="solid"/>
            </v:line>
            <v:line style="position:absolute" from="905,475" to="905,599" stroked="true" strokeweight=".58595pt" strokecolor="#000000">
              <v:stroke dashstyle="solid"/>
            </v:line>
            <v:shape style="position:absolute;left:1256;top:1626;width:457;height:113" type="#_x0000_t75" stroked="false">
              <v:imagedata r:id="rId86" o:title=""/>
            </v:shape>
            <v:shape style="position:absolute;left:222;top:2856;width:487;height:113" type="#_x0000_t75" stroked="false">
              <v:imagedata r:id="rId87" o:title=""/>
            </v:shape>
            <v:shape style="position:absolute;left:171;top:663;width:470;height:113" type="#_x0000_t75" stroked="false">
              <v:imagedata r:id="rId88" o:title=""/>
            </v:shape>
            <v:shape style="position:absolute;left:154;top:862;width:169;height:112" type="#_x0000_t75" stroked="false">
              <v:imagedata r:id="rId89" o:title=""/>
            </v:shape>
            <v:shape style="position:absolute;left:384;top:862;width:345;height:112" type="#_x0000_t75" stroked="false">
              <v:imagedata r:id="rId90" o:title=""/>
            </v:shape>
            <v:shape style="position:absolute;left:1255;top:1837;width:673;height:112" type="#_x0000_t75" stroked="false">
              <v:imagedata r:id="rId91" o:title=""/>
            </v:shape>
            <v:shape style="position:absolute;left:1254;top:2066;width:710;height:111" type="#_x0000_t75" stroked="false">
              <v:imagedata r:id="rId92" o:title=""/>
            </v:shape>
            <v:line style="position:absolute" from="2495,1997" to="2238,1997" stroked="true" strokeweight=".608283pt" strokecolor="#000000">
              <v:stroke dashstyle="solid"/>
            </v:line>
            <v:shape style="position:absolute;left:2168;top:1935;width:70;height:124" coordorigin="2168,1935" coordsize="70,124" path="m2238,2059l2168,1997,2238,1935,2238,2059e" filled="false" stroked="true" strokeweight=".591289pt" strokecolor="#000000">
              <v:path arrowok="t"/>
              <v:stroke dashstyle="solid"/>
            </v:shape>
          </v:group>
        </w:pict>
      </w:r>
      <w:r>
        <w:rPr>
          <w:position w:val="13"/>
        </w:rPr>
      </w:r>
    </w:p>
    <w:p>
      <w:pPr>
        <w:pStyle w:val="BodyText"/>
        <w:spacing w:before="3"/>
        <w:rPr>
          <w:sz w:val="17"/>
        </w:rPr>
      </w:pPr>
    </w:p>
    <w:p>
      <w:pPr>
        <w:tabs>
          <w:tab w:pos="3597" w:val="left" w:leader="none"/>
          <w:tab w:pos="5899" w:val="left" w:leader="none"/>
          <w:tab w:pos="8325" w:val="left" w:leader="none"/>
        </w:tabs>
        <w:spacing w:before="94"/>
        <w:ind w:left="1266" w:right="0" w:firstLine="0"/>
        <w:jc w:val="left"/>
        <w:rPr>
          <w:i/>
          <w:sz w:val="16"/>
        </w:rPr>
      </w:pPr>
      <w:r>
        <w:rPr/>
        <w:pict>
          <v:group style="position:absolute;margin-left:104.970001pt;margin-top:3.114219pt;width:4.9pt;height:12.05pt;mso-position-horizontal-relative:page;mso-position-vertical-relative:paragraph;z-index:251846656" coordorigin="2099,62" coordsize="98,241">
            <v:line style="position:absolute" from="2148,303" to="2148,114" stroked="true" strokeweight=".06pt" strokecolor="#0000ff">
              <v:stroke dashstyle="solid"/>
            </v:line>
            <v:line style="position:absolute" from="2196,114" to="2100,114" stroked="true" strokeweight=".06pt" strokecolor="#0000ff">
              <v:stroke dashstyle="solid"/>
            </v:line>
            <v:shape style="position:absolute;left:-48;top:11020;width:96;height:52" coordorigin="-48,11020" coordsize="96,52" path="m2148,63l2100,114m2148,63l2196,114e" filled="false" stroked="true" strokeweight=".06pt" strokecolor="#0000ff">
              <v:path arrowok="t"/>
              <v:stroke dashstyle="solid"/>
            </v:shape>
            <w10:wrap type="none"/>
          </v:group>
        </w:pict>
      </w:r>
      <w:r>
        <w:rPr/>
        <w:drawing>
          <wp:anchor distT="0" distB="0" distL="0" distR="0" allowOverlap="1" layoutInCell="1" locked="0" behindDoc="1" simplePos="0" relativeHeight="236191744">
            <wp:simplePos x="0" y="0"/>
            <wp:positionH relativeFrom="page">
              <wp:posOffset>2792348</wp:posOffset>
            </wp:positionH>
            <wp:positionV relativeFrom="paragraph">
              <wp:posOffset>41836</wp:posOffset>
            </wp:positionV>
            <wp:extent cx="68580" cy="141350"/>
            <wp:effectExtent l="0" t="0" r="0" b="0"/>
            <wp:wrapNone/>
            <wp:docPr id="13" name="image85.png"/>
            <wp:cNvGraphicFramePr>
              <a:graphicFrameLocks noChangeAspect="1"/>
            </wp:cNvGraphicFramePr>
            <a:graphic>
              <a:graphicData uri="http://schemas.openxmlformats.org/drawingml/2006/picture">
                <pic:pic>
                  <pic:nvPicPr>
                    <pic:cNvPr id="14" name="image85.png"/>
                    <pic:cNvPicPr/>
                  </pic:nvPicPr>
                  <pic:blipFill>
                    <a:blip r:embed="rId93" cstate="print"/>
                    <a:stretch>
                      <a:fillRect/>
                    </a:stretch>
                  </pic:blipFill>
                  <pic:spPr>
                    <a:xfrm>
                      <a:off x="0" y="0"/>
                      <a:ext cx="68580" cy="141350"/>
                    </a:xfrm>
                    <a:prstGeom prst="rect">
                      <a:avLst/>
                    </a:prstGeom>
                  </pic:spPr>
                </pic:pic>
              </a:graphicData>
            </a:graphic>
          </wp:anchor>
        </w:drawing>
      </w:r>
      <w:r>
        <w:rPr/>
        <w:pict>
          <v:group style="position:absolute;margin-left:338.730011pt;margin-top:5.874219pt;width:3.2pt;height:7.8pt;mso-position-horizontal-relative:page;mso-position-vertical-relative:paragraph;z-index:-267123712" coordorigin="6775,117" coordsize="64,156">
            <v:line style="position:absolute" from="6775,273" to="6838,118" stroked="true" strokeweight=".06pt" strokecolor="#0000ff">
              <v:stroke dashstyle="solid"/>
            </v:line>
            <v:rect style="position:absolute;left:6775;top:118;width:63;height:155" filled="false" stroked="true" strokeweight=".06pt" strokecolor="#0000ff">
              <v:stroke dashstyle="solid"/>
            </v:rect>
            <w10:wrap type="none"/>
          </v:group>
        </w:pict>
      </w:r>
      <w:r>
        <w:rPr/>
        <w:pict>
          <v:group style="position:absolute;margin-left:461.309998pt;margin-top:2.844219pt;width:4.9pt;height:11.65pt;mso-position-horizontal-relative:page;mso-position-vertical-relative:paragraph;z-index:-267122688" coordorigin="9226,57" coordsize="98,233">
            <v:line style="position:absolute" from="9275,57" to="9275,288" stroked="true" strokeweight=".06pt" strokecolor="#0000ff">
              <v:stroke dashstyle="solid"/>
            </v:line>
            <v:line style="position:absolute" from="9227,165" to="9323,165" stroked="true" strokeweight=".06pt" strokecolor="#0000ff">
              <v:stroke dashstyle="solid"/>
            </v:line>
            <v:line style="position:absolute" from="9227,206" to="9323,206" stroked="true" strokeweight=".06pt" strokecolor="#0000ff">
              <v:stroke dashstyle="solid"/>
            </v:line>
            <v:line style="position:absolute" from="9253,288" to="9227,258" stroked="true" strokeweight=".06pt" strokecolor="#0000ff">
              <v:stroke dashstyle="solid"/>
            </v:line>
            <v:line style="position:absolute" from="9296,288" to="9323,258" stroked="true" strokeweight=".06pt" strokecolor="#0000ff">
              <v:stroke dashstyle="solid"/>
            </v:line>
            <w10:wrap type="none"/>
          </v:group>
        </w:pict>
      </w:r>
      <w:r>
        <w:rPr>
          <w:i/>
          <w:sz w:val="16"/>
        </w:rPr>
        <w:t>abertura</w:t>
      </w:r>
      <w:r>
        <w:rPr>
          <w:i/>
          <w:spacing w:val="-1"/>
          <w:sz w:val="16"/>
        </w:rPr>
        <w:t> </w:t>
      </w:r>
      <w:r>
        <w:rPr>
          <w:i/>
          <w:sz w:val="16"/>
        </w:rPr>
        <w:t>de</w:t>
      </w:r>
      <w:r>
        <w:rPr>
          <w:i/>
          <w:spacing w:val="-1"/>
          <w:sz w:val="16"/>
        </w:rPr>
        <w:t> </w:t>
      </w:r>
      <w:r>
        <w:rPr>
          <w:i/>
          <w:sz w:val="16"/>
        </w:rPr>
        <w:t>admisión</w:t>
        <w:tab/>
        <w:t>abertura</w:t>
      </w:r>
      <w:r>
        <w:rPr>
          <w:i/>
          <w:spacing w:val="-1"/>
          <w:sz w:val="16"/>
        </w:rPr>
        <w:t> </w:t>
      </w:r>
      <w:r>
        <w:rPr>
          <w:i/>
          <w:sz w:val="16"/>
        </w:rPr>
        <w:t>de extracción</w:t>
        <w:tab/>
        <w:t>conducto</w:t>
      </w:r>
      <w:r>
        <w:rPr>
          <w:i/>
          <w:spacing w:val="-1"/>
          <w:sz w:val="16"/>
        </w:rPr>
        <w:t> </w:t>
      </w:r>
      <w:r>
        <w:rPr>
          <w:i/>
          <w:sz w:val="16"/>
        </w:rPr>
        <w:t>de</w:t>
      </w:r>
      <w:r>
        <w:rPr>
          <w:i/>
          <w:spacing w:val="-1"/>
          <w:sz w:val="16"/>
        </w:rPr>
        <w:t> </w:t>
      </w:r>
      <w:r>
        <w:rPr>
          <w:i/>
          <w:sz w:val="16"/>
        </w:rPr>
        <w:t>extracción</w:t>
        <w:tab/>
        <w:t>abertura de</w:t>
      </w:r>
      <w:r>
        <w:rPr>
          <w:i/>
          <w:spacing w:val="-1"/>
          <w:sz w:val="16"/>
        </w:rPr>
        <w:t> </w:t>
      </w:r>
      <w:r>
        <w:rPr>
          <w:i/>
          <w:sz w:val="16"/>
        </w:rPr>
        <w:t>paso</w:t>
      </w:r>
    </w:p>
    <w:p>
      <w:pPr>
        <w:pStyle w:val="BodyText"/>
        <w:spacing w:before="11"/>
        <w:rPr>
          <w:i/>
          <w:sz w:val="29"/>
        </w:rPr>
      </w:pPr>
    </w:p>
    <w:p>
      <w:pPr>
        <w:spacing w:before="94"/>
        <w:ind w:left="2138" w:right="0" w:firstLine="0"/>
        <w:jc w:val="both"/>
        <w:rPr>
          <w:b/>
          <w:sz w:val="18"/>
        </w:rPr>
      </w:pPr>
      <w:r>
        <w:rPr>
          <w:b/>
          <w:sz w:val="18"/>
        </w:rPr>
        <w:t>Figura 3.1 Ejemplos de ventilación en el interior de las viviendas</w:t>
      </w:r>
    </w:p>
    <w:p>
      <w:pPr>
        <w:pStyle w:val="ListParagraph"/>
        <w:numPr>
          <w:ilvl w:val="0"/>
          <w:numId w:val="120"/>
        </w:numPr>
        <w:tabs>
          <w:tab w:pos="579" w:val="left" w:leader="none"/>
        </w:tabs>
        <w:spacing w:line="240" w:lineRule="auto" w:before="1" w:after="0"/>
        <w:ind w:left="575" w:right="391" w:hanging="358"/>
        <w:jc w:val="both"/>
        <w:rPr>
          <w:sz w:val="20"/>
        </w:rPr>
      </w:pPr>
      <w:r>
        <w:rPr>
          <w:sz w:val="20"/>
        </w:rPr>
        <w:t>Las cocinas, comedores, dormitorios y salas de estar deben disponer de un sistema complementario de ventilación natural. Para ello debe disponerse una ventana exterior practicable o una puerta exte- rior.</w:t>
      </w:r>
    </w:p>
    <w:p>
      <w:pPr>
        <w:pStyle w:val="BodyText"/>
        <w:spacing w:before="4"/>
        <w:rPr>
          <w:sz w:val="28"/>
        </w:rPr>
      </w:pPr>
    </w:p>
    <w:p>
      <w:pPr>
        <w:spacing w:before="1"/>
        <w:ind w:left="1958" w:right="392" w:firstLine="0"/>
        <w:jc w:val="both"/>
        <w:rPr>
          <w:sz w:val="16"/>
        </w:rPr>
      </w:pPr>
      <w:r>
        <w:rPr/>
        <w:pict>
          <v:line style="position:absolute;mso-position-horizontal-relative:page;mso-position-vertical-relative:paragraph;z-index:251843584" from="152.520004pt,-2.825808pt" to="152.520004pt,39.954192pt" stroked="true" strokeweight=".48pt" strokecolor="#000000">
            <v:stroke dashstyle="solid"/>
            <w10:wrap type="none"/>
          </v:line>
        </w:pict>
      </w:r>
      <w:r>
        <w:rPr>
          <w:sz w:val="16"/>
        </w:rPr>
        <w:t>Este sistema de ventilación se exige para proporcionar una ventilación circunstancial que sirva para reducir la concentración de los contaminantes que se puedan producir por una situación accidental u ocasional, como pueda ser el vertido de un producto tóxico o irritante, su utilización en una operación de manteni- miento, etc.</w:t>
      </w:r>
    </w:p>
    <w:p>
      <w:pPr>
        <w:pStyle w:val="BodyText"/>
        <w:spacing w:before="2"/>
        <w:rPr>
          <w:sz w:val="22"/>
        </w:rPr>
      </w:pPr>
    </w:p>
    <w:p>
      <w:pPr>
        <w:pStyle w:val="ListParagraph"/>
        <w:numPr>
          <w:ilvl w:val="0"/>
          <w:numId w:val="120"/>
        </w:numPr>
        <w:tabs>
          <w:tab w:pos="579" w:val="left" w:leader="none"/>
        </w:tabs>
        <w:spacing w:line="240" w:lineRule="auto" w:before="94" w:after="0"/>
        <w:ind w:left="575" w:right="390" w:hanging="358"/>
        <w:jc w:val="both"/>
        <w:rPr>
          <w:sz w:val="20"/>
        </w:rPr>
      </w:pPr>
      <w:r>
        <w:rPr>
          <w:sz w:val="20"/>
        </w:rPr>
        <w:t>Las cocinas deben disponer de un sistema adicional específico de ventilación con </w:t>
      </w:r>
      <w:r>
        <w:rPr>
          <w:i/>
          <w:sz w:val="20"/>
        </w:rPr>
        <w:t>extracción </w:t>
      </w:r>
      <w:r>
        <w:rPr>
          <w:sz w:val="20"/>
        </w:rPr>
        <w:t>mecá- nica para los vapores y los contaminantes de la cocción. Para ello debe disponerse un </w:t>
      </w:r>
      <w:r>
        <w:rPr>
          <w:i/>
          <w:sz w:val="20"/>
        </w:rPr>
        <w:t>extracto</w:t>
      </w:r>
      <w:r>
        <w:rPr>
          <w:sz w:val="20"/>
        </w:rPr>
        <w:t>r co- nectado a un </w:t>
      </w:r>
      <w:r>
        <w:rPr>
          <w:i/>
          <w:sz w:val="20"/>
        </w:rPr>
        <w:t>conducto de extracción </w:t>
      </w:r>
      <w:r>
        <w:rPr>
          <w:sz w:val="20"/>
        </w:rPr>
        <w:t>independiente de los de la ventilación general de la vivienda que no puede utilizarse para la </w:t>
      </w:r>
      <w:r>
        <w:rPr>
          <w:i/>
          <w:sz w:val="20"/>
        </w:rPr>
        <w:t>extracción </w:t>
      </w:r>
      <w:r>
        <w:rPr>
          <w:sz w:val="20"/>
        </w:rPr>
        <w:t>de aire de </w:t>
      </w:r>
      <w:r>
        <w:rPr>
          <w:i/>
          <w:sz w:val="20"/>
        </w:rPr>
        <w:t>locales </w:t>
      </w:r>
      <w:r>
        <w:rPr>
          <w:sz w:val="20"/>
        </w:rPr>
        <w:t>de otro uso. Cuando este conducto sea compartido por varios </w:t>
      </w:r>
      <w:r>
        <w:rPr>
          <w:i/>
          <w:sz w:val="20"/>
        </w:rPr>
        <w:t>extractores</w:t>
      </w:r>
      <w:r>
        <w:rPr>
          <w:sz w:val="20"/>
        </w:rPr>
        <w:t>, cada uno de éstos debe estar dotado de una válvula automática que mantenga abierta su conexión con el conducto sólo cuando esté funcionando o de cualquier otro sistema</w:t>
      </w:r>
      <w:r>
        <w:rPr>
          <w:spacing w:val="-1"/>
          <w:sz w:val="20"/>
        </w:rPr>
        <w:t> </w:t>
      </w:r>
      <w:r>
        <w:rPr>
          <w:sz w:val="20"/>
        </w:rPr>
        <w:t>antirrevoco.</w:t>
      </w:r>
    </w:p>
    <w:p>
      <w:pPr>
        <w:pStyle w:val="BodyText"/>
        <w:spacing w:before="8"/>
        <w:rPr>
          <w:sz w:val="31"/>
        </w:rPr>
      </w:pPr>
    </w:p>
    <w:p>
      <w:pPr>
        <w:spacing w:before="0"/>
        <w:ind w:left="1958" w:right="391" w:firstLine="0"/>
        <w:jc w:val="both"/>
        <w:rPr>
          <w:sz w:val="16"/>
        </w:rPr>
      </w:pPr>
      <w:r>
        <w:rPr/>
        <w:pict>
          <v:line style="position:absolute;mso-position-horizontal-relative:page;mso-position-vertical-relative:paragraph;z-index:251844608" from="152.520004pt,-2.876144pt" to="152.520004pt,30.723856pt" stroked="true" strokeweight=".48pt" strokecolor="#000000">
            <v:stroke dashstyle="solid"/>
            <w10:wrap type="none"/>
          </v:line>
        </w:pict>
      </w:r>
      <w:r>
        <w:rPr>
          <w:sz w:val="16"/>
        </w:rPr>
        <w:t>Se entiende que un sistema que contribuye a evitar los revocos es la conexión de los extractores al con- ducto de extracción colectivo mediante un ramal que desemboque por debajo del arranque del ramal inmediatamente superior.</w:t>
      </w:r>
    </w:p>
    <w:p>
      <w:pPr>
        <w:pStyle w:val="BodyText"/>
        <w:spacing w:before="6"/>
        <w:rPr>
          <w:sz w:val="27"/>
        </w:rPr>
      </w:pPr>
    </w:p>
    <w:p>
      <w:pPr>
        <w:spacing w:before="94"/>
        <w:ind w:left="1958" w:right="393" w:firstLine="0"/>
        <w:jc w:val="both"/>
        <w:rPr>
          <w:sz w:val="16"/>
        </w:rPr>
      </w:pPr>
      <w:r>
        <w:rPr/>
        <w:pict>
          <v:line style="position:absolute;mso-position-horizontal-relative:page;mso-position-vertical-relative:paragraph;z-index:251845632" from="152.520004pt,1.824304pt" to="152.520004pt,35.424304pt" stroked="true" strokeweight=".48pt" strokecolor="#000000">
            <v:stroke dashstyle="solid"/>
            <w10:wrap type="none"/>
          </v:line>
        </w:pict>
      </w:r>
      <w:r>
        <w:rPr>
          <w:sz w:val="16"/>
        </w:rPr>
        <w:t>También es recomendable establecer el sistema antirrevoco en casos en los que sólo haya un extractor conectado para evitar disfunciones en la circulación del aire en las viviendas, es decir evitar que el aire que llegue a la cocina no provenga de los locales secos, sino del conducto del extractor.</w:t>
      </w:r>
    </w:p>
    <w:p>
      <w:pPr>
        <w:pStyle w:val="BodyText"/>
      </w:pPr>
    </w:p>
    <w:p>
      <w:pPr>
        <w:pStyle w:val="BodyText"/>
        <w:spacing w:before="8"/>
        <w:rPr>
          <w:sz w:val="19"/>
        </w:rPr>
      </w:pPr>
    </w:p>
    <w:p>
      <w:pPr>
        <w:pStyle w:val="Heading5"/>
        <w:numPr>
          <w:ilvl w:val="2"/>
          <w:numId w:val="119"/>
        </w:numPr>
        <w:tabs>
          <w:tab w:pos="938" w:val="left" w:leader="none"/>
          <w:tab w:pos="939" w:val="left" w:leader="none"/>
        </w:tabs>
        <w:spacing w:line="240" w:lineRule="auto" w:before="94" w:after="0"/>
        <w:ind w:left="938" w:right="0" w:hanging="721"/>
        <w:jc w:val="left"/>
      </w:pPr>
      <w:r>
        <w:rPr/>
        <w:t>Almacenes de</w:t>
      </w:r>
      <w:r>
        <w:rPr>
          <w:spacing w:val="-3"/>
        </w:rPr>
        <w:t> </w:t>
      </w:r>
      <w:r>
        <w:rPr/>
        <w:t>residuos</w:t>
      </w:r>
    </w:p>
    <w:p>
      <w:pPr>
        <w:spacing w:before="99"/>
        <w:ind w:left="575" w:right="390" w:hanging="358"/>
        <w:jc w:val="both"/>
        <w:rPr>
          <w:sz w:val="20"/>
        </w:rPr>
      </w:pPr>
      <w:r>
        <w:rPr>
          <w:sz w:val="20"/>
        </w:rPr>
        <w:t>1 En los almacenes de residuos debe disponerse un sistema de </w:t>
      </w:r>
      <w:r>
        <w:rPr>
          <w:i/>
          <w:sz w:val="20"/>
        </w:rPr>
        <w:t>ventilación </w:t>
      </w:r>
      <w:r>
        <w:rPr>
          <w:sz w:val="20"/>
        </w:rPr>
        <w:t>que puede ser </w:t>
      </w:r>
      <w:r>
        <w:rPr>
          <w:i/>
          <w:sz w:val="20"/>
        </w:rPr>
        <w:t>natural, </w:t>
      </w:r>
      <w:r>
        <w:rPr>
          <w:i/>
          <w:sz w:val="20"/>
        </w:rPr>
        <w:t>híbrida </w:t>
      </w:r>
      <w:r>
        <w:rPr>
          <w:sz w:val="20"/>
        </w:rPr>
        <w:t>o</w:t>
      </w:r>
      <w:r>
        <w:rPr>
          <w:spacing w:val="-2"/>
          <w:sz w:val="20"/>
        </w:rPr>
        <w:t> </w:t>
      </w:r>
      <w:r>
        <w:rPr>
          <w:i/>
          <w:sz w:val="20"/>
        </w:rPr>
        <w:t>mecánica</w:t>
      </w:r>
      <w:r>
        <w:rPr>
          <w:sz w:val="20"/>
        </w:rPr>
        <w:t>.</w:t>
      </w:r>
    </w:p>
    <w:p>
      <w:pPr>
        <w:pStyle w:val="BodyText"/>
        <w:spacing w:before="8"/>
        <w:rPr>
          <w:sz w:val="22"/>
        </w:rPr>
      </w:pPr>
    </w:p>
    <w:p>
      <w:pPr>
        <w:pStyle w:val="ListParagraph"/>
        <w:numPr>
          <w:ilvl w:val="3"/>
          <w:numId w:val="119"/>
        </w:numPr>
        <w:tabs>
          <w:tab w:pos="843" w:val="left" w:leader="none"/>
        </w:tabs>
        <w:spacing w:line="240" w:lineRule="auto" w:before="1" w:after="0"/>
        <w:ind w:left="842" w:right="0" w:hanging="625"/>
        <w:jc w:val="both"/>
        <w:rPr>
          <w:b/>
          <w:i/>
          <w:sz w:val="20"/>
        </w:rPr>
      </w:pPr>
      <w:r>
        <w:rPr>
          <w:b/>
          <w:sz w:val="20"/>
        </w:rPr>
        <w:t>Medios de </w:t>
      </w:r>
      <w:r>
        <w:rPr>
          <w:b/>
          <w:i/>
          <w:sz w:val="20"/>
        </w:rPr>
        <w:t>ventilación</w:t>
      </w:r>
      <w:r>
        <w:rPr>
          <w:b/>
          <w:i/>
          <w:spacing w:val="-4"/>
          <w:sz w:val="20"/>
        </w:rPr>
        <w:t> </w:t>
      </w:r>
      <w:r>
        <w:rPr>
          <w:b/>
          <w:i/>
          <w:sz w:val="20"/>
        </w:rPr>
        <w:t>natural</w:t>
      </w:r>
    </w:p>
    <w:p>
      <w:pPr>
        <w:pStyle w:val="ListParagraph"/>
        <w:numPr>
          <w:ilvl w:val="0"/>
          <w:numId w:val="121"/>
        </w:numPr>
        <w:tabs>
          <w:tab w:pos="579" w:val="left" w:leader="none"/>
        </w:tabs>
        <w:spacing w:line="240" w:lineRule="auto" w:before="98" w:after="0"/>
        <w:ind w:left="575" w:right="393" w:hanging="358"/>
        <w:jc w:val="both"/>
        <w:rPr>
          <w:sz w:val="20"/>
        </w:rPr>
      </w:pPr>
      <w:r>
        <w:rPr>
          <w:sz w:val="20"/>
        </w:rPr>
        <w:t>Cuando el almacén se ventile a través de </w:t>
      </w:r>
      <w:r>
        <w:rPr>
          <w:i/>
          <w:sz w:val="20"/>
        </w:rPr>
        <w:t>aberturas mixtas</w:t>
      </w:r>
      <w:r>
        <w:rPr>
          <w:sz w:val="20"/>
        </w:rPr>
        <w:t>, éstas deben disponerse al menos en dos partes opuestas del cerramiento, de tal forma que ningún punto de la zona diste más de 15 m de la abertura más</w:t>
      </w:r>
      <w:r>
        <w:rPr>
          <w:spacing w:val="-2"/>
          <w:sz w:val="20"/>
        </w:rPr>
        <w:t> </w:t>
      </w:r>
      <w:r>
        <w:rPr>
          <w:sz w:val="20"/>
        </w:rPr>
        <w:t>próxima.</w:t>
      </w:r>
    </w:p>
    <w:p>
      <w:pPr>
        <w:spacing w:after="0" w:line="240" w:lineRule="auto"/>
        <w:jc w:val="both"/>
        <w:rPr>
          <w:sz w:val="20"/>
        </w:rPr>
        <w:sectPr>
          <w:pgSz w:w="11910" w:h="16840"/>
          <w:pgMar w:header="724" w:footer="636" w:top="1320" w:bottom="820" w:left="1200" w:right="738"/>
        </w:sectPr>
      </w:pPr>
    </w:p>
    <w:p>
      <w:pPr>
        <w:pStyle w:val="ListParagraph"/>
        <w:numPr>
          <w:ilvl w:val="0"/>
          <w:numId w:val="121"/>
        </w:numPr>
        <w:tabs>
          <w:tab w:pos="579" w:val="left" w:leader="none"/>
        </w:tabs>
        <w:spacing w:line="240" w:lineRule="auto" w:before="89" w:after="0"/>
        <w:ind w:left="576" w:right="390" w:hanging="358"/>
        <w:jc w:val="both"/>
        <w:rPr>
          <w:sz w:val="20"/>
        </w:rPr>
      </w:pPr>
      <w:r>
        <w:rPr>
          <w:sz w:val="20"/>
        </w:rPr>
        <w:t>Cuando los almacenes se ventilen a través de </w:t>
      </w:r>
      <w:r>
        <w:rPr>
          <w:i/>
          <w:sz w:val="20"/>
        </w:rPr>
        <w:t>aberturas de admisión y extracción</w:t>
      </w:r>
      <w:r>
        <w:rPr>
          <w:sz w:val="20"/>
        </w:rPr>
        <w:t>, éstas deben co- municar directamente con el exterior y la separación vertical entre ellas debe ser como mínimo 1,5  m.</w:t>
      </w:r>
    </w:p>
    <w:p>
      <w:pPr>
        <w:pStyle w:val="BodyText"/>
        <w:spacing w:before="9"/>
        <w:rPr>
          <w:sz w:val="22"/>
        </w:rPr>
      </w:pPr>
    </w:p>
    <w:p>
      <w:pPr>
        <w:pStyle w:val="ListParagraph"/>
        <w:numPr>
          <w:ilvl w:val="3"/>
          <w:numId w:val="119"/>
        </w:numPr>
        <w:tabs>
          <w:tab w:pos="843" w:val="left" w:leader="none"/>
        </w:tabs>
        <w:spacing w:line="240" w:lineRule="auto" w:before="0" w:after="0"/>
        <w:ind w:left="842" w:right="0" w:hanging="625"/>
        <w:jc w:val="both"/>
        <w:rPr>
          <w:b/>
          <w:i/>
          <w:sz w:val="20"/>
        </w:rPr>
      </w:pPr>
      <w:r>
        <w:rPr>
          <w:b/>
          <w:sz w:val="20"/>
        </w:rPr>
        <w:t>Medios de </w:t>
      </w:r>
      <w:r>
        <w:rPr>
          <w:b/>
          <w:i/>
          <w:sz w:val="20"/>
        </w:rPr>
        <w:t>ventilación híbrida </w:t>
      </w:r>
      <w:r>
        <w:rPr>
          <w:b/>
          <w:sz w:val="20"/>
        </w:rPr>
        <w:t>y</w:t>
      </w:r>
      <w:r>
        <w:rPr>
          <w:b/>
          <w:spacing w:val="-8"/>
          <w:sz w:val="20"/>
        </w:rPr>
        <w:t> </w:t>
      </w:r>
      <w:r>
        <w:rPr>
          <w:b/>
          <w:i/>
          <w:sz w:val="20"/>
        </w:rPr>
        <w:t>mecánica</w:t>
      </w:r>
    </w:p>
    <w:p>
      <w:pPr>
        <w:pStyle w:val="ListParagraph"/>
        <w:numPr>
          <w:ilvl w:val="0"/>
          <w:numId w:val="122"/>
        </w:numPr>
        <w:tabs>
          <w:tab w:pos="579" w:val="left" w:leader="none"/>
        </w:tabs>
        <w:spacing w:line="240" w:lineRule="auto" w:before="98" w:after="0"/>
        <w:ind w:left="578" w:right="0" w:hanging="361"/>
        <w:jc w:val="both"/>
        <w:rPr>
          <w:sz w:val="20"/>
        </w:rPr>
      </w:pPr>
      <w:r>
        <w:rPr>
          <w:sz w:val="20"/>
        </w:rPr>
        <w:t>Para </w:t>
      </w:r>
      <w:r>
        <w:rPr>
          <w:i/>
          <w:sz w:val="20"/>
        </w:rPr>
        <w:t>ventilación híbrida</w:t>
      </w:r>
      <w:r>
        <w:rPr>
          <w:sz w:val="20"/>
        </w:rPr>
        <w:t>, las </w:t>
      </w:r>
      <w:r>
        <w:rPr>
          <w:i/>
          <w:sz w:val="20"/>
        </w:rPr>
        <w:t>aberturas de admisión </w:t>
      </w:r>
      <w:r>
        <w:rPr>
          <w:sz w:val="20"/>
        </w:rPr>
        <w:t>deben comunicar directamente con el</w:t>
      </w:r>
      <w:r>
        <w:rPr>
          <w:spacing w:val="-19"/>
          <w:sz w:val="20"/>
        </w:rPr>
        <w:t> </w:t>
      </w:r>
      <w:r>
        <w:rPr>
          <w:sz w:val="20"/>
        </w:rPr>
        <w:t>exterior.</w:t>
      </w:r>
    </w:p>
    <w:p>
      <w:pPr>
        <w:pStyle w:val="ListParagraph"/>
        <w:numPr>
          <w:ilvl w:val="0"/>
          <w:numId w:val="122"/>
        </w:numPr>
        <w:tabs>
          <w:tab w:pos="579" w:val="left" w:leader="none"/>
        </w:tabs>
        <w:spacing w:line="240" w:lineRule="auto" w:before="60" w:after="0"/>
        <w:ind w:left="576" w:right="390" w:hanging="358"/>
        <w:jc w:val="both"/>
        <w:rPr>
          <w:sz w:val="20"/>
        </w:rPr>
      </w:pPr>
      <w:r>
        <w:rPr>
          <w:sz w:val="20"/>
        </w:rPr>
        <w:t>Cuando el almacén esté compartimentado, la </w:t>
      </w:r>
      <w:r>
        <w:rPr>
          <w:i/>
          <w:sz w:val="20"/>
        </w:rPr>
        <w:t>abertura de extracción </w:t>
      </w:r>
      <w:r>
        <w:rPr>
          <w:sz w:val="20"/>
        </w:rPr>
        <w:t>debe disponerse en el compar- timento más contaminado, la de </w:t>
      </w:r>
      <w:r>
        <w:rPr>
          <w:i/>
          <w:sz w:val="20"/>
        </w:rPr>
        <w:t>admisión </w:t>
      </w:r>
      <w:r>
        <w:rPr>
          <w:sz w:val="20"/>
        </w:rPr>
        <w:t>en el otro u otros y deben disponerse </w:t>
      </w:r>
      <w:r>
        <w:rPr>
          <w:i/>
          <w:sz w:val="20"/>
        </w:rPr>
        <w:t>aberturas de paso </w:t>
      </w:r>
      <w:r>
        <w:rPr>
          <w:sz w:val="20"/>
        </w:rPr>
        <w:t>entre los</w:t>
      </w:r>
      <w:r>
        <w:rPr>
          <w:spacing w:val="-1"/>
          <w:sz w:val="20"/>
        </w:rPr>
        <w:t> </w:t>
      </w:r>
      <w:r>
        <w:rPr>
          <w:sz w:val="20"/>
        </w:rPr>
        <w:t>compartimentos.</w:t>
      </w:r>
    </w:p>
    <w:p>
      <w:pPr>
        <w:pStyle w:val="ListParagraph"/>
        <w:numPr>
          <w:ilvl w:val="0"/>
          <w:numId w:val="122"/>
        </w:numPr>
        <w:tabs>
          <w:tab w:pos="579" w:val="left" w:leader="none"/>
        </w:tabs>
        <w:spacing w:line="240" w:lineRule="auto" w:before="60" w:after="0"/>
        <w:ind w:left="578" w:right="0" w:hanging="361"/>
        <w:jc w:val="both"/>
        <w:rPr>
          <w:sz w:val="20"/>
        </w:rPr>
      </w:pPr>
      <w:r>
        <w:rPr>
          <w:sz w:val="20"/>
        </w:rPr>
        <w:t>Las aberturas de extracción deben conectarse a conductos de</w:t>
      </w:r>
      <w:r>
        <w:rPr>
          <w:spacing w:val="-7"/>
          <w:sz w:val="20"/>
        </w:rPr>
        <w:t> </w:t>
      </w:r>
      <w:r>
        <w:rPr>
          <w:sz w:val="20"/>
        </w:rPr>
        <w:t>extracción.</w:t>
      </w:r>
    </w:p>
    <w:p>
      <w:pPr>
        <w:pStyle w:val="ListParagraph"/>
        <w:numPr>
          <w:ilvl w:val="0"/>
          <w:numId w:val="122"/>
        </w:numPr>
        <w:tabs>
          <w:tab w:pos="579" w:val="left" w:leader="none"/>
        </w:tabs>
        <w:spacing w:line="240" w:lineRule="auto" w:before="61" w:after="0"/>
        <w:ind w:left="578" w:right="0" w:hanging="361"/>
        <w:jc w:val="both"/>
        <w:rPr>
          <w:sz w:val="20"/>
        </w:rPr>
      </w:pPr>
      <w:r>
        <w:rPr>
          <w:sz w:val="20"/>
        </w:rPr>
        <w:t>Los </w:t>
      </w:r>
      <w:r>
        <w:rPr>
          <w:i/>
          <w:sz w:val="20"/>
        </w:rPr>
        <w:t>conductos de extracción </w:t>
      </w:r>
      <w:r>
        <w:rPr>
          <w:sz w:val="20"/>
        </w:rPr>
        <w:t>no pueden compartirse con </w:t>
      </w:r>
      <w:r>
        <w:rPr>
          <w:i/>
          <w:sz w:val="20"/>
        </w:rPr>
        <w:t>locales </w:t>
      </w:r>
      <w:r>
        <w:rPr>
          <w:sz w:val="20"/>
        </w:rPr>
        <w:t>de otro</w:t>
      </w:r>
      <w:r>
        <w:rPr>
          <w:spacing w:val="-14"/>
          <w:sz w:val="20"/>
        </w:rPr>
        <w:t> </w:t>
      </w:r>
      <w:r>
        <w:rPr>
          <w:sz w:val="20"/>
        </w:rPr>
        <w:t>uso.</w:t>
      </w:r>
    </w:p>
    <w:p>
      <w:pPr>
        <w:pStyle w:val="BodyText"/>
        <w:spacing w:before="7"/>
        <w:rPr>
          <w:sz w:val="22"/>
        </w:rPr>
      </w:pPr>
    </w:p>
    <w:p>
      <w:pPr>
        <w:pStyle w:val="Heading5"/>
        <w:numPr>
          <w:ilvl w:val="2"/>
          <w:numId w:val="119"/>
        </w:numPr>
        <w:tabs>
          <w:tab w:pos="938" w:val="left" w:leader="none"/>
          <w:tab w:pos="939" w:val="left" w:leader="none"/>
        </w:tabs>
        <w:spacing w:line="240" w:lineRule="auto" w:before="0" w:after="0"/>
        <w:ind w:left="938" w:right="0" w:hanging="721"/>
        <w:jc w:val="left"/>
      </w:pPr>
      <w:r>
        <w:rPr/>
        <w:t>Trasteros</w:t>
      </w:r>
    </w:p>
    <w:p>
      <w:pPr>
        <w:pStyle w:val="BodyText"/>
        <w:tabs>
          <w:tab w:pos="578" w:val="left" w:leader="none"/>
        </w:tabs>
        <w:spacing w:line="230" w:lineRule="exact" w:before="99"/>
        <w:ind w:left="218"/>
      </w:pPr>
      <w:r>
        <w:rPr/>
        <w:t>1</w:t>
        <w:tab/>
        <w:t>En</w:t>
      </w:r>
      <w:r>
        <w:rPr>
          <w:spacing w:val="9"/>
        </w:rPr>
        <w:t> </w:t>
      </w:r>
      <w:r>
        <w:rPr/>
        <w:t>los</w:t>
      </w:r>
      <w:r>
        <w:rPr>
          <w:spacing w:val="10"/>
        </w:rPr>
        <w:t> </w:t>
      </w:r>
      <w:r>
        <w:rPr/>
        <w:t>trasteros</w:t>
      </w:r>
      <w:r>
        <w:rPr>
          <w:spacing w:val="9"/>
        </w:rPr>
        <w:t> </w:t>
      </w:r>
      <w:r>
        <w:rPr/>
        <w:t>y</w:t>
      </w:r>
      <w:r>
        <w:rPr>
          <w:spacing w:val="8"/>
        </w:rPr>
        <w:t> </w:t>
      </w:r>
      <w:r>
        <w:rPr/>
        <w:t>en</w:t>
      </w:r>
      <w:r>
        <w:rPr>
          <w:spacing w:val="10"/>
        </w:rPr>
        <w:t> </w:t>
      </w:r>
      <w:r>
        <w:rPr/>
        <w:t>sus</w:t>
      </w:r>
      <w:r>
        <w:rPr>
          <w:spacing w:val="9"/>
        </w:rPr>
        <w:t> </w:t>
      </w:r>
      <w:r>
        <w:rPr/>
        <w:t>zonas</w:t>
      </w:r>
      <w:r>
        <w:rPr>
          <w:spacing w:val="10"/>
        </w:rPr>
        <w:t> </w:t>
      </w:r>
      <w:r>
        <w:rPr/>
        <w:t>comunes</w:t>
      </w:r>
      <w:r>
        <w:rPr>
          <w:spacing w:val="9"/>
        </w:rPr>
        <w:t> </w:t>
      </w:r>
      <w:r>
        <w:rPr/>
        <w:t>debe</w:t>
      </w:r>
      <w:r>
        <w:rPr>
          <w:spacing w:val="10"/>
        </w:rPr>
        <w:t> </w:t>
      </w:r>
      <w:r>
        <w:rPr/>
        <w:t>disponerse</w:t>
      </w:r>
      <w:r>
        <w:rPr>
          <w:spacing w:val="9"/>
        </w:rPr>
        <w:t> </w:t>
      </w:r>
      <w:r>
        <w:rPr/>
        <w:t>un</w:t>
      </w:r>
      <w:r>
        <w:rPr>
          <w:spacing w:val="10"/>
        </w:rPr>
        <w:t> </w:t>
      </w:r>
      <w:r>
        <w:rPr/>
        <w:t>sistema</w:t>
      </w:r>
      <w:r>
        <w:rPr>
          <w:spacing w:val="9"/>
        </w:rPr>
        <w:t> </w:t>
      </w:r>
      <w:r>
        <w:rPr/>
        <w:t>de</w:t>
      </w:r>
      <w:r>
        <w:rPr>
          <w:spacing w:val="10"/>
        </w:rPr>
        <w:t> </w:t>
      </w:r>
      <w:r>
        <w:rPr>
          <w:i/>
        </w:rPr>
        <w:t>ventilación</w:t>
      </w:r>
      <w:r>
        <w:rPr>
          <w:i/>
          <w:spacing w:val="9"/>
        </w:rPr>
        <w:t> </w:t>
      </w:r>
      <w:r>
        <w:rPr/>
        <w:t>que</w:t>
      </w:r>
      <w:r>
        <w:rPr>
          <w:spacing w:val="10"/>
        </w:rPr>
        <w:t> </w:t>
      </w:r>
      <w:r>
        <w:rPr/>
        <w:t>puede</w:t>
      </w:r>
      <w:r>
        <w:rPr>
          <w:spacing w:val="9"/>
        </w:rPr>
        <w:t> </w:t>
      </w:r>
      <w:r>
        <w:rPr/>
        <w:t>ser</w:t>
      </w:r>
    </w:p>
    <w:p>
      <w:pPr>
        <w:spacing w:line="230" w:lineRule="exact" w:before="0"/>
        <w:ind w:left="576" w:right="0" w:firstLine="0"/>
        <w:jc w:val="left"/>
        <w:rPr>
          <w:sz w:val="20"/>
        </w:rPr>
      </w:pPr>
      <w:r>
        <w:rPr/>
        <w:pict>
          <v:group style="position:absolute;margin-left:73.889999pt;margin-top:15.811444pt;width:103.35pt;height:68.2pt;mso-position-horizontal-relative:page;mso-position-vertical-relative:paragraph;z-index:-251465728;mso-wrap-distance-left:0;mso-wrap-distance-right:0" coordorigin="1478,316" coordsize="2067,1364">
            <v:shape style="position:absolute;left:1616;top:316;width:1791;height:1224" coordorigin="1616,317" coordsize="1791,1224" path="m2512,1541l1616,1541,1616,317,3407,317,3407,1541,2512,1541e" filled="false" stroked="true" strokeweight=".06pt" strokecolor="#000000">
              <v:path arrowok="t"/>
              <v:stroke dashstyle="solid"/>
            </v:shape>
            <v:line style="position:absolute" from="3407,802" to="1616,802" stroked="true" strokeweight=".06pt" strokecolor="#ff0000">
              <v:stroke dashstyle="solid"/>
            </v:line>
            <v:line style="position:absolute" from="3407,1056" to="1616,1056" stroked="true" strokeweight=".06pt" strokecolor="#ff0000">
              <v:stroke dashstyle="solid"/>
            </v:line>
            <v:line style="position:absolute" from="2512,1541" to="2512,1056" stroked="true" strokeweight=".06pt" strokecolor="#ff0000">
              <v:stroke dashstyle="solid"/>
            </v:line>
            <v:line style="position:absolute" from="2064,1541" to="2064,1056" stroked="true" strokeweight=".06pt" strokecolor="#ff0000">
              <v:stroke dashstyle="solid"/>
            </v:line>
            <v:line style="position:absolute" from="2959,1541" to="2959,1056" stroked="true" strokeweight=".06pt" strokecolor="#ff0000">
              <v:stroke dashstyle="solid"/>
            </v:line>
            <v:line style="position:absolute" from="2959,802" to="2959,317" stroked="true" strokeweight=".06pt" strokecolor="#ff0000">
              <v:stroke dashstyle="solid"/>
            </v:line>
            <v:line style="position:absolute" from="2064,802" to="2064,317" stroked="true" strokeweight=".06pt" strokecolor="#ff0000">
              <v:stroke dashstyle="solid"/>
            </v:line>
            <v:line style="position:absolute" from="2512,802" to="2512,317" stroked="true" strokeweight=".06pt" strokecolor="#ff0000">
              <v:stroke dashstyle="solid"/>
            </v:line>
            <v:line style="position:absolute" from="3485,935" to="3328,935" stroked="true" strokeweight=".06pt" strokecolor="#0000ff">
              <v:stroke dashstyle="solid"/>
            </v:line>
            <v:line style="position:absolute" from="3269,935" to="3328,884" stroked="true" strokeweight=".06pt" strokecolor="#0000ff">
              <v:stroke dashstyle="solid"/>
            </v:line>
            <v:line style="position:absolute" from="3269,935" to="3328,985" stroked="true" strokeweight=".06pt" strokecolor="#0000ff">
              <v:stroke dashstyle="solid"/>
            </v:line>
            <v:line style="position:absolute" from="3544,935" to="3485,985" stroked="true" strokeweight=".06pt" strokecolor="#0000ff">
              <v:stroke dashstyle="solid"/>
            </v:line>
            <v:line style="position:absolute" from="3544,935" to="3485,884" stroked="true" strokeweight=".06pt" strokecolor="#0000ff">
              <v:stroke dashstyle="solid"/>
            </v:line>
            <v:line style="position:absolute" from="2807,1462" to="2807,1679" stroked="true" strokeweight=".06pt" strokecolor="#0000ff">
              <v:stroke dashstyle="solid"/>
            </v:line>
            <v:line style="position:absolute" from="2807,1403" to="2857,1462" stroked="true" strokeweight=".06pt" strokecolor="#0000ff">
              <v:stroke dashstyle="solid"/>
            </v:line>
            <v:line style="position:absolute" from="2807,1403" to="2756,1462" stroked="true" strokeweight=".06pt" strokecolor="#0000ff">
              <v:stroke dashstyle="solid"/>
            </v:line>
            <v:line style="position:absolute" from="2618,1403" to="2618,1620" stroked="true" strokeweight=".06pt" strokecolor="#0000ff">
              <v:stroke dashstyle="solid"/>
            </v:line>
            <v:line style="position:absolute" from="2618,1679" to="2568,1620" stroked="true" strokeweight=".06pt" strokecolor="#0000ff">
              <v:stroke dashstyle="solid"/>
            </v:line>
            <v:line style="position:absolute" from="2618,1679" to="2669,1620" stroked="true" strokeweight=".06pt" strokecolor="#0000ff">
              <v:stroke dashstyle="solid"/>
            </v:line>
            <v:line style="position:absolute" from="2669,1620" to="2568,1620" stroked="true" strokeweight=".06pt" strokecolor="#0000ff">
              <v:stroke dashstyle="solid"/>
            </v:line>
            <v:line style="position:absolute" from="2756,1462" to="2857,1462" stroked="true" strokeweight=".06pt" strokecolor="#0000ff">
              <v:stroke dashstyle="solid"/>
            </v:line>
            <v:shape style="position:absolute;left:2568;top:1620;width:51;height:59" coordorigin="2568,1620" coordsize="51,59" path="m2568,1620l2618,1679,2618,1639,2568,1620xe" filled="true" fillcolor="#0000ff" stroked="false">
              <v:path arrowok="t"/>
              <v:fill type="solid"/>
            </v:shape>
            <v:shape style="position:absolute;left:2568;top:1620;width:51;height:59" coordorigin="2568,1620" coordsize="51,59" path="m2618,1639l2568,1620,2618,1679,2618,1639e" filled="false" stroked="true" strokeweight=".06pt" strokecolor="#0000ff">
              <v:path arrowok="t"/>
              <v:stroke dashstyle="solid"/>
            </v:shape>
            <v:shape style="position:absolute;left:2618;top:1620;width:51;height:59" coordorigin="2618,1620" coordsize="51,59" path="m2669,1620l2618,1639,2618,1679,2669,1620xe" filled="true" fillcolor="#0000ff" stroked="false">
              <v:path arrowok="t"/>
              <v:fill type="solid"/>
            </v:shape>
            <v:shape style="position:absolute;left:2618;top:1620;width:51;height:59" coordorigin="2618,1620" coordsize="51,59" path="m2618,1639l2618,1679,2669,1620,2618,1639e" filled="false" stroked="true" strokeweight=".06pt" strokecolor="#0000ff">
              <v:path arrowok="t"/>
              <v:stroke dashstyle="solid"/>
            </v:shape>
            <v:shape style="position:absolute;left:2568;top:1620;width:101;height:20" coordorigin="2568,1620" coordsize="101,20" path="m2669,1620l2568,1620,2618,1639,2669,1620xe" filled="true" fillcolor="#0000ff" stroked="false">
              <v:path arrowok="t"/>
              <v:fill type="solid"/>
            </v:shape>
            <v:shape style="position:absolute;left:2568;top:1620;width:101;height:20" coordorigin="2568,1620" coordsize="101,20" path="m2618,1639l2669,1620,2568,1620,2618,1639e" filled="false" stroked="true" strokeweight=".06pt" strokecolor="#0000ff">
              <v:path arrowok="t"/>
              <v:stroke dashstyle="solid"/>
            </v:shape>
            <v:line style="position:absolute" from="3485,884" to="3485,985" stroked="true" strokeweight=".06pt" strokecolor="#0000ff">
              <v:stroke dashstyle="solid"/>
            </v:line>
            <v:line style="position:absolute" from="3328,884" to="3328,985" stroked="true" strokeweight=".06pt" strokecolor="#0000ff">
              <v:stroke dashstyle="solid"/>
            </v:line>
            <v:shape style="position:absolute;left:3484;top:934;width:59;height:51" coordorigin="3485,935" coordsize="59,51" path="m3544,935l3505,935,3485,985,3544,935xe" filled="true" fillcolor="#0000ff" stroked="false">
              <v:path arrowok="t"/>
              <v:fill type="solid"/>
            </v:shape>
            <v:shape style="position:absolute;left:3484;top:934;width:59;height:51" coordorigin="3485,935" coordsize="59,51" path="m3505,935l3485,985,3544,935,3505,935e" filled="false" stroked="true" strokeweight=".06pt" strokecolor="#0000ff">
              <v:path arrowok="t"/>
              <v:stroke dashstyle="solid"/>
            </v:shape>
            <v:shape style="position:absolute;left:3484;top:884;width:59;height:51" coordorigin="3485,884" coordsize="59,51" path="m3485,884l3505,935,3544,935,3485,884xe" filled="true" fillcolor="#0000ff" stroked="false">
              <v:path arrowok="t"/>
              <v:fill type="solid"/>
            </v:shape>
            <v:shape style="position:absolute;left:3484;top:884;width:59;height:51" coordorigin="3485,884" coordsize="59,51" path="m3505,935l3544,935,3485,884,3505,935e" filled="false" stroked="true" strokeweight=".06pt" strokecolor="#0000ff">
              <v:path arrowok="t"/>
              <v:stroke dashstyle="solid"/>
            </v:shape>
            <v:shape style="position:absolute;left:3484;top:884;width:21;height:101" coordorigin="3485,884" coordsize="21,101" path="m3485,884l3485,985,3505,935,3485,884xe" filled="true" fillcolor="#0000ff" stroked="false">
              <v:path arrowok="t"/>
              <v:fill type="solid"/>
            </v:shape>
            <v:shape style="position:absolute;left:3484;top:884;width:21;height:101" coordorigin="3485,884" coordsize="21,101" path="m3505,935l3485,884,3485,985,3505,935e" filled="false" stroked="true" strokeweight=".06pt" strokecolor="#0000ff">
              <v:path arrowok="t"/>
              <v:stroke dashstyle="solid"/>
            </v:shape>
            <v:shape style="position:absolute;left:1477;top:883;width:278;height:102" type="#_x0000_t75" stroked="false">
              <v:imagedata r:id="rId94" o:title=""/>
            </v:shape>
            <w10:wrap type="topAndBottom"/>
          </v:group>
        </w:pict>
      </w:r>
      <w:r>
        <w:rPr/>
        <w:pict>
          <v:group style="position:absolute;margin-left:218.729996pt;margin-top:15.811444pt;width:93.95pt;height:68.2pt;mso-position-horizontal-relative:page;mso-position-vertical-relative:paragraph;z-index:-251464704;mso-wrap-distance-left:0;mso-wrap-distance-right:0" coordorigin="4375,316" coordsize="1879,1364">
            <v:line style="position:absolute" from="5270,802" to="5270,317" stroked="true" strokeweight=".06pt" strokecolor="#ff0000">
              <v:stroke dashstyle="solid"/>
            </v:line>
            <v:line style="position:absolute" from="4823,802" to="4823,317" stroked="true" strokeweight=".06pt" strokecolor="#ff0000">
              <v:stroke dashstyle="solid"/>
            </v:line>
            <v:line style="position:absolute" from="5718,802" to="5718,317" stroked="true" strokeweight=".06pt" strokecolor="#ff0000">
              <v:stroke dashstyle="solid"/>
            </v:line>
            <v:shape style="position:absolute;left:4375;top:316;width:1791;height:1224" coordorigin="4375,317" coordsize="1791,1224" path="m5270,1541l4375,1541,4375,317,6166,317,6166,1541,5270,1541e" filled="false" stroked="true" strokeweight=".06pt" strokecolor="#000000">
              <v:path arrowok="t"/>
              <v:stroke dashstyle="solid"/>
            </v:shape>
            <v:line style="position:absolute" from="6166,1056" to="4375,1056" stroked="true" strokeweight=".06pt" strokecolor="#ff0000">
              <v:stroke dashstyle="solid"/>
            </v:line>
            <v:line style="position:absolute" from="6166,802" to="4375,802" stroked="true" strokeweight=".06pt" strokecolor="#ff0000">
              <v:stroke dashstyle="solid"/>
            </v:line>
            <v:line style="position:absolute" from="4823,1541" to="4823,1056" stroked="true" strokeweight=".06pt" strokecolor="#ff0000">
              <v:stroke dashstyle="solid"/>
            </v:line>
            <v:line style="position:absolute" from="5718,1541" to="5718,1056" stroked="true" strokeweight=".06pt" strokecolor="#ff0000">
              <v:stroke dashstyle="solid"/>
            </v:line>
            <v:line style="position:absolute" from="5270,1541" to="5270,1056" stroked="true" strokeweight=".06pt" strokecolor="#ff0000">
              <v:stroke dashstyle="solid"/>
            </v:line>
            <v:line style="position:absolute" from="6253,935" to="6086,935" stroked="true" strokeweight=".06pt" strokecolor="#0000ff">
              <v:stroke dashstyle="solid"/>
            </v:line>
            <v:line style="position:absolute" from="6028,935" to="6086,884" stroked="true" strokeweight=".06pt" strokecolor="#0000ff">
              <v:stroke dashstyle="solid"/>
            </v:line>
            <v:line style="position:absolute" from="6028,935" to="6086,985" stroked="true" strokeweight=".06pt" strokecolor="#0000ff">
              <v:stroke dashstyle="solid"/>
            </v:line>
            <v:line style="position:absolute" from="4765,930" to="4548,930" stroked="true" strokeweight=".06pt" strokecolor="#0000ff">
              <v:stroke dashstyle="solid"/>
            </v:line>
            <v:line style="position:absolute" from="4489,930" to="4548,880" stroked="true" strokeweight=".06pt" strokecolor="#0000ff">
              <v:stroke dashstyle="solid"/>
            </v:line>
            <v:line style="position:absolute" from="4489,930" to="4548,980" stroked="true" strokeweight=".06pt" strokecolor="#0000ff">
              <v:stroke dashstyle="solid"/>
            </v:line>
            <v:line style="position:absolute" from="5566,1462" to="5566,1679" stroked="true" strokeweight=".06pt" strokecolor="#0000ff">
              <v:stroke dashstyle="solid"/>
            </v:line>
            <v:line style="position:absolute" from="5566,1403" to="5616,1462" stroked="true" strokeweight=".06pt" strokecolor="#0000ff">
              <v:stroke dashstyle="solid"/>
            </v:line>
            <v:line style="position:absolute" from="5566,1403" to="5515,1462" stroked="true" strokeweight=".06pt" strokecolor="#0000ff">
              <v:stroke dashstyle="solid"/>
            </v:line>
            <v:line style="position:absolute" from="5377,1403" to="5377,1620" stroked="true" strokeweight=".06pt" strokecolor="#0000ff">
              <v:stroke dashstyle="solid"/>
            </v:line>
            <v:line style="position:absolute" from="5377,1679" to="5327,1620" stroked="true" strokeweight=".06pt" strokecolor="#0000ff">
              <v:stroke dashstyle="solid"/>
            </v:line>
            <v:shape style="position:absolute;left:5326;top:1620;width:101;height:59" coordorigin="5327,1620" coordsize="101,59" path="m5377,1679l5428,1620,5327,1620e" filled="false" stroked="true" strokeweight=".06pt" strokecolor="#0000ff">
              <v:path arrowok="t"/>
              <v:stroke dashstyle="solid"/>
            </v:shape>
            <v:line style="position:absolute" from="5515,1462" to="5616,1462" stroked="true" strokeweight=".06pt" strokecolor="#0000ff">
              <v:stroke dashstyle="solid"/>
            </v:line>
            <v:shape style="position:absolute;left:5326;top:1620;width:51;height:59" coordorigin="5327,1620" coordsize="51,59" path="m5327,1620l5377,1679,5377,1639,5327,1620xe" filled="true" fillcolor="#0000ff" stroked="false">
              <v:path arrowok="t"/>
              <v:fill type="solid"/>
            </v:shape>
            <v:shape style="position:absolute;left:5326;top:1620;width:51;height:59" coordorigin="5327,1620" coordsize="51,59" path="m5377,1639l5327,1620,5377,1679,5377,1639e" filled="false" stroked="true" strokeweight=".06pt" strokecolor="#0000ff">
              <v:path arrowok="t"/>
              <v:stroke dashstyle="solid"/>
            </v:shape>
            <v:shape style="position:absolute;left:5377;top:1620;width:51;height:59" coordorigin="5377,1620" coordsize="51,59" path="m5428,1620l5377,1639,5377,1679,5428,1620xe" filled="true" fillcolor="#0000ff" stroked="false">
              <v:path arrowok="t"/>
              <v:fill type="solid"/>
            </v:shape>
            <v:shape style="position:absolute;left:5377;top:1620;width:51;height:59" coordorigin="5377,1620" coordsize="51,59" path="m5377,1639l5377,1679,5428,1620,5377,1639e" filled="false" stroked="true" strokeweight=".06pt" strokecolor="#0000ff">
              <v:path arrowok="t"/>
              <v:stroke dashstyle="solid"/>
            </v:shape>
            <v:shape style="position:absolute;left:5326;top:1620;width:101;height:20" coordorigin="5327,1620" coordsize="101,20" path="m5428,1620l5327,1620,5377,1639,5428,1620xe" filled="true" fillcolor="#0000ff" stroked="false">
              <v:path arrowok="t"/>
              <v:fill type="solid"/>
            </v:shape>
            <v:shape style="position:absolute;left:5326;top:1620;width:101;height:20" coordorigin="5327,1620" coordsize="101,20" path="m5377,1639l5428,1620,5327,1620,5377,1639e" filled="false" stroked="true" strokeweight=".06pt" strokecolor="#0000ff">
              <v:path arrowok="t"/>
              <v:stroke dashstyle="solid"/>
            </v:shape>
            <v:line style="position:absolute" from="6086,884" to="6086,985" stroked="true" strokeweight=".06pt" strokecolor="#0000ff">
              <v:stroke dashstyle="solid"/>
            </v:line>
            <v:line style="position:absolute" from="4548,880" to="4548,980" stroked="true" strokeweight=".06pt" strokecolor="#0000ff">
              <v:stroke dashstyle="solid"/>
            </v:line>
            <v:shape style="position:absolute;left:4489;top:879;width:59;height:51" coordorigin="4489,880" coordsize="59,51" path="m4548,880l4489,930,4529,930,4548,880xe" filled="true" fillcolor="#0000ff" stroked="false">
              <v:path arrowok="t"/>
              <v:fill type="solid"/>
            </v:shape>
            <v:shape style="position:absolute;left:4489;top:879;width:59;height:51" coordorigin="4489,880" coordsize="59,51" path="m4529,930l4548,880,4489,930,4529,930e" filled="false" stroked="true" strokeweight=".06pt" strokecolor="#0000ff">
              <v:path arrowok="t"/>
              <v:stroke dashstyle="solid"/>
            </v:shape>
            <v:shape style="position:absolute;left:4489;top:930;width:59;height:51" coordorigin="4489,930" coordsize="59,51" path="m4529,930l4489,930,4548,980,4529,930xe" filled="true" fillcolor="#0000ff" stroked="false">
              <v:path arrowok="t"/>
              <v:fill type="solid"/>
            </v:shape>
            <v:shape style="position:absolute;left:4489;top:930;width:59;height:51" coordorigin="4489,930" coordsize="59,51" path="m4529,930l4489,930,4548,980,4529,930e" filled="false" stroked="true" strokeweight=".06pt" strokecolor="#0000ff">
              <v:path arrowok="t"/>
              <v:stroke dashstyle="solid"/>
            </v:shape>
            <v:shape style="position:absolute;left:4528;top:879;width:20;height:101" coordorigin="4529,880" coordsize="20,101" path="m4548,880l4529,930,4548,980,4548,880xe" filled="true" fillcolor="#0000ff" stroked="false">
              <v:path arrowok="t"/>
              <v:fill type="solid"/>
            </v:shape>
            <v:shape style="position:absolute;left:4528;top:879;width:20;height:101" coordorigin="4529,880" coordsize="20,101" path="m4529,930l4548,980,4548,880,4529,930e" filled="false" stroked="true" strokeweight=".06pt" strokecolor="#0000ff">
              <v:path arrowok="t"/>
              <v:stroke dashstyle="solid"/>
            </v:shape>
            <v:rect style="position:absolute;left:4436;top:862;width:53;height:134" filled="false" stroked="true" strokeweight=".06pt" strokecolor="#0000ff">
              <v:stroke dashstyle="solid"/>
            </v:rect>
            <v:line style="position:absolute" from="4489,863" to="4436,996" stroked="true" strokeweight=".06pt" strokecolor="#0000ff">
              <v:stroke dashstyle="solid"/>
            </v:line>
            <w10:wrap type="topAndBottom"/>
          </v:group>
        </w:pict>
      </w:r>
      <w:r>
        <w:rPr/>
        <w:pict>
          <v:shape style="position:absolute;margin-left:358.170013pt;margin-top:15.811444pt;width:89.55pt;height:61.3pt;mso-position-horizontal-relative:page;mso-position-vertical-relative:paragraph;z-index:-251658240;mso-wrap-distance-left:0;mso-wrap-distance-right: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46"/>
                    <w:gridCol w:w="448"/>
                    <w:gridCol w:w="446"/>
                    <w:gridCol w:w="447"/>
                  </w:tblGrid>
                  <w:tr>
                    <w:trPr>
                      <w:trHeight w:val="479" w:hRule="atLeast"/>
                    </w:trPr>
                    <w:tc>
                      <w:tcPr>
                        <w:tcW w:w="446" w:type="dxa"/>
                        <w:tcBorders>
                          <w:bottom w:val="single" w:sz="2" w:space="0" w:color="FF0000"/>
                          <w:right w:val="single" w:sz="2" w:space="0" w:color="FF0000"/>
                        </w:tcBorders>
                      </w:tcPr>
                      <w:p>
                        <w:pPr>
                          <w:pStyle w:val="TableParagraph"/>
                          <w:jc w:val="left"/>
                          <w:rPr>
                            <w:rFonts w:ascii="Times New Roman"/>
                            <w:sz w:val="18"/>
                          </w:rPr>
                        </w:pPr>
                      </w:p>
                    </w:tc>
                    <w:tc>
                      <w:tcPr>
                        <w:tcW w:w="448" w:type="dxa"/>
                        <w:tcBorders>
                          <w:left w:val="single" w:sz="2" w:space="0" w:color="FF0000"/>
                          <w:bottom w:val="single" w:sz="2" w:space="0" w:color="FF0000"/>
                          <w:right w:val="single" w:sz="2" w:space="0" w:color="FF0000"/>
                        </w:tcBorders>
                      </w:tcPr>
                      <w:p>
                        <w:pPr>
                          <w:pStyle w:val="TableParagraph"/>
                          <w:jc w:val="left"/>
                          <w:rPr>
                            <w:rFonts w:ascii="Times New Roman"/>
                            <w:sz w:val="18"/>
                          </w:rPr>
                        </w:pPr>
                      </w:p>
                    </w:tc>
                    <w:tc>
                      <w:tcPr>
                        <w:tcW w:w="446" w:type="dxa"/>
                        <w:tcBorders>
                          <w:left w:val="single" w:sz="2" w:space="0" w:color="FF0000"/>
                          <w:bottom w:val="single" w:sz="2" w:space="0" w:color="FF0000"/>
                          <w:right w:val="single" w:sz="2" w:space="0" w:color="FF0000"/>
                        </w:tcBorders>
                      </w:tcPr>
                      <w:p>
                        <w:pPr>
                          <w:pStyle w:val="TableParagraph"/>
                          <w:jc w:val="left"/>
                          <w:rPr>
                            <w:rFonts w:ascii="Times New Roman"/>
                            <w:sz w:val="18"/>
                          </w:rPr>
                        </w:pPr>
                      </w:p>
                    </w:tc>
                    <w:tc>
                      <w:tcPr>
                        <w:tcW w:w="447" w:type="dxa"/>
                        <w:tcBorders>
                          <w:left w:val="single" w:sz="2" w:space="0" w:color="FF0000"/>
                          <w:bottom w:val="single" w:sz="2" w:space="0" w:color="FF0000"/>
                        </w:tcBorders>
                      </w:tcPr>
                      <w:p>
                        <w:pPr>
                          <w:pStyle w:val="TableParagraph"/>
                          <w:jc w:val="left"/>
                          <w:rPr>
                            <w:rFonts w:ascii="Times New Roman"/>
                            <w:sz w:val="18"/>
                          </w:rPr>
                        </w:pPr>
                      </w:p>
                    </w:tc>
                  </w:tr>
                  <w:tr>
                    <w:trPr>
                      <w:trHeight w:val="249" w:hRule="atLeast"/>
                    </w:trPr>
                    <w:tc>
                      <w:tcPr>
                        <w:tcW w:w="1787" w:type="dxa"/>
                        <w:gridSpan w:val="4"/>
                        <w:tcBorders>
                          <w:top w:val="single" w:sz="2" w:space="0" w:color="FF0000"/>
                          <w:bottom w:val="single" w:sz="2" w:space="0" w:color="FF0000"/>
                        </w:tcBorders>
                      </w:tcPr>
                      <w:p>
                        <w:pPr>
                          <w:pStyle w:val="TableParagraph"/>
                          <w:jc w:val="left"/>
                          <w:rPr>
                            <w:rFonts w:ascii="Times New Roman"/>
                            <w:sz w:val="18"/>
                          </w:rPr>
                        </w:pPr>
                      </w:p>
                    </w:tc>
                  </w:tr>
                  <w:tr>
                    <w:trPr>
                      <w:trHeight w:val="479" w:hRule="atLeast"/>
                    </w:trPr>
                    <w:tc>
                      <w:tcPr>
                        <w:tcW w:w="446" w:type="dxa"/>
                        <w:tcBorders>
                          <w:top w:val="single" w:sz="2" w:space="0" w:color="FF0000"/>
                          <w:right w:val="single" w:sz="2" w:space="0" w:color="FF0000"/>
                        </w:tcBorders>
                      </w:tcPr>
                      <w:p>
                        <w:pPr>
                          <w:pStyle w:val="TableParagraph"/>
                          <w:jc w:val="left"/>
                          <w:rPr>
                            <w:rFonts w:ascii="Times New Roman"/>
                            <w:sz w:val="18"/>
                          </w:rPr>
                        </w:pPr>
                      </w:p>
                    </w:tc>
                    <w:tc>
                      <w:tcPr>
                        <w:tcW w:w="448" w:type="dxa"/>
                        <w:tcBorders>
                          <w:top w:val="single" w:sz="2" w:space="0" w:color="FF0000"/>
                          <w:left w:val="single" w:sz="2" w:space="0" w:color="FF0000"/>
                          <w:right w:val="single" w:sz="2" w:space="0" w:color="FF0000"/>
                        </w:tcBorders>
                      </w:tcPr>
                      <w:p>
                        <w:pPr>
                          <w:pStyle w:val="TableParagraph"/>
                          <w:jc w:val="left"/>
                          <w:rPr>
                            <w:rFonts w:ascii="Times New Roman"/>
                            <w:sz w:val="18"/>
                          </w:rPr>
                        </w:pPr>
                      </w:p>
                    </w:tc>
                    <w:tc>
                      <w:tcPr>
                        <w:tcW w:w="446" w:type="dxa"/>
                        <w:tcBorders>
                          <w:top w:val="single" w:sz="2" w:space="0" w:color="FF0000"/>
                          <w:left w:val="single" w:sz="2" w:space="0" w:color="FF0000"/>
                          <w:right w:val="single" w:sz="2" w:space="0" w:color="FF0000"/>
                        </w:tcBorders>
                      </w:tcPr>
                      <w:p>
                        <w:pPr>
                          <w:pStyle w:val="TableParagraph"/>
                          <w:jc w:val="left"/>
                          <w:rPr>
                            <w:rFonts w:ascii="Times New Roman"/>
                            <w:sz w:val="18"/>
                          </w:rPr>
                        </w:pPr>
                      </w:p>
                    </w:tc>
                    <w:tc>
                      <w:tcPr>
                        <w:tcW w:w="447" w:type="dxa"/>
                        <w:tcBorders>
                          <w:top w:val="single" w:sz="2" w:space="0" w:color="FF0000"/>
                          <w:left w:val="single" w:sz="2" w:space="0" w:color="FF0000"/>
                        </w:tcBorders>
                      </w:tcPr>
                      <w:p>
                        <w:pPr>
                          <w:pStyle w:val="TableParagraph"/>
                          <w:jc w:val="left"/>
                          <w:rPr>
                            <w:rFonts w:ascii="Times New Roman"/>
                            <w:sz w:val="18"/>
                          </w:rPr>
                        </w:pPr>
                      </w:p>
                    </w:tc>
                  </w:tr>
                </w:tbl>
                <w:p>
                  <w:pPr>
                    <w:pStyle w:val="BodyText"/>
                  </w:pPr>
                </w:p>
              </w:txbxContent>
            </v:textbox>
            <w10:wrap type="topAndBottom"/>
          </v:shape>
        </w:pict>
      </w:r>
      <w:r>
        <w:rPr/>
        <w:drawing>
          <wp:anchor distT="0" distB="0" distL="0" distR="0" allowOverlap="1" layoutInCell="1" locked="0" behindDoc="1" simplePos="0" relativeHeight="236199936">
            <wp:simplePos x="0" y="0"/>
            <wp:positionH relativeFrom="page">
              <wp:posOffset>5598033</wp:posOffset>
            </wp:positionH>
            <wp:positionV relativeFrom="paragraph">
              <wp:posOffset>561231</wp:posOffset>
            </wp:positionV>
            <wp:extent cx="176806" cy="65341"/>
            <wp:effectExtent l="0" t="0" r="0" b="0"/>
            <wp:wrapNone/>
            <wp:docPr id="15" name="image87.png"/>
            <wp:cNvGraphicFramePr>
              <a:graphicFrameLocks noChangeAspect="1"/>
            </wp:cNvGraphicFramePr>
            <a:graphic>
              <a:graphicData uri="http://schemas.openxmlformats.org/drawingml/2006/picture">
                <pic:pic>
                  <pic:nvPicPr>
                    <pic:cNvPr id="16" name="image87.png"/>
                    <pic:cNvPicPr/>
                  </pic:nvPicPr>
                  <pic:blipFill>
                    <a:blip r:embed="rId95" cstate="print"/>
                    <a:stretch>
                      <a:fillRect/>
                    </a:stretch>
                  </pic:blipFill>
                  <pic:spPr>
                    <a:xfrm>
                      <a:off x="0" y="0"/>
                      <a:ext cx="176806" cy="65341"/>
                    </a:xfrm>
                    <a:prstGeom prst="rect">
                      <a:avLst/>
                    </a:prstGeom>
                  </pic:spPr>
                </pic:pic>
              </a:graphicData>
            </a:graphic>
          </wp:anchor>
        </w:drawing>
      </w:r>
      <w:r>
        <w:rPr/>
        <w:drawing>
          <wp:anchor distT="0" distB="0" distL="0" distR="0" allowOverlap="1" layoutInCell="1" locked="0" behindDoc="1" simplePos="0" relativeHeight="236200960">
            <wp:simplePos x="0" y="0"/>
            <wp:positionH relativeFrom="page">
              <wp:posOffset>4461128</wp:posOffset>
            </wp:positionH>
            <wp:positionV relativeFrom="paragraph">
              <wp:posOffset>561231</wp:posOffset>
            </wp:positionV>
            <wp:extent cx="177575" cy="65341"/>
            <wp:effectExtent l="0" t="0" r="0" b="0"/>
            <wp:wrapNone/>
            <wp:docPr id="17" name="image88.png"/>
            <wp:cNvGraphicFramePr>
              <a:graphicFrameLocks noChangeAspect="1"/>
            </wp:cNvGraphicFramePr>
            <a:graphic>
              <a:graphicData uri="http://schemas.openxmlformats.org/drawingml/2006/picture">
                <pic:pic>
                  <pic:nvPicPr>
                    <pic:cNvPr id="18" name="image88.png"/>
                    <pic:cNvPicPr/>
                  </pic:nvPicPr>
                  <pic:blipFill>
                    <a:blip r:embed="rId96" cstate="print"/>
                    <a:stretch>
                      <a:fillRect/>
                    </a:stretch>
                  </pic:blipFill>
                  <pic:spPr>
                    <a:xfrm>
                      <a:off x="0" y="0"/>
                      <a:ext cx="177575" cy="65341"/>
                    </a:xfrm>
                    <a:prstGeom prst="rect">
                      <a:avLst/>
                    </a:prstGeom>
                  </pic:spPr>
                </pic:pic>
              </a:graphicData>
            </a:graphic>
          </wp:anchor>
        </w:drawing>
      </w:r>
      <w:r>
        <w:rPr/>
        <w:drawing>
          <wp:anchor distT="0" distB="0" distL="0" distR="0" allowOverlap="1" layoutInCell="1" locked="0" behindDoc="1" simplePos="0" relativeHeight="236201984">
            <wp:simplePos x="0" y="0"/>
            <wp:positionH relativeFrom="page">
              <wp:posOffset>5222366</wp:posOffset>
            </wp:positionH>
            <wp:positionV relativeFrom="paragraph">
              <wp:posOffset>582567</wp:posOffset>
            </wp:positionV>
            <wp:extent cx="64840" cy="176212"/>
            <wp:effectExtent l="0" t="0" r="0" b="0"/>
            <wp:wrapNone/>
            <wp:docPr id="19" name="image89.png"/>
            <wp:cNvGraphicFramePr>
              <a:graphicFrameLocks noChangeAspect="1"/>
            </wp:cNvGraphicFramePr>
            <a:graphic>
              <a:graphicData uri="http://schemas.openxmlformats.org/drawingml/2006/picture">
                <pic:pic>
                  <pic:nvPicPr>
                    <pic:cNvPr id="20" name="image89.png"/>
                    <pic:cNvPicPr/>
                  </pic:nvPicPr>
                  <pic:blipFill>
                    <a:blip r:embed="rId97" cstate="print"/>
                    <a:stretch>
                      <a:fillRect/>
                    </a:stretch>
                  </pic:blipFill>
                  <pic:spPr>
                    <a:xfrm>
                      <a:off x="0" y="0"/>
                      <a:ext cx="64840" cy="176212"/>
                    </a:xfrm>
                    <a:prstGeom prst="rect">
                      <a:avLst/>
                    </a:prstGeom>
                  </pic:spPr>
                </pic:pic>
              </a:graphicData>
            </a:graphic>
          </wp:anchor>
        </w:drawing>
      </w:r>
      <w:r>
        <w:rPr>
          <w:i/>
          <w:sz w:val="20"/>
        </w:rPr>
        <w:t>natural, híbrida o mecánica </w:t>
      </w:r>
      <w:r>
        <w:rPr>
          <w:sz w:val="20"/>
        </w:rPr>
        <w:t>(véanse los ejemplos de la figura 3.2).</w:t>
      </w:r>
    </w:p>
    <w:p>
      <w:pPr>
        <w:tabs>
          <w:tab w:pos="4052" w:val="left" w:leader="none"/>
          <w:tab w:pos="6841" w:val="left" w:leader="none"/>
        </w:tabs>
        <w:spacing w:before="12"/>
        <w:ind w:left="1293" w:right="0" w:firstLine="0"/>
        <w:jc w:val="left"/>
        <w:rPr>
          <w:sz w:val="13"/>
        </w:rPr>
      </w:pPr>
      <w:r>
        <w:rPr>
          <w:color w:val="0000FF"/>
          <w:sz w:val="13"/>
        </w:rPr>
        <w:t>a</w:t>
        <w:tab/>
        <w:t>b</w:t>
        <w:tab/>
        <w:t>c</w:t>
      </w:r>
    </w:p>
    <w:p>
      <w:pPr>
        <w:pStyle w:val="BodyText"/>
        <w:spacing w:before="3"/>
        <w:rPr>
          <w:sz w:val="21"/>
        </w:rPr>
      </w:pPr>
      <w:r>
        <w:rPr/>
        <w:pict>
          <v:group style="position:absolute;margin-left:80.790001pt;margin-top:14.215634pt;width:93.95pt;height:61.2pt;mso-position-horizontal-relative:page;mso-position-vertical-relative:paragraph;z-index:-251463680;mso-wrap-distance-left:0;mso-wrap-distance-right:0" coordorigin="1616,284" coordsize="1879,1224">
            <v:shape style="position:absolute;left:1616;top:284;width:1791;height:1223" coordorigin="1616,285" coordsize="1791,1223" path="m2512,1508l1616,1508,1616,285,3407,285,3407,1508,2512,1508e" filled="false" stroked="true" strokeweight=".06pt" strokecolor="#000000">
              <v:path arrowok="t"/>
              <v:stroke dashstyle="solid"/>
            </v:shape>
            <v:line style="position:absolute" from="2959,770" to="2959,285" stroked="true" strokeweight=".06pt" strokecolor="#ff0000">
              <v:stroke dashstyle="solid"/>
            </v:line>
            <v:line style="position:absolute" from="2064,770" to="2064,285" stroked="true" strokeweight=".06pt" strokecolor="#ff0000">
              <v:stroke dashstyle="solid"/>
            </v:line>
            <v:line style="position:absolute" from="2512,770" to="2512,285" stroked="true" strokeweight=".06pt" strokecolor="#ff0000">
              <v:stroke dashstyle="solid"/>
            </v:line>
            <v:line style="position:absolute" from="3407,770" to="1616,770" stroked="true" strokeweight=".06pt" strokecolor="#ff0000">
              <v:stroke dashstyle="solid"/>
            </v:line>
            <v:line style="position:absolute" from="3407,1023" to="1616,1023" stroked="true" strokeweight=".06pt" strokecolor="#ff0000">
              <v:stroke dashstyle="solid"/>
            </v:line>
            <v:line style="position:absolute" from="2064,1508" to="2064,1023" stroked="true" strokeweight=".06pt" strokecolor="#ff0000">
              <v:stroke dashstyle="solid"/>
            </v:line>
            <v:line style="position:absolute" from="2512,1508" to="2512,1023" stroked="true" strokeweight=".06pt" strokecolor="#ff0000">
              <v:stroke dashstyle="solid"/>
            </v:line>
            <v:line style="position:absolute" from="2959,1508" to="2959,1023" stroked="true" strokeweight=".06pt" strokecolor="#ff0000">
              <v:stroke dashstyle="solid"/>
            </v:line>
            <v:line style="position:absolute" from="2006,897" to="1789,897" stroked="true" strokeweight=".06pt" strokecolor="#0000ff">
              <v:stroke dashstyle="solid"/>
            </v:line>
            <v:line style="position:absolute" from="1730,897" to="1789,847" stroked="true" strokeweight=".06pt" strokecolor="#0000ff">
              <v:stroke dashstyle="solid"/>
            </v:line>
            <v:line style="position:absolute" from="1730,897" to="1789,947" stroked="true" strokeweight=".06pt" strokecolor="#0000ff">
              <v:stroke dashstyle="solid"/>
            </v:line>
            <v:line style="position:absolute" from="1789,847" to="1789,947" stroked="true" strokeweight=".06pt" strokecolor="#0000ff">
              <v:stroke dashstyle="solid"/>
            </v:line>
            <v:shape style="position:absolute;left:1730;top:846;width:59;height:51" coordorigin="1730,847" coordsize="59,51" path="m1789,847l1730,897,1770,897,1789,847xe" filled="true" fillcolor="#0000ff" stroked="false">
              <v:path arrowok="t"/>
              <v:fill type="solid"/>
            </v:shape>
            <v:shape style="position:absolute;left:1730;top:846;width:59;height:51" coordorigin="1730,847" coordsize="59,51" path="m1770,897l1789,847,1730,897,1770,897e" filled="false" stroked="true" strokeweight=".06pt" strokecolor="#0000ff">
              <v:path arrowok="t"/>
              <v:stroke dashstyle="solid"/>
            </v:shape>
            <v:shape style="position:absolute;left:1730;top:896;width:59;height:51" coordorigin="1730,897" coordsize="59,51" path="m1770,897l1730,897,1789,947,1770,897xe" filled="true" fillcolor="#0000ff" stroked="false">
              <v:path arrowok="t"/>
              <v:fill type="solid"/>
            </v:shape>
            <v:shape style="position:absolute;left:1730;top:896;width:59;height:51" coordorigin="1730,897" coordsize="59,51" path="m1770,897l1730,897,1789,947,1770,897e" filled="false" stroked="true" strokeweight=".06pt" strokecolor="#0000ff">
              <v:path arrowok="t"/>
              <v:stroke dashstyle="solid"/>
            </v:shape>
            <v:shape style="position:absolute;left:1770;top:846;width:20;height:101" coordorigin="1770,847" coordsize="20,101" path="m1789,847l1770,897,1789,947,1789,847xe" filled="true" fillcolor="#0000ff" stroked="false">
              <v:path arrowok="t"/>
              <v:fill type="solid"/>
            </v:shape>
            <v:shape style="position:absolute;left:1770;top:846;width:20;height:101" coordorigin="1770,847" coordsize="20,101" path="m1770,897l1789,947,1789,847,1770,897e" filled="false" stroked="true" strokeweight=".06pt" strokecolor="#0000ff">
              <v:path arrowok="t"/>
              <v:stroke dashstyle="solid"/>
            </v:shape>
            <v:line style="position:absolute" from="3494,902" to="3328,902" stroked="true" strokeweight=".06pt" strokecolor="#0000ff">
              <v:stroke dashstyle="solid"/>
            </v:line>
            <v:line style="position:absolute" from="3269,902" to="3328,851" stroked="true" strokeweight=".06pt" strokecolor="#0000ff">
              <v:stroke dashstyle="solid"/>
            </v:line>
            <v:line style="position:absolute" from="3269,902" to="3328,952" stroked="true" strokeweight=".06pt" strokecolor="#0000ff">
              <v:stroke dashstyle="solid"/>
            </v:line>
            <v:line style="position:absolute" from="3328,851" to="3328,952" stroked="true" strokeweight=".06pt" strokecolor="#0000ff">
              <v:stroke dashstyle="solid"/>
            </v:line>
            <v:rect style="position:absolute;left:1677;top:829;width:53;height:135" filled="false" stroked="true" strokeweight=".06pt" strokecolor="#0000ff">
              <v:stroke dashstyle="solid"/>
            </v:rect>
            <v:line style="position:absolute" from="1730,830" to="1678,964" stroked="true" strokeweight=".06pt" strokecolor="#0000ff">
              <v:stroke dashstyle="solid"/>
            </v:line>
            <v:shape style="position:absolute;left:2677;top:884;width:102;height:279" type="#_x0000_t75" stroked="false">
              <v:imagedata r:id="rId98" o:title=""/>
            </v:shape>
            <w10:wrap type="topAndBottom"/>
          </v:group>
        </w:pict>
      </w:r>
      <w:r>
        <w:rPr/>
        <w:pict>
          <v:group style="position:absolute;margin-left:218.729996pt;margin-top:14.215634pt;width:89.6pt;height:68.1pt;mso-position-horizontal-relative:page;mso-position-vertical-relative:paragraph;z-index:-251462656;mso-wrap-distance-left:0;mso-wrap-distance-right:0" coordorigin="4375,284" coordsize="1792,1362">
            <v:line style="position:absolute" from="5270,770" to="5270,285" stroked="true" strokeweight=".06pt" strokecolor="#ff0000">
              <v:stroke dashstyle="solid"/>
            </v:line>
            <v:line style="position:absolute" from="4823,770" to="4823,285" stroked="true" strokeweight=".06pt" strokecolor="#ff0000">
              <v:stroke dashstyle="solid"/>
            </v:line>
            <v:line style="position:absolute" from="5718,770" to="5718,285" stroked="true" strokeweight=".06pt" strokecolor="#ff0000">
              <v:stroke dashstyle="solid"/>
            </v:line>
            <v:shape style="position:absolute;left:4375;top:284;width:1791;height:1223" coordorigin="4375,285" coordsize="1791,1223" path="m5270,1508l4375,1508,4375,285,6166,285,6166,1508,5270,1508e" filled="false" stroked="true" strokeweight=".06pt" strokecolor="#000000">
              <v:path arrowok="t"/>
              <v:stroke dashstyle="solid"/>
            </v:shape>
            <v:line style="position:absolute" from="6166,1023" to="4375,1023" stroked="true" strokeweight=".06pt" strokecolor="#ff0000">
              <v:stroke dashstyle="solid"/>
            </v:line>
            <v:line style="position:absolute" from="6166,770" to="4375,770" stroked="true" strokeweight=".06pt" strokecolor="#ff0000">
              <v:stroke dashstyle="solid"/>
            </v:line>
            <v:line style="position:absolute" from="4823,1508" to="4823,1023" stroked="true" strokeweight=".06pt" strokecolor="#ff0000">
              <v:stroke dashstyle="solid"/>
            </v:line>
            <v:line style="position:absolute" from="5270,1508" to="5270,1023" stroked="true" strokeweight=".06pt" strokecolor="#ff0000">
              <v:stroke dashstyle="solid"/>
            </v:line>
            <v:line style="position:absolute" from="5718,1508" to="5718,1023" stroked="true" strokeweight=".06pt" strokecolor="#ff0000">
              <v:stroke dashstyle="solid"/>
            </v:line>
            <v:line style="position:absolute" from="5488,885" to="5437,944" stroked="true" strokeweight=".06pt" strokecolor="#0000ff">
              <v:stroke dashstyle="solid"/>
            </v:line>
            <v:line style="position:absolute" from="5488,885" to="5488,1162" stroked="true" strokeweight=".06pt" strokecolor="#0000ff">
              <v:stroke dashstyle="solid"/>
            </v:line>
            <v:line style="position:absolute" from="5488,885" to="5537,944" stroked="true" strokeweight=".06pt" strokecolor="#0000ff">
              <v:stroke dashstyle="solid"/>
            </v:line>
            <v:line style="position:absolute" from="5488,1429" to="5488,1646" stroked="true" strokeweight=".06pt" strokecolor="#0000ff">
              <v:stroke dashstyle="solid"/>
            </v:line>
            <v:line style="position:absolute" from="5488,1370" to="5437,1429" stroked="true" strokeweight=".06pt" strokecolor="#0000ff">
              <v:stroke dashstyle="solid"/>
            </v:line>
            <v:line style="position:absolute" from="5488,1370" to="5537,1429" stroked="true" strokeweight=".06pt" strokecolor="#0000ff">
              <v:stroke dashstyle="solid"/>
            </v:line>
            <v:line style="position:absolute" from="5537,1429" to="5437,1429" stroked="true" strokeweight=".06pt" strokecolor="#0000ff">
              <v:stroke dashstyle="solid"/>
            </v:line>
            <v:line style="position:absolute" from="4765,897" to="4548,897" stroked="true" strokeweight=".06pt" strokecolor="#0000ff">
              <v:stroke dashstyle="solid"/>
            </v:line>
            <v:line style="position:absolute" from="4489,897" to="4548,847" stroked="true" strokeweight=".06pt" strokecolor="#0000ff">
              <v:stroke dashstyle="solid"/>
            </v:line>
            <v:line style="position:absolute" from="4489,897" to="4548,947" stroked="true" strokeweight=".06pt" strokecolor="#0000ff">
              <v:stroke dashstyle="solid"/>
            </v:line>
            <v:line style="position:absolute" from="4548,847" to="4548,947" stroked="true" strokeweight=".06pt" strokecolor="#0000ff">
              <v:stroke dashstyle="solid"/>
            </v:line>
            <v:shape style="position:absolute;left:4489;top:846;width:59;height:51" coordorigin="4489,847" coordsize="59,51" path="m4548,847l4489,897,4529,897,4548,847xe" filled="true" fillcolor="#0000ff" stroked="false">
              <v:path arrowok="t"/>
              <v:fill type="solid"/>
            </v:shape>
            <v:shape style="position:absolute;left:4489;top:846;width:59;height:51" coordorigin="4489,847" coordsize="59,51" path="m4529,897l4548,847,4489,897,4529,897e" filled="false" stroked="true" strokeweight=".06pt" strokecolor="#0000ff">
              <v:path arrowok="t"/>
              <v:stroke dashstyle="solid"/>
            </v:shape>
            <v:shape style="position:absolute;left:4489;top:896;width:59;height:51" coordorigin="4489,897" coordsize="59,51" path="m4529,897l4489,897,4548,947,4529,897xe" filled="true" fillcolor="#0000ff" stroked="false">
              <v:path arrowok="t"/>
              <v:fill type="solid"/>
            </v:shape>
            <v:shape style="position:absolute;left:4489;top:896;width:59;height:51" coordorigin="4489,897" coordsize="59,51" path="m4529,897l4489,897,4548,947,4529,897e" filled="false" stroked="true" strokeweight=".06pt" strokecolor="#0000ff">
              <v:path arrowok="t"/>
              <v:stroke dashstyle="solid"/>
            </v:shape>
            <v:shape style="position:absolute;left:4528;top:846;width:20;height:101" coordorigin="4529,847" coordsize="20,101" path="m4548,847l4529,897,4548,947,4548,847xe" filled="true" fillcolor="#0000ff" stroked="false">
              <v:path arrowok="t"/>
              <v:fill type="solid"/>
            </v:shape>
            <v:shape style="position:absolute;left:4528;top:846;width:20;height:101" coordorigin="4529,847" coordsize="20,101" path="m4529,897l4548,947,4548,847,4529,897e" filled="false" stroked="true" strokeweight=".06pt" strokecolor="#0000ff">
              <v:path arrowok="t"/>
              <v:stroke dashstyle="solid"/>
            </v:shape>
            <v:line style="position:absolute" from="5537,1007" to="5437,1007" stroked="true" strokeweight=".06pt" strokecolor="#0000ff">
              <v:stroke dashstyle="solid"/>
            </v:line>
            <v:line style="position:absolute" from="5537,1040" to="5437,1040" stroked="true" strokeweight=".06pt" strokecolor="#0000ff">
              <v:stroke dashstyle="solid"/>
            </v:line>
            <v:rect style="position:absolute;left:4436;top:829;width:53;height:135" filled="false" stroked="true" strokeweight=".06pt" strokecolor="#0000ff">
              <v:stroke dashstyle="solid"/>
            </v:rect>
            <v:line style="position:absolute" from="4489,830" to="4436,964" stroked="true" strokeweight=".06pt" strokecolor="#0000ff">
              <v:stroke dashstyle="solid"/>
            </v:line>
            <w10:wrap type="topAndBottom"/>
          </v:group>
        </w:pict>
      </w:r>
      <w:r>
        <w:rPr/>
        <w:pict>
          <v:group style="position:absolute;margin-left:351.269989pt;margin-top:14.215634pt;width:103.35pt;height:68.1pt;mso-position-horizontal-relative:page;mso-position-vertical-relative:paragraph;z-index:-251461632;mso-wrap-distance-left:0;mso-wrap-distance-right:0" coordorigin="7025,284" coordsize="2067,1362">
            <v:shape style="position:absolute;left:7164;top:284;width:1790;height:1223" coordorigin="7164,285" coordsize="1790,1223" path="m8059,1508l7164,1508,7164,285,8953,285,8953,1508,8059,1508e" filled="false" stroked="true" strokeweight=".06pt" strokecolor="#000000">
              <v:path arrowok="t"/>
              <v:stroke dashstyle="solid"/>
            </v:shape>
            <v:line style="position:absolute" from="8953,770" to="7164,770" stroked="true" strokeweight=".06pt" strokecolor="#ff0000">
              <v:stroke dashstyle="solid"/>
            </v:line>
            <v:line style="position:absolute" from="7610,770" to="7610,285" stroked="true" strokeweight=".06pt" strokecolor="#ff0000">
              <v:stroke dashstyle="solid"/>
            </v:line>
            <v:line style="position:absolute" from="8059,770" to="8059,285" stroked="true" strokeweight=".06pt" strokecolor="#ff0000">
              <v:stroke dashstyle="solid"/>
            </v:line>
            <v:line style="position:absolute" from="8506,770" to="8506,285" stroked="true" strokeweight=".06pt" strokecolor="#ff0000">
              <v:stroke dashstyle="solid"/>
            </v:line>
            <v:line style="position:absolute" from="8953,1023" to="7164,1023" stroked="true" strokeweight=".06pt" strokecolor="#ff0000">
              <v:stroke dashstyle="solid"/>
            </v:line>
            <v:line style="position:absolute" from="7610,1508" to="7610,1023" stroked="true" strokeweight=".06pt" strokecolor="#ff0000">
              <v:stroke dashstyle="solid"/>
            </v:line>
            <v:line style="position:absolute" from="8059,1508" to="8059,1023" stroked="true" strokeweight=".06pt" strokecolor="#ff0000">
              <v:stroke dashstyle="solid"/>
            </v:line>
            <v:line style="position:absolute" from="8506,1508" to="8506,1023" stroked="true" strokeweight=".06pt" strokecolor="#ff0000">
              <v:stroke dashstyle="solid"/>
            </v:line>
            <v:line style="position:absolute" from="8275,885" to="8275,1162" stroked="true" strokeweight=".06pt" strokecolor="#0000ff">
              <v:stroke dashstyle="solid"/>
            </v:line>
            <v:line style="position:absolute" from="8275,885" to="8225,944" stroked="true" strokeweight=".06pt" strokecolor="#0000ff">
              <v:stroke dashstyle="solid"/>
            </v:line>
            <v:line style="position:absolute" from="8275,885" to="8326,944" stroked="true" strokeweight=".06pt" strokecolor="#0000ff">
              <v:stroke dashstyle="solid"/>
            </v:line>
            <v:line style="position:absolute" from="8275,1429" to="8275,1587" stroked="true" strokeweight=".06pt" strokecolor="#0000ff">
              <v:stroke dashstyle="solid"/>
            </v:line>
            <v:line style="position:absolute" from="8275,1370" to="8225,1429" stroked="true" strokeweight=".06pt" strokecolor="#0000ff">
              <v:stroke dashstyle="solid"/>
            </v:line>
            <v:line style="position:absolute" from="8275,1370" to="8326,1429" stroked="true" strokeweight=".06pt" strokecolor="#0000ff">
              <v:stroke dashstyle="solid"/>
            </v:line>
            <v:line style="position:absolute" from="8275,1646" to="8225,1587" stroked="true" strokeweight=".06pt" strokecolor="#0000ff">
              <v:stroke dashstyle="solid"/>
            </v:line>
            <v:line style="position:absolute" from="8275,1646" to="8326,1587" stroked="true" strokeweight=".06pt" strokecolor="#0000ff">
              <v:stroke dashstyle="solid"/>
            </v:line>
            <v:line style="position:absolute" from="8275,1162" to="8225,1102" stroked="true" strokeweight=".06pt" strokecolor="#0000ff">
              <v:stroke dashstyle="solid"/>
            </v:line>
            <v:line style="position:absolute" from="8275,1162" to="8326,1102" stroked="true" strokeweight=".06pt" strokecolor="#0000ff">
              <v:stroke dashstyle="solid"/>
            </v:line>
            <v:line style="position:absolute" from="8326,1007" to="8225,1007" stroked="true" strokeweight=".06pt" strokecolor="#0000ff">
              <v:stroke dashstyle="solid"/>
            </v:line>
            <v:line style="position:absolute" from="8326,1040" to="8225,1040" stroked="true" strokeweight=".06pt" strokecolor="#0000ff">
              <v:stroke dashstyle="solid"/>
            </v:line>
            <v:shape style="position:absolute;left:8815;top:850;width:276;height:102" type="#_x0000_t75" stroked="false">
              <v:imagedata r:id="rId95" o:title=""/>
            </v:shape>
            <v:shape style="position:absolute;left:7025;top:850;width:278;height:102" type="#_x0000_t75" stroked="false">
              <v:imagedata r:id="rId96" o:title=""/>
            </v:shape>
            <v:line style="position:absolute" from="8225,1429" to="8326,1429" stroked="true" strokeweight=".06pt" strokecolor="#0000ff">
              <v:stroke dashstyle="solid"/>
            </v:line>
            <v:line style="position:absolute" from="8225,1587" to="8326,1587" stroked="true" strokeweight=".06pt" strokecolor="#0000ff">
              <v:stroke dashstyle="solid"/>
            </v:line>
            <v:shape style="position:absolute;left:8224;top:1586;width:101;height:21" coordorigin="8225,1587" coordsize="101,21" path="m8326,1587l8225,1587,8275,1607,8326,1587xe" filled="true" fillcolor="#0000ff" stroked="false">
              <v:path arrowok="t"/>
              <v:fill type="solid"/>
            </v:shape>
            <v:shape style="position:absolute;left:8224;top:1586;width:101;height:21" coordorigin="8225,1587" coordsize="101,21" path="m8275,1607l8326,1587,8225,1587,8275,1607e" filled="false" stroked="true" strokeweight=".06pt" strokecolor="#0000ff">
              <v:path arrowok="t"/>
              <v:stroke dashstyle="solid"/>
            </v:shape>
            <v:shape style="position:absolute;left:8224;top:1586;width:51;height:59" coordorigin="8225,1587" coordsize="51,59" path="m8225,1587l8275,1646,8275,1607,8225,1587xe" filled="true" fillcolor="#0000ff" stroked="false">
              <v:path arrowok="t"/>
              <v:fill type="solid"/>
            </v:shape>
            <v:shape style="position:absolute;left:8224;top:1586;width:51;height:59" coordorigin="8225,1587" coordsize="51,59" path="m8275,1607l8225,1587,8275,1646,8275,1607e" filled="false" stroked="true" strokeweight=".06pt" strokecolor="#0000ff">
              <v:path arrowok="t"/>
              <v:stroke dashstyle="solid"/>
            </v:shape>
            <v:shape style="position:absolute;left:8275;top:1586;width:51;height:59" coordorigin="8275,1587" coordsize="51,59" path="m8326,1587l8275,1607,8275,1646,8326,1587xe" filled="true" fillcolor="#0000ff" stroked="false">
              <v:path arrowok="t"/>
              <v:fill type="solid"/>
            </v:shape>
            <v:shape style="position:absolute;left:8275;top:1586;width:51;height:59" coordorigin="8275,1587" coordsize="51,59" path="m8275,1607l8275,1646,8326,1587,8275,1607e" filled="false" stroked="true" strokeweight=".06pt" strokecolor="#0000ff">
              <v:path arrowok="t"/>
              <v:stroke dashstyle="solid"/>
            </v:shape>
            <w10:wrap type="topAndBottom"/>
          </v:group>
        </w:pict>
      </w:r>
    </w:p>
    <w:p>
      <w:pPr>
        <w:tabs>
          <w:tab w:pos="4052" w:val="left" w:leader="none"/>
          <w:tab w:pos="6841" w:val="left" w:leader="none"/>
        </w:tabs>
        <w:spacing w:before="12"/>
        <w:ind w:left="1293" w:right="0" w:firstLine="0"/>
        <w:jc w:val="left"/>
        <w:rPr>
          <w:sz w:val="13"/>
        </w:rPr>
      </w:pPr>
      <w:r>
        <w:rPr>
          <w:color w:val="0000FF"/>
          <w:sz w:val="13"/>
        </w:rPr>
        <w:t>d</w:t>
        <w:tab/>
        <w:t>e</w:t>
        <w:tab/>
        <w:t>f</w:t>
      </w:r>
    </w:p>
    <w:p>
      <w:pPr>
        <w:pStyle w:val="BodyText"/>
        <w:spacing w:before="5"/>
        <w:rPr>
          <w:sz w:val="17"/>
        </w:rPr>
      </w:pPr>
    </w:p>
    <w:p>
      <w:pPr>
        <w:pStyle w:val="ListParagraph"/>
        <w:numPr>
          <w:ilvl w:val="0"/>
          <w:numId w:val="123"/>
        </w:numPr>
        <w:tabs>
          <w:tab w:pos="939" w:val="left" w:leader="none"/>
        </w:tabs>
        <w:spacing w:line="240" w:lineRule="auto" w:before="0" w:after="0"/>
        <w:ind w:left="938" w:right="0" w:hanging="363"/>
        <w:jc w:val="left"/>
        <w:rPr>
          <w:sz w:val="20"/>
        </w:rPr>
      </w:pPr>
      <w:r>
        <w:rPr>
          <w:sz w:val="20"/>
        </w:rPr>
        <w:t>Ventilación independiente y natural de trasteros y zonas</w:t>
      </w:r>
      <w:r>
        <w:rPr>
          <w:spacing w:val="-12"/>
          <w:sz w:val="20"/>
        </w:rPr>
        <w:t> </w:t>
      </w:r>
      <w:r>
        <w:rPr>
          <w:sz w:val="20"/>
        </w:rPr>
        <w:t>comunes.</w:t>
      </w:r>
    </w:p>
    <w:p>
      <w:pPr>
        <w:pStyle w:val="ListParagraph"/>
        <w:numPr>
          <w:ilvl w:val="0"/>
          <w:numId w:val="123"/>
        </w:numPr>
        <w:tabs>
          <w:tab w:pos="940" w:val="left" w:leader="none"/>
        </w:tabs>
        <w:spacing w:line="240" w:lineRule="auto" w:before="59" w:after="0"/>
        <w:ind w:left="1466" w:right="390" w:hanging="891"/>
        <w:jc w:val="left"/>
        <w:rPr>
          <w:sz w:val="20"/>
        </w:rPr>
      </w:pPr>
      <w:r>
        <w:rPr>
          <w:sz w:val="20"/>
        </w:rPr>
        <w:t>Ventilación independiente de trasteros y zonas comunes. Ventilación natural en trasteros e híbrida o mecánica en zonas</w:t>
      </w:r>
      <w:r>
        <w:rPr>
          <w:spacing w:val="-3"/>
          <w:sz w:val="20"/>
        </w:rPr>
        <w:t> </w:t>
      </w:r>
      <w:r>
        <w:rPr>
          <w:sz w:val="20"/>
        </w:rPr>
        <w:t>comunes.</w:t>
      </w:r>
    </w:p>
    <w:p>
      <w:pPr>
        <w:pStyle w:val="ListParagraph"/>
        <w:numPr>
          <w:ilvl w:val="0"/>
          <w:numId w:val="123"/>
        </w:numPr>
        <w:tabs>
          <w:tab w:pos="939" w:val="left" w:leader="none"/>
        </w:tabs>
        <w:spacing w:line="240" w:lineRule="auto" w:before="61" w:after="0"/>
        <w:ind w:left="938" w:right="0" w:hanging="363"/>
        <w:jc w:val="left"/>
        <w:rPr>
          <w:sz w:val="20"/>
        </w:rPr>
      </w:pPr>
      <w:r>
        <w:rPr>
          <w:sz w:val="20"/>
        </w:rPr>
        <w:t>Ventilación dependiente y natural de trasteros y zonas</w:t>
      </w:r>
      <w:r>
        <w:rPr>
          <w:spacing w:val="-3"/>
          <w:sz w:val="20"/>
        </w:rPr>
        <w:t> </w:t>
      </w:r>
      <w:r>
        <w:rPr>
          <w:sz w:val="20"/>
        </w:rPr>
        <w:t>comunes.</w:t>
      </w:r>
    </w:p>
    <w:p>
      <w:pPr>
        <w:pStyle w:val="ListParagraph"/>
        <w:numPr>
          <w:ilvl w:val="0"/>
          <w:numId w:val="123"/>
        </w:numPr>
        <w:tabs>
          <w:tab w:pos="939" w:val="left" w:leader="none"/>
        </w:tabs>
        <w:spacing w:line="240" w:lineRule="auto" w:before="59" w:after="0"/>
        <w:ind w:left="938" w:right="397" w:hanging="363"/>
        <w:jc w:val="left"/>
        <w:rPr>
          <w:sz w:val="20"/>
        </w:rPr>
      </w:pPr>
      <w:r>
        <w:rPr>
          <w:sz w:val="20"/>
        </w:rPr>
        <w:t>Ventilación dependiente de trasteros y zonas comunes. Ventilación natural en trasteros y híbrida o mecánica en zonas</w:t>
      </w:r>
      <w:r>
        <w:rPr>
          <w:spacing w:val="-6"/>
          <w:sz w:val="20"/>
        </w:rPr>
        <w:t> </w:t>
      </w:r>
      <w:r>
        <w:rPr>
          <w:sz w:val="20"/>
        </w:rPr>
        <w:t>comunes.</w:t>
      </w:r>
    </w:p>
    <w:p>
      <w:pPr>
        <w:pStyle w:val="ListParagraph"/>
        <w:numPr>
          <w:ilvl w:val="0"/>
          <w:numId w:val="123"/>
        </w:numPr>
        <w:tabs>
          <w:tab w:pos="939" w:val="left" w:leader="none"/>
        </w:tabs>
        <w:spacing w:line="240" w:lineRule="auto" w:before="61" w:after="0"/>
        <w:ind w:left="938" w:right="0" w:hanging="363"/>
        <w:jc w:val="left"/>
        <w:rPr>
          <w:sz w:val="20"/>
        </w:rPr>
      </w:pPr>
      <w:r>
        <w:rPr>
          <w:sz w:val="20"/>
        </w:rPr>
        <w:t>Ventilación dependiente e híbrida o mecánica de trasteros y zonas</w:t>
      </w:r>
      <w:r>
        <w:rPr>
          <w:spacing w:val="-18"/>
          <w:sz w:val="20"/>
        </w:rPr>
        <w:t> </w:t>
      </w:r>
      <w:r>
        <w:rPr>
          <w:sz w:val="20"/>
        </w:rPr>
        <w:t>comunes.</w:t>
      </w:r>
    </w:p>
    <w:p>
      <w:pPr>
        <w:pStyle w:val="ListParagraph"/>
        <w:numPr>
          <w:ilvl w:val="0"/>
          <w:numId w:val="123"/>
        </w:numPr>
        <w:tabs>
          <w:tab w:pos="938" w:val="left" w:leader="none"/>
          <w:tab w:pos="939" w:val="left" w:leader="none"/>
        </w:tabs>
        <w:spacing w:line="240" w:lineRule="auto" w:before="59" w:after="0"/>
        <w:ind w:left="938" w:right="0" w:hanging="363"/>
        <w:jc w:val="left"/>
        <w:rPr>
          <w:sz w:val="20"/>
        </w:rPr>
      </w:pPr>
      <w:r>
        <w:rPr>
          <w:sz w:val="20"/>
        </w:rPr>
        <w:t>Ventilación dependiente y natural de trasteros y zonas</w:t>
      </w:r>
      <w:r>
        <w:rPr>
          <w:spacing w:val="-33"/>
          <w:sz w:val="20"/>
        </w:rPr>
        <w:t> </w:t>
      </w:r>
      <w:r>
        <w:rPr>
          <w:sz w:val="20"/>
        </w:rPr>
        <w:t>comunes.</w:t>
      </w:r>
    </w:p>
    <w:p>
      <w:pPr>
        <w:tabs>
          <w:tab w:pos="6599" w:val="left" w:leader="none"/>
        </w:tabs>
        <w:spacing w:before="195"/>
        <w:ind w:left="2130" w:right="0" w:firstLine="0"/>
        <w:jc w:val="left"/>
        <w:rPr>
          <w:i/>
          <w:sz w:val="16"/>
        </w:rPr>
      </w:pPr>
      <w:r>
        <w:rPr/>
        <w:pict>
          <v:group style="position:absolute;margin-left:148.169998pt;margin-top:6.784317pt;width:4.7pt;height:12.75pt;mso-position-horizontal-relative:page;mso-position-vertical-relative:paragraph;z-index:251858944" coordorigin="2963,136" coordsize="94,255">
            <v:line style="position:absolute" from="3011,391" to="3011,191" stroked="true" strokeweight=".06pt" strokecolor="#0000ff">
              <v:stroke dashstyle="solid"/>
            </v:line>
            <v:shape style="position:absolute;left:-47;top:5717;width:93;height:56" coordorigin="-47,5718" coordsize="93,56" path="m3011,136l2964,191m3011,136l3056,191e" filled="false" stroked="true" strokeweight=".06pt" strokecolor="#0000ff">
              <v:path arrowok="t"/>
              <v:stroke dashstyle="solid"/>
            </v:shape>
            <v:line style="position:absolute" from="3056,191" to="2964,191" stroked="true" strokeweight=".06pt" strokecolor="#0000ff">
              <v:stroke dashstyle="solid"/>
            </v:line>
            <w10:wrap type="none"/>
          </v:group>
        </w:pict>
      </w:r>
      <w:r>
        <w:rPr/>
        <w:pict>
          <v:group style="position:absolute;margin-left:368.970001pt;margin-top:13.924317pt;width:5.7pt;height:14.9pt;mso-position-horizontal-relative:page;mso-position-vertical-relative:paragraph;z-index:-267110400" coordorigin="7379,278" coordsize="114,298">
            <v:line style="position:absolute" from="7382,512" to="7490,512" stroked="true" strokeweight=".06pt" strokecolor="#0000ff">
              <v:stroke dashstyle="solid"/>
            </v:line>
            <v:shape style="position:absolute;left:-54;top:5654;width:108;height:64" coordorigin="-54,5654" coordsize="108,64" path="m7436,575l7382,512m7436,575l7490,512e" filled="false" stroked="true" strokeweight=".06pt" strokecolor="#0000ff">
              <v:path arrowok="t"/>
              <v:stroke dashstyle="solid"/>
            </v:shape>
            <v:line style="position:absolute" from="7382,345" to="7490,345" stroked="true" strokeweight=".06pt" strokecolor="#0000ff">
              <v:stroke dashstyle="solid"/>
            </v:line>
            <v:shape style="position:absolute;left:-54;top:5717;width:108;height:64" coordorigin="-54,5718" coordsize="108,64" path="m7436,281l7382,345m7436,281l7490,345e" filled="false" stroked="true" strokeweight=".06pt" strokecolor="#0000ff">
              <v:path arrowok="t"/>
              <v:stroke dashstyle="solid"/>
            </v:shape>
            <v:line style="position:absolute" from="7436,345" to="7436,512" stroked="true" strokeweight=".06pt" strokecolor="#0000ff">
              <v:stroke dashstyle="solid"/>
            </v:line>
            <v:shape style="position:absolute;left:7436;top:281;width:56;height:64" coordorigin="7436,281" coordsize="56,64" path="m7492,344l7488,343,7436,281,7436,323,7436,325,7490,345,7492,344e" filled="true" fillcolor="#0000ff" stroked="false">
              <v:path arrowok="t"/>
              <v:fill type="solid"/>
            </v:shape>
            <v:shape style="position:absolute;left:7436;top:323;width:56;height:22" coordorigin="7436,323" coordsize="56,22" path="m7438,323l7436,323,7436,325,7490,345,7492,344,7438,323e" filled="false" stroked="true" strokeweight=".06pt" strokecolor="#0000ff">
              <v:path arrowok="t"/>
              <v:stroke dashstyle="solid"/>
            </v:shape>
            <v:shape style="position:absolute;left:7490;top:343;width:3;height:3" coordorigin="7490,344" coordsize="3,3" path="m7492,344l7490,345,7493,346,7492,344xe" filled="true" fillcolor="#0000ff" stroked="false">
              <v:path arrowok="t"/>
              <v:fill type="solid"/>
            </v:shape>
            <v:shape style="position:absolute;left:7490;top:343;width:3;height:3" coordorigin="7490,344" coordsize="3,3" path="m7490,345l7493,346,7492,344e" filled="false" stroked="true" strokeweight=".06pt" strokecolor="#0000ff">
              <v:path arrowok="t"/>
              <v:stroke dashstyle="solid"/>
            </v:shape>
            <v:shape style="position:absolute;left:7436;top:281;width:56;height:64" coordorigin="7436,281" coordsize="56,64" path="m7438,281l7436,281,7436,283,7490,345,7492,344,7438,281xe" filled="true" fillcolor="#0000ff" stroked="false">
              <v:path arrowok="t"/>
              <v:fill type="solid"/>
            </v:shape>
            <v:shape style="position:absolute;left:7436;top:281;width:56;height:64" coordorigin="7436,281" coordsize="56,64" path="m7490,345l7492,344,7438,281,7436,281,7436,283,7490,345e" filled="false" stroked="true" strokeweight=".06pt" strokecolor="#0000ff">
              <v:path arrowok="t"/>
              <v:stroke dashstyle="solid"/>
            </v:shape>
            <v:shape style="position:absolute;left:7436;top:280;width:2;height:2" coordorigin="7436,280" coordsize="2,2" path="m7438,281l7436,280,7436,281e" filled="false" stroked="true" strokeweight=".06pt" strokecolor="#0000ff">
              <v:path arrowok="t"/>
              <v:stroke dashstyle="solid"/>
            </v:shape>
            <v:line style="position:absolute" from="7437,279" to="7437,325" stroked="true" strokeweight=".120039pt" strokecolor="#0000ff">
              <v:stroke dashstyle="solid"/>
            </v:line>
            <v:shape style="position:absolute;left:7382;top:281;width:54;height:64" coordorigin="7382,281" coordsize="54,64" path="m7436,281l7382,345,7436,323,7436,281xe" filled="true" fillcolor="#0000ff" stroked="false">
              <v:path arrowok="t"/>
              <v:fill type="solid"/>
            </v:shape>
            <v:shape style="position:absolute;left:7436;top:279;width:2;height:3" coordorigin="7436,279" coordsize="2,3" path="m7438,281l7438,279,7436,281e" filled="false" stroked="true" strokeweight=".06pt" strokecolor="#0000ff">
              <v:path arrowok="t"/>
              <v:stroke dashstyle="solid"/>
            </v:shape>
            <v:shape style="position:absolute;left:7382;top:281;width:56;height:64" coordorigin="7382,281" coordsize="56,64" path="m7436,281l7382,344,7382,345,7384,345,7438,283,7436,281xe" filled="true" fillcolor="#0000ff" stroked="false">
              <v:path arrowok="t"/>
              <v:fill type="solid"/>
            </v:shape>
            <v:shape style="position:absolute;left:7382;top:281;width:56;height:64" coordorigin="7382,281" coordsize="56,64" path="m7438,283l7436,281,7382,344,7382,345,7384,345,7438,283e" filled="false" stroked="true" strokeweight=".06pt" strokecolor="#0000ff">
              <v:path arrowok="t"/>
              <v:stroke dashstyle="solid"/>
            </v:shape>
            <v:shape style="position:absolute;left:7380;top:343;width:3;height:3" coordorigin="7380,344" coordsize="3,3" path="m7382,344l7380,346,7382,345,7382,344xe" filled="true" fillcolor="#0000ff" stroked="false">
              <v:path arrowok="t"/>
              <v:fill type="solid"/>
            </v:shape>
            <v:shape style="position:absolute;left:7380;top:343;width:3;height:3" coordorigin="7380,344" coordsize="3,3" path="m7382,344l7380,346,7382,345e" filled="false" stroked="true" strokeweight=".06pt" strokecolor="#0000ff">
              <v:path arrowok="t"/>
              <v:stroke dashstyle="solid"/>
            </v:shape>
            <v:shape style="position:absolute;left:7382;top:323;width:56;height:22" coordorigin="7382,323" coordsize="56,22" path="m7436,323l7382,344,7382,345,7438,325,7436,323xe" filled="true" fillcolor="#0000ff" stroked="false">
              <v:path arrowok="t"/>
              <v:fill type="solid"/>
            </v:shape>
            <v:shape style="position:absolute;left:7382;top:323;width:56;height:22" coordorigin="7382,323" coordsize="56,22" path="m7382,344l7382,345,7438,325,7436,323,7382,344e" filled="false" stroked="true" strokeweight=".06pt" strokecolor="#0000ff">
              <v:path arrowok="t"/>
              <v:stroke dashstyle="solid"/>
            </v:shape>
            <v:shape style="position:absolute;left:7382;top:323;width:108;height:22" coordorigin="7382,323" coordsize="108,22" path="m7436,323l7382,345,7490,345,7436,323xe" filled="true" fillcolor="#0000ff" stroked="false">
              <v:path arrowok="t"/>
              <v:fill type="solid"/>
            </v:shape>
            <v:shape style="position:absolute;left:7382;top:323;width:108;height:22" coordorigin="7382,323" coordsize="108,22" path="m7436,323l7382,345,7490,345,7436,323e" filled="false" stroked="true" strokeweight=".06pt" strokecolor="#0000ff">
              <v:path arrowok="t"/>
              <v:stroke dashstyle="solid"/>
            </v:shape>
            <w10:wrap type="none"/>
          </v:group>
        </w:pict>
      </w:r>
      <w:r>
        <w:rPr>
          <w:i/>
          <w:sz w:val="16"/>
        </w:rPr>
        <w:t>abertura</w:t>
      </w:r>
      <w:r>
        <w:rPr>
          <w:i/>
          <w:spacing w:val="-1"/>
          <w:sz w:val="16"/>
        </w:rPr>
        <w:t> </w:t>
      </w:r>
      <w:r>
        <w:rPr>
          <w:i/>
          <w:sz w:val="16"/>
        </w:rPr>
        <w:t>de</w:t>
      </w:r>
      <w:r>
        <w:rPr>
          <w:i/>
          <w:spacing w:val="-1"/>
          <w:sz w:val="16"/>
        </w:rPr>
        <w:t> </w:t>
      </w:r>
      <w:r>
        <w:rPr>
          <w:i/>
          <w:sz w:val="16"/>
        </w:rPr>
        <w:t>admisión</w:t>
        <w:tab/>
      </w:r>
      <w:r>
        <w:rPr>
          <w:i/>
          <w:position w:val="-8"/>
          <w:sz w:val="16"/>
        </w:rPr>
        <w:t>abertura</w:t>
      </w:r>
      <w:r>
        <w:rPr>
          <w:i/>
          <w:spacing w:val="-2"/>
          <w:position w:val="-8"/>
          <w:sz w:val="16"/>
        </w:rPr>
        <w:t> </w:t>
      </w:r>
      <w:r>
        <w:rPr>
          <w:i/>
          <w:position w:val="-8"/>
          <w:sz w:val="16"/>
        </w:rPr>
        <w:t>mixta</w:t>
      </w:r>
    </w:p>
    <w:p>
      <w:pPr>
        <w:spacing w:before="150"/>
        <w:ind w:left="2130" w:right="0" w:firstLine="0"/>
        <w:jc w:val="left"/>
        <w:rPr>
          <w:i/>
          <w:sz w:val="16"/>
        </w:rPr>
      </w:pPr>
      <w:r>
        <w:rPr/>
        <w:pict>
          <v:group style="position:absolute;margin-left:148.169998pt;margin-top:5.014066pt;width:4.7pt;height:12.7pt;mso-position-horizontal-relative:page;mso-position-vertical-relative:paragraph;z-index:251860992" coordorigin="2963,100" coordsize="94,254">
            <v:line style="position:absolute" from="3011,155" to="3011,354" stroked="true" strokeweight=".06pt" strokecolor="#0000ff">
              <v:stroke dashstyle="solid"/>
            </v:line>
            <v:shape style="position:absolute;left:-47;top:5249;width:93;height:54" coordorigin="-47,5249" coordsize="93,54" path="m3011,101l3056,155m3011,101l2964,155,3056,155e" filled="false" stroked="true" strokeweight=".06pt" strokecolor="#0000ff">
              <v:path arrowok="t"/>
              <v:stroke dashstyle="solid"/>
            </v:shape>
            <v:shape style="position:absolute;left:3010;top:100;width:46;height:54" coordorigin="3011,101" coordsize="46,54" path="m3011,101l3011,137,3056,155,3011,101xe" filled="true" fillcolor="#0000ff" stroked="false">
              <v:path arrowok="t"/>
              <v:fill type="solid"/>
            </v:shape>
            <v:shape style="position:absolute;left:3010;top:100;width:46;height:54" coordorigin="3011,101" coordsize="46,54" path="m3011,137l3056,155,3011,101,3011,137e" filled="false" stroked="true" strokeweight=".06pt" strokecolor="#0000ff">
              <v:path arrowok="t"/>
              <v:stroke dashstyle="solid"/>
            </v:shape>
            <v:shape style="position:absolute;left:2964;top:100;width:47;height:54" coordorigin="2964,101" coordsize="47,54" path="m3011,101l2964,155,3011,137,3011,101xe" filled="true" fillcolor="#0000ff" stroked="false">
              <v:path arrowok="t"/>
              <v:fill type="solid"/>
            </v:shape>
            <v:shape style="position:absolute;left:2964;top:100;width:47;height:54" coordorigin="2964,101" coordsize="47,54" path="m3011,137l3011,101,2964,155,3011,137e" filled="false" stroked="true" strokeweight=".06pt" strokecolor="#0000ff">
              <v:path arrowok="t"/>
              <v:stroke dashstyle="solid"/>
            </v:shape>
            <v:shape style="position:absolute;left:2964;top:136;width:93;height:18" coordorigin="2964,137" coordsize="93,18" path="m3011,137l2964,155,3056,155,3011,137xe" filled="true" fillcolor="#0000ff" stroked="false">
              <v:path arrowok="t"/>
              <v:fill type="solid"/>
            </v:shape>
            <v:shape style="position:absolute;left:2964;top:136;width:93;height:18" coordorigin="2964,137" coordsize="93,18" path="m3011,137l2964,155,3056,155,3011,137e" filled="false" stroked="true" strokeweight=".06pt" strokecolor="#0000ff">
              <v:path arrowok="t"/>
              <v:stroke dashstyle="solid"/>
            </v:shape>
            <w10:wrap type="none"/>
          </v:group>
        </w:pict>
      </w:r>
      <w:r>
        <w:rPr/>
        <w:pict>
          <v:group style="position:absolute;margin-left:368.609985pt;margin-top:16.234066pt;width:5.55pt;height:14.8pt;mso-position-horizontal-relative:page;mso-position-vertical-relative:paragraph;z-index:-267109376" coordorigin="7372,325" coordsize="111,296">
            <v:line style="position:absolute" from="7373,449" to="7482,449" stroked="true" strokeweight=".06pt" strokecolor="#0000ff">
              <v:stroke dashstyle="solid"/>
            </v:line>
            <v:line style="position:absolute" from="7428,325" to="7373,389" stroked="true" strokeweight=".06pt" strokecolor="#0000ff">
              <v:stroke dashstyle="solid"/>
            </v:line>
            <v:line style="position:absolute" from="7428,619" to="7373,556" stroked="true" strokeweight=".06pt" strokecolor="#0000ff">
              <v:stroke dashstyle="solid"/>
            </v:line>
            <v:shape style="position:absolute;left:0;top:5249;width:54;height:294" coordorigin="0,5249" coordsize="54,294" path="m7428,325l7428,619,7482,556m7428,325l7482,389e" filled="false" stroked="true" strokeweight=".06pt" strokecolor="#0000ff">
              <v:path arrowok="t"/>
              <v:stroke dashstyle="solid"/>
            </v:shape>
            <w10:wrap type="none"/>
          </v:group>
        </w:pict>
      </w:r>
      <w:r>
        <w:rPr/>
        <w:pict>
          <v:group style="position:absolute;margin-left:354.869995pt;margin-top:16.234066pt;width:5.5pt;height:14.75pt;mso-position-horizontal-relative:page;mso-position-vertical-relative:paragraph;z-index:251864064" coordorigin="7097,325" coordsize="110,295">
            <v:line style="position:absolute" from="7152,619" to="7152,325" stroked="true" strokeweight=".06pt" strokecolor="#0000ff">
              <v:stroke dashstyle="solid"/>
            </v:line>
            <v:line style="position:absolute" from="7206,496" to="7098,496" stroked="true" strokeweight=".06pt" strokecolor="#0000ff">
              <v:stroke dashstyle="solid"/>
            </v:line>
            <v:line style="position:absolute" from="7206,449" to="7098,449" stroked="true" strokeweight=".06pt" strokecolor="#0000ff">
              <v:stroke dashstyle="solid"/>
            </v:line>
            <v:shape style="position:absolute;left:-54;top:5249;width:108;height:64" coordorigin="-54,5249" coordsize="108,64" path="m7152,325l7098,389m7152,325l7206,389e" filled="false" stroked="true" strokeweight=".06pt" strokecolor="#0000ff">
              <v:path arrowok="t"/>
              <v:stroke dashstyle="solid"/>
            </v:shape>
            <w10:wrap type="none"/>
          </v:group>
        </w:pict>
      </w:r>
      <w:r>
        <w:rPr>
          <w:i/>
          <w:sz w:val="16"/>
        </w:rPr>
        <w:t>abertura de extracción</w:t>
      </w:r>
    </w:p>
    <w:p>
      <w:pPr>
        <w:tabs>
          <w:tab w:pos="6599" w:val="left" w:leader="none"/>
        </w:tabs>
        <w:spacing w:before="15"/>
        <w:ind w:left="6172" w:right="0" w:firstLine="0"/>
        <w:jc w:val="left"/>
        <w:rPr>
          <w:i/>
          <w:sz w:val="16"/>
        </w:rPr>
      </w:pPr>
      <w:r>
        <w:rPr>
          <w:i/>
          <w:w w:val="99"/>
          <w:sz w:val="16"/>
          <w:u w:val="single" w:color="0000FF"/>
        </w:rPr>
        <w:t> </w:t>
      </w:r>
      <w:r>
        <w:rPr>
          <w:i/>
          <w:spacing w:val="20"/>
          <w:sz w:val="16"/>
          <w:u w:val="single" w:color="0000FF"/>
        </w:rPr>
        <w:t> </w:t>
      </w:r>
      <w:r>
        <w:rPr>
          <w:i/>
          <w:sz w:val="16"/>
        </w:rPr>
        <w:tab/>
        <w:t>aberturas de</w:t>
      </w:r>
      <w:r>
        <w:rPr>
          <w:i/>
          <w:spacing w:val="-1"/>
          <w:sz w:val="16"/>
        </w:rPr>
        <w:t> </w:t>
      </w:r>
      <w:r>
        <w:rPr>
          <w:i/>
          <w:sz w:val="16"/>
        </w:rPr>
        <w:t>paso</w:t>
      </w:r>
    </w:p>
    <w:p>
      <w:pPr>
        <w:spacing w:before="14"/>
        <w:ind w:left="2130" w:right="0" w:firstLine="0"/>
        <w:jc w:val="left"/>
        <w:rPr>
          <w:i/>
          <w:sz w:val="16"/>
        </w:rPr>
      </w:pPr>
      <w:r>
        <w:rPr/>
        <w:pict>
          <v:group style="position:absolute;margin-left:148.949997pt;margin-top:2.594248pt;width:3.15pt;height:7.7pt;mso-position-horizontal-relative:page;mso-position-vertical-relative:paragraph;z-index:251859968" coordorigin="2979,52" coordsize="63,154">
            <v:rect style="position:absolute;left:2979;top:52;width:62;height:153" filled="false" stroked="true" strokeweight=".06pt" strokecolor="#0000ff">
              <v:stroke dashstyle="solid"/>
            </v:rect>
            <v:line style="position:absolute" from="3041,52" to="2980,205" stroked="true" strokeweight=".06pt" strokecolor="#0000ff">
              <v:stroke dashstyle="solid"/>
            </v:line>
            <w10:wrap type="none"/>
          </v:group>
        </w:pict>
      </w:r>
      <w:r>
        <w:rPr>
          <w:i/>
          <w:sz w:val="16"/>
        </w:rPr>
        <w:t>conducto de extracción</w:t>
      </w:r>
    </w:p>
    <w:p>
      <w:pPr>
        <w:spacing w:before="105"/>
        <w:ind w:left="655" w:right="828" w:firstLine="0"/>
        <w:jc w:val="center"/>
        <w:rPr>
          <w:b/>
          <w:sz w:val="18"/>
        </w:rPr>
      </w:pPr>
      <w:r>
        <w:rPr>
          <w:b/>
          <w:sz w:val="18"/>
        </w:rPr>
        <w:t>Figura 3.2 Ejemplos de tipos de ventilación en trasteros</w:t>
      </w:r>
    </w:p>
    <w:p>
      <w:pPr>
        <w:pStyle w:val="BodyText"/>
        <w:spacing w:before="6"/>
        <w:rPr>
          <w:b/>
          <w:sz w:val="17"/>
        </w:rPr>
      </w:pPr>
    </w:p>
    <w:p>
      <w:pPr>
        <w:pStyle w:val="ListParagraph"/>
        <w:numPr>
          <w:ilvl w:val="3"/>
          <w:numId w:val="119"/>
        </w:numPr>
        <w:tabs>
          <w:tab w:pos="843" w:val="left" w:leader="none"/>
        </w:tabs>
        <w:spacing w:line="240" w:lineRule="auto" w:before="1" w:after="0"/>
        <w:ind w:left="842" w:right="0" w:hanging="625"/>
        <w:jc w:val="both"/>
        <w:rPr>
          <w:b/>
          <w:i/>
          <w:sz w:val="20"/>
        </w:rPr>
      </w:pPr>
      <w:r>
        <w:rPr>
          <w:b/>
          <w:sz w:val="20"/>
        </w:rPr>
        <w:t>Medios de </w:t>
      </w:r>
      <w:r>
        <w:rPr>
          <w:b/>
          <w:i/>
          <w:sz w:val="20"/>
        </w:rPr>
        <w:t>ventilación</w:t>
      </w:r>
      <w:r>
        <w:rPr>
          <w:b/>
          <w:i/>
          <w:spacing w:val="-4"/>
          <w:sz w:val="20"/>
        </w:rPr>
        <w:t> </w:t>
      </w:r>
      <w:r>
        <w:rPr>
          <w:b/>
          <w:i/>
          <w:sz w:val="20"/>
        </w:rPr>
        <w:t>natural</w:t>
      </w:r>
    </w:p>
    <w:p>
      <w:pPr>
        <w:pStyle w:val="ListParagraph"/>
        <w:numPr>
          <w:ilvl w:val="0"/>
          <w:numId w:val="124"/>
        </w:numPr>
        <w:tabs>
          <w:tab w:pos="579" w:val="left" w:leader="none"/>
        </w:tabs>
        <w:spacing w:line="240" w:lineRule="auto" w:before="97" w:after="0"/>
        <w:ind w:left="575" w:right="391" w:hanging="358"/>
        <w:jc w:val="both"/>
        <w:rPr>
          <w:sz w:val="20"/>
        </w:rPr>
      </w:pPr>
      <w:r>
        <w:rPr>
          <w:sz w:val="20"/>
        </w:rPr>
        <w:t>Deben disponerse </w:t>
      </w:r>
      <w:r>
        <w:rPr>
          <w:i/>
          <w:sz w:val="20"/>
        </w:rPr>
        <w:t>aberturas mixtas </w:t>
      </w:r>
      <w:r>
        <w:rPr>
          <w:sz w:val="20"/>
        </w:rPr>
        <w:t>en la zona común al menos en dos partes opuestas del cerra- miento, de tal forma que ningún punto de la zona diste más de 15 m de la abertura más</w:t>
      </w:r>
      <w:r>
        <w:rPr>
          <w:spacing w:val="-37"/>
          <w:sz w:val="20"/>
        </w:rPr>
        <w:t> </w:t>
      </w:r>
      <w:r>
        <w:rPr>
          <w:sz w:val="20"/>
        </w:rPr>
        <w:t>próxima.</w:t>
      </w:r>
    </w:p>
    <w:p>
      <w:pPr>
        <w:pStyle w:val="ListParagraph"/>
        <w:numPr>
          <w:ilvl w:val="0"/>
          <w:numId w:val="124"/>
        </w:numPr>
        <w:tabs>
          <w:tab w:pos="579" w:val="left" w:leader="none"/>
        </w:tabs>
        <w:spacing w:line="240" w:lineRule="auto" w:before="61" w:after="0"/>
        <w:ind w:left="575" w:right="391" w:hanging="358"/>
        <w:jc w:val="both"/>
        <w:rPr>
          <w:sz w:val="20"/>
        </w:rPr>
      </w:pPr>
      <w:r>
        <w:rPr>
          <w:sz w:val="20"/>
        </w:rPr>
        <w:t>Cuando los trasteros se ventilen a través de la zona común, la partición situada entre cada trastero y esta zona debe disponer al menos de dos </w:t>
      </w:r>
      <w:r>
        <w:rPr>
          <w:i/>
          <w:sz w:val="20"/>
        </w:rPr>
        <w:t>aberturas de paso </w:t>
      </w:r>
      <w:r>
        <w:rPr>
          <w:sz w:val="20"/>
        </w:rPr>
        <w:t>separadas verticalmente 1,5 m como mínimo.</w:t>
      </w:r>
    </w:p>
    <w:p>
      <w:pPr>
        <w:pStyle w:val="ListParagraph"/>
        <w:numPr>
          <w:ilvl w:val="0"/>
          <w:numId w:val="124"/>
        </w:numPr>
        <w:tabs>
          <w:tab w:pos="579" w:val="left" w:leader="none"/>
        </w:tabs>
        <w:spacing w:line="240" w:lineRule="auto" w:before="60" w:after="0"/>
        <w:ind w:left="576" w:right="390" w:hanging="358"/>
        <w:jc w:val="both"/>
        <w:rPr>
          <w:sz w:val="20"/>
        </w:rPr>
      </w:pPr>
      <w:r>
        <w:rPr>
          <w:sz w:val="20"/>
        </w:rPr>
        <w:t>Cuando los trasteros se ventilen independientemente de la zona común a través de sus </w:t>
      </w:r>
      <w:r>
        <w:rPr>
          <w:i/>
          <w:sz w:val="20"/>
        </w:rPr>
        <w:t>aberturas de </w:t>
      </w:r>
      <w:r>
        <w:rPr>
          <w:i/>
          <w:sz w:val="20"/>
        </w:rPr>
        <w:t>admisión y extracción</w:t>
      </w:r>
      <w:r>
        <w:rPr>
          <w:sz w:val="20"/>
        </w:rPr>
        <w:t>, estas deben comunicar directamente con el exterior y la separación vertical entre ellas debe ser como mínimo 1,5</w:t>
      </w:r>
      <w:r>
        <w:rPr>
          <w:spacing w:val="-4"/>
          <w:sz w:val="20"/>
        </w:rPr>
        <w:t> </w:t>
      </w:r>
      <w:r>
        <w:rPr>
          <w:sz w:val="20"/>
        </w:rPr>
        <w:t>m.</w:t>
      </w:r>
    </w:p>
    <w:p>
      <w:pPr>
        <w:spacing w:after="0" w:line="240" w:lineRule="auto"/>
        <w:jc w:val="both"/>
        <w:rPr>
          <w:sz w:val="20"/>
        </w:rPr>
        <w:sectPr>
          <w:pgSz w:w="11910" w:h="16840"/>
          <w:pgMar w:header="724" w:footer="636" w:top="1320" w:bottom="820" w:left="1200" w:right="738"/>
        </w:sectPr>
      </w:pPr>
    </w:p>
    <w:p>
      <w:pPr>
        <w:pStyle w:val="ListParagraph"/>
        <w:numPr>
          <w:ilvl w:val="3"/>
          <w:numId w:val="119"/>
        </w:numPr>
        <w:tabs>
          <w:tab w:pos="843" w:val="left" w:leader="none"/>
        </w:tabs>
        <w:spacing w:line="240" w:lineRule="auto" w:before="91" w:after="0"/>
        <w:ind w:left="842" w:right="0" w:hanging="625"/>
        <w:jc w:val="both"/>
        <w:rPr>
          <w:b/>
          <w:i/>
          <w:sz w:val="20"/>
        </w:rPr>
      </w:pPr>
      <w:r>
        <w:rPr>
          <w:b/>
          <w:sz w:val="20"/>
        </w:rPr>
        <w:t>Medios de </w:t>
      </w:r>
      <w:r>
        <w:rPr>
          <w:b/>
          <w:i/>
          <w:sz w:val="20"/>
        </w:rPr>
        <w:t>ventilación híbrida </w:t>
      </w:r>
      <w:r>
        <w:rPr>
          <w:b/>
          <w:sz w:val="20"/>
        </w:rPr>
        <w:t>y</w:t>
      </w:r>
      <w:r>
        <w:rPr>
          <w:b/>
          <w:spacing w:val="-8"/>
          <w:sz w:val="20"/>
        </w:rPr>
        <w:t> </w:t>
      </w:r>
      <w:r>
        <w:rPr>
          <w:b/>
          <w:i/>
          <w:sz w:val="20"/>
        </w:rPr>
        <w:t>mecánica</w:t>
      </w:r>
    </w:p>
    <w:p>
      <w:pPr>
        <w:pStyle w:val="ListParagraph"/>
        <w:numPr>
          <w:ilvl w:val="0"/>
          <w:numId w:val="125"/>
        </w:numPr>
        <w:tabs>
          <w:tab w:pos="579" w:val="left" w:leader="none"/>
        </w:tabs>
        <w:spacing w:line="240" w:lineRule="auto" w:before="98" w:after="0"/>
        <w:ind w:left="576" w:right="391" w:hanging="358"/>
        <w:jc w:val="both"/>
        <w:rPr>
          <w:sz w:val="20"/>
        </w:rPr>
      </w:pPr>
      <w:r>
        <w:rPr>
          <w:sz w:val="20"/>
        </w:rPr>
        <w:t>Cuando los trasteros se ventilen a través de la zona común, la </w:t>
      </w:r>
      <w:r>
        <w:rPr>
          <w:i/>
          <w:sz w:val="20"/>
        </w:rPr>
        <w:t>extracción </w:t>
      </w:r>
      <w:r>
        <w:rPr>
          <w:sz w:val="20"/>
        </w:rPr>
        <w:t>debe situarse en la zona común. Las particiones situadas entre esta zona y los trasteros deben disponer de </w:t>
      </w:r>
      <w:r>
        <w:rPr>
          <w:i/>
          <w:sz w:val="20"/>
        </w:rPr>
        <w:t>aberturas de pa- </w:t>
      </w:r>
      <w:r>
        <w:rPr>
          <w:i/>
          <w:sz w:val="20"/>
        </w:rPr>
        <w:t>so</w:t>
      </w:r>
      <w:r>
        <w:rPr>
          <w:sz w:val="20"/>
        </w:rPr>
        <w:t>.</w:t>
      </w:r>
    </w:p>
    <w:p>
      <w:pPr>
        <w:pStyle w:val="ListParagraph"/>
        <w:numPr>
          <w:ilvl w:val="0"/>
          <w:numId w:val="125"/>
        </w:numPr>
        <w:tabs>
          <w:tab w:pos="579" w:val="left" w:leader="none"/>
        </w:tabs>
        <w:spacing w:line="240" w:lineRule="auto" w:before="61" w:after="0"/>
        <w:ind w:left="576" w:right="389" w:hanging="358"/>
        <w:jc w:val="both"/>
        <w:rPr>
          <w:sz w:val="20"/>
        </w:rPr>
      </w:pPr>
      <w:r>
        <w:rPr>
          <w:sz w:val="20"/>
        </w:rPr>
        <w:t>Las </w:t>
      </w:r>
      <w:r>
        <w:rPr>
          <w:i/>
          <w:sz w:val="20"/>
        </w:rPr>
        <w:t>aberturas de admisión </w:t>
      </w:r>
      <w:r>
        <w:rPr>
          <w:sz w:val="20"/>
        </w:rPr>
        <w:t>de los trasteros deben comunicar directamente con el exterior y las </w:t>
      </w:r>
      <w:r>
        <w:rPr>
          <w:i/>
          <w:sz w:val="20"/>
        </w:rPr>
        <w:t>aber- </w:t>
      </w:r>
      <w:r>
        <w:rPr>
          <w:i/>
          <w:sz w:val="20"/>
        </w:rPr>
        <w:t>turas de extracción </w:t>
      </w:r>
      <w:r>
        <w:rPr>
          <w:sz w:val="20"/>
        </w:rPr>
        <w:t>deben estar conectadas a un </w:t>
      </w:r>
      <w:r>
        <w:rPr>
          <w:i/>
          <w:sz w:val="20"/>
        </w:rPr>
        <w:t>conducto de</w:t>
      </w:r>
      <w:r>
        <w:rPr>
          <w:i/>
          <w:spacing w:val="-9"/>
          <w:sz w:val="20"/>
        </w:rPr>
        <w:t> </w:t>
      </w:r>
      <w:r>
        <w:rPr>
          <w:i/>
          <w:sz w:val="20"/>
        </w:rPr>
        <w:t>extracción</w:t>
      </w:r>
      <w:r>
        <w:rPr>
          <w:sz w:val="20"/>
        </w:rPr>
        <w:t>.</w:t>
      </w:r>
    </w:p>
    <w:p>
      <w:pPr>
        <w:pStyle w:val="ListParagraph"/>
        <w:numPr>
          <w:ilvl w:val="0"/>
          <w:numId w:val="125"/>
        </w:numPr>
        <w:tabs>
          <w:tab w:pos="579" w:val="left" w:leader="none"/>
        </w:tabs>
        <w:spacing w:line="240" w:lineRule="auto" w:before="59" w:after="0"/>
        <w:ind w:left="578" w:right="0" w:hanging="361"/>
        <w:jc w:val="both"/>
        <w:rPr>
          <w:sz w:val="20"/>
        </w:rPr>
      </w:pPr>
      <w:r>
        <w:rPr>
          <w:sz w:val="20"/>
        </w:rPr>
        <w:t>Para </w:t>
      </w:r>
      <w:r>
        <w:rPr>
          <w:i/>
          <w:sz w:val="20"/>
        </w:rPr>
        <w:t>ventilación híbrida </w:t>
      </w:r>
      <w:r>
        <w:rPr>
          <w:sz w:val="20"/>
        </w:rPr>
        <w:t>las </w:t>
      </w:r>
      <w:r>
        <w:rPr>
          <w:i/>
          <w:sz w:val="20"/>
        </w:rPr>
        <w:t>aberturas de admisión </w:t>
      </w:r>
      <w:r>
        <w:rPr>
          <w:sz w:val="20"/>
        </w:rPr>
        <w:t>deben comunicar directamente con el</w:t>
      </w:r>
      <w:r>
        <w:rPr>
          <w:spacing w:val="-22"/>
          <w:sz w:val="20"/>
        </w:rPr>
        <w:t> </w:t>
      </w:r>
      <w:r>
        <w:rPr>
          <w:sz w:val="20"/>
        </w:rPr>
        <w:t>exterior.</w:t>
      </w:r>
    </w:p>
    <w:p>
      <w:pPr>
        <w:pStyle w:val="ListParagraph"/>
        <w:numPr>
          <w:ilvl w:val="0"/>
          <w:numId w:val="125"/>
        </w:numPr>
        <w:tabs>
          <w:tab w:pos="579" w:val="left" w:leader="none"/>
        </w:tabs>
        <w:spacing w:line="240" w:lineRule="auto" w:before="61" w:after="0"/>
        <w:ind w:left="578" w:right="0" w:hanging="361"/>
        <w:jc w:val="both"/>
        <w:rPr>
          <w:sz w:val="20"/>
        </w:rPr>
      </w:pPr>
      <w:r>
        <w:rPr>
          <w:sz w:val="20"/>
        </w:rPr>
        <w:t>Las aberturas de extracción deben conectarse a conductos de</w:t>
      </w:r>
      <w:r>
        <w:rPr>
          <w:spacing w:val="-7"/>
          <w:sz w:val="20"/>
        </w:rPr>
        <w:t> </w:t>
      </w:r>
      <w:r>
        <w:rPr>
          <w:sz w:val="20"/>
        </w:rPr>
        <w:t>extracción</w:t>
      </w:r>
    </w:p>
    <w:p>
      <w:pPr>
        <w:pStyle w:val="ListParagraph"/>
        <w:numPr>
          <w:ilvl w:val="0"/>
          <w:numId w:val="125"/>
        </w:numPr>
        <w:tabs>
          <w:tab w:pos="579" w:val="left" w:leader="none"/>
        </w:tabs>
        <w:spacing w:line="240" w:lineRule="auto" w:before="59" w:after="0"/>
        <w:ind w:left="575" w:right="391" w:hanging="358"/>
        <w:jc w:val="both"/>
        <w:rPr>
          <w:sz w:val="20"/>
        </w:rPr>
      </w:pPr>
      <w:r>
        <w:rPr>
          <w:sz w:val="20"/>
        </w:rPr>
        <w:t>En las zonas comunes las </w:t>
      </w:r>
      <w:r>
        <w:rPr>
          <w:i/>
          <w:sz w:val="20"/>
        </w:rPr>
        <w:t>aberturas de admisión </w:t>
      </w:r>
      <w:r>
        <w:rPr>
          <w:sz w:val="20"/>
        </w:rPr>
        <w:t>y las </w:t>
      </w:r>
      <w:r>
        <w:rPr>
          <w:i/>
          <w:sz w:val="20"/>
        </w:rPr>
        <w:t>de extracción </w:t>
      </w:r>
      <w:r>
        <w:rPr>
          <w:sz w:val="20"/>
        </w:rPr>
        <w:t>deben disponerse de tal forma que ningún punto del local diste más de 15 m de la abertura más</w:t>
      </w:r>
      <w:r>
        <w:rPr>
          <w:spacing w:val="-19"/>
          <w:sz w:val="20"/>
        </w:rPr>
        <w:t> </w:t>
      </w:r>
      <w:r>
        <w:rPr>
          <w:sz w:val="20"/>
        </w:rPr>
        <w:t>próxima.</w:t>
      </w:r>
    </w:p>
    <w:p>
      <w:pPr>
        <w:pStyle w:val="ListParagraph"/>
        <w:numPr>
          <w:ilvl w:val="0"/>
          <w:numId w:val="125"/>
        </w:numPr>
        <w:tabs>
          <w:tab w:pos="579" w:val="left" w:leader="none"/>
        </w:tabs>
        <w:spacing w:line="240" w:lineRule="auto" w:before="61" w:after="0"/>
        <w:ind w:left="578" w:right="0" w:hanging="361"/>
        <w:jc w:val="both"/>
        <w:rPr>
          <w:sz w:val="20"/>
        </w:rPr>
      </w:pPr>
      <w:r>
        <w:rPr>
          <w:sz w:val="20"/>
        </w:rPr>
        <w:t>Las </w:t>
      </w:r>
      <w:r>
        <w:rPr>
          <w:i/>
          <w:sz w:val="20"/>
        </w:rPr>
        <w:t>aberturas de paso </w:t>
      </w:r>
      <w:r>
        <w:rPr>
          <w:sz w:val="20"/>
        </w:rPr>
        <w:t>de cada trastero deben separarse verticalmente 1,5 m como</w:t>
      </w:r>
      <w:r>
        <w:rPr>
          <w:spacing w:val="-24"/>
          <w:sz w:val="20"/>
        </w:rPr>
        <w:t> </w:t>
      </w:r>
      <w:r>
        <w:rPr>
          <w:sz w:val="20"/>
        </w:rPr>
        <w:t>mínimo.</w:t>
      </w:r>
    </w:p>
    <w:p>
      <w:pPr>
        <w:pStyle w:val="BodyText"/>
        <w:spacing w:before="7"/>
        <w:rPr>
          <w:sz w:val="22"/>
        </w:rPr>
      </w:pPr>
    </w:p>
    <w:p>
      <w:pPr>
        <w:pStyle w:val="Heading5"/>
        <w:numPr>
          <w:ilvl w:val="2"/>
          <w:numId w:val="119"/>
        </w:numPr>
        <w:tabs>
          <w:tab w:pos="938" w:val="left" w:leader="none"/>
          <w:tab w:pos="939" w:val="left" w:leader="none"/>
        </w:tabs>
        <w:spacing w:line="240" w:lineRule="auto" w:before="0" w:after="0"/>
        <w:ind w:left="938" w:right="0" w:hanging="721"/>
        <w:jc w:val="left"/>
      </w:pPr>
      <w:r>
        <w:rPr/>
        <w:t>Aparcamientos y garajes de cualquier tipo de</w:t>
      </w:r>
      <w:r>
        <w:rPr>
          <w:spacing w:val="-10"/>
        </w:rPr>
        <w:t> </w:t>
      </w:r>
      <w:r>
        <w:rPr/>
        <w:t>edificio</w:t>
      </w:r>
    </w:p>
    <w:p>
      <w:pPr>
        <w:tabs>
          <w:tab w:pos="578" w:val="left" w:leader="none"/>
        </w:tabs>
        <w:spacing w:line="230" w:lineRule="exact" w:before="99"/>
        <w:ind w:left="218" w:right="0" w:firstLine="0"/>
        <w:jc w:val="left"/>
        <w:rPr>
          <w:sz w:val="20"/>
        </w:rPr>
      </w:pPr>
      <w:r>
        <w:rPr>
          <w:sz w:val="20"/>
        </w:rPr>
        <w:t>1</w:t>
        <w:tab/>
        <w:t>En</w:t>
      </w:r>
      <w:r>
        <w:rPr>
          <w:spacing w:val="11"/>
          <w:sz w:val="20"/>
        </w:rPr>
        <w:t> </w:t>
      </w:r>
      <w:r>
        <w:rPr>
          <w:sz w:val="20"/>
        </w:rPr>
        <w:t>los</w:t>
      </w:r>
      <w:r>
        <w:rPr>
          <w:spacing w:val="11"/>
          <w:sz w:val="20"/>
        </w:rPr>
        <w:t> </w:t>
      </w:r>
      <w:r>
        <w:rPr>
          <w:sz w:val="20"/>
        </w:rPr>
        <w:t>aparcamientos</w:t>
      </w:r>
      <w:r>
        <w:rPr>
          <w:spacing w:val="13"/>
          <w:sz w:val="20"/>
        </w:rPr>
        <w:t> </w:t>
      </w:r>
      <w:r>
        <w:rPr>
          <w:sz w:val="20"/>
        </w:rPr>
        <w:t>y</w:t>
      </w:r>
      <w:r>
        <w:rPr>
          <w:spacing w:val="11"/>
          <w:sz w:val="20"/>
        </w:rPr>
        <w:t> </w:t>
      </w:r>
      <w:r>
        <w:rPr>
          <w:sz w:val="20"/>
        </w:rPr>
        <w:t>garajes</w:t>
      </w:r>
      <w:r>
        <w:rPr>
          <w:spacing w:val="13"/>
          <w:sz w:val="20"/>
        </w:rPr>
        <w:t> </w:t>
      </w:r>
      <w:r>
        <w:rPr>
          <w:sz w:val="20"/>
        </w:rPr>
        <w:t>debe</w:t>
      </w:r>
      <w:r>
        <w:rPr>
          <w:spacing w:val="10"/>
          <w:sz w:val="20"/>
        </w:rPr>
        <w:t> </w:t>
      </w:r>
      <w:r>
        <w:rPr>
          <w:sz w:val="20"/>
        </w:rPr>
        <w:t>disponerse</w:t>
      </w:r>
      <w:r>
        <w:rPr>
          <w:spacing w:val="13"/>
          <w:sz w:val="20"/>
        </w:rPr>
        <w:t> </w:t>
      </w:r>
      <w:r>
        <w:rPr>
          <w:sz w:val="20"/>
        </w:rPr>
        <w:t>un</w:t>
      </w:r>
      <w:r>
        <w:rPr>
          <w:spacing w:val="11"/>
          <w:sz w:val="20"/>
        </w:rPr>
        <w:t> </w:t>
      </w:r>
      <w:r>
        <w:rPr>
          <w:sz w:val="20"/>
        </w:rPr>
        <w:t>sistema</w:t>
      </w:r>
      <w:r>
        <w:rPr>
          <w:spacing w:val="12"/>
          <w:sz w:val="20"/>
        </w:rPr>
        <w:t> </w:t>
      </w:r>
      <w:r>
        <w:rPr>
          <w:sz w:val="20"/>
        </w:rPr>
        <w:t>de</w:t>
      </w:r>
      <w:r>
        <w:rPr>
          <w:spacing w:val="10"/>
          <w:sz w:val="20"/>
        </w:rPr>
        <w:t> </w:t>
      </w:r>
      <w:r>
        <w:rPr>
          <w:i/>
          <w:sz w:val="20"/>
        </w:rPr>
        <w:t>ventilación</w:t>
      </w:r>
      <w:r>
        <w:rPr>
          <w:i/>
          <w:spacing w:val="13"/>
          <w:sz w:val="20"/>
        </w:rPr>
        <w:t> </w:t>
      </w:r>
      <w:r>
        <w:rPr>
          <w:sz w:val="20"/>
        </w:rPr>
        <w:t>que</w:t>
      </w:r>
      <w:r>
        <w:rPr>
          <w:spacing w:val="12"/>
          <w:sz w:val="20"/>
        </w:rPr>
        <w:t> </w:t>
      </w:r>
      <w:r>
        <w:rPr>
          <w:sz w:val="20"/>
        </w:rPr>
        <w:t>puede</w:t>
      </w:r>
      <w:r>
        <w:rPr>
          <w:spacing w:val="13"/>
          <w:sz w:val="20"/>
        </w:rPr>
        <w:t> </w:t>
      </w:r>
      <w:r>
        <w:rPr>
          <w:sz w:val="20"/>
        </w:rPr>
        <w:t>ser</w:t>
      </w:r>
      <w:r>
        <w:rPr>
          <w:spacing w:val="11"/>
          <w:sz w:val="20"/>
        </w:rPr>
        <w:t> </w:t>
      </w:r>
      <w:r>
        <w:rPr>
          <w:i/>
          <w:sz w:val="20"/>
        </w:rPr>
        <w:t>natural</w:t>
      </w:r>
      <w:r>
        <w:rPr>
          <w:i/>
          <w:spacing w:val="12"/>
          <w:sz w:val="20"/>
        </w:rPr>
        <w:t> </w:t>
      </w:r>
      <w:r>
        <w:rPr>
          <w:sz w:val="20"/>
        </w:rPr>
        <w:t>o</w:t>
      </w:r>
    </w:p>
    <w:p>
      <w:pPr>
        <w:spacing w:line="230" w:lineRule="exact" w:before="0"/>
        <w:ind w:left="575" w:right="0" w:firstLine="0"/>
        <w:jc w:val="left"/>
        <w:rPr>
          <w:sz w:val="20"/>
        </w:rPr>
      </w:pPr>
      <w:r>
        <w:rPr>
          <w:i/>
          <w:sz w:val="20"/>
        </w:rPr>
        <w:t>mecánica</w:t>
      </w:r>
      <w:r>
        <w:rPr>
          <w:sz w:val="20"/>
        </w:rPr>
        <w:t>.</w:t>
      </w:r>
    </w:p>
    <w:p>
      <w:pPr>
        <w:pStyle w:val="BodyText"/>
        <w:spacing w:before="9"/>
        <w:rPr>
          <w:sz w:val="22"/>
        </w:rPr>
      </w:pPr>
    </w:p>
    <w:p>
      <w:pPr>
        <w:pStyle w:val="Heading5"/>
        <w:numPr>
          <w:ilvl w:val="3"/>
          <w:numId w:val="119"/>
        </w:numPr>
        <w:tabs>
          <w:tab w:pos="843" w:val="left" w:leader="none"/>
        </w:tabs>
        <w:spacing w:line="240" w:lineRule="auto" w:before="0" w:after="0"/>
        <w:ind w:left="842" w:right="0" w:hanging="625"/>
        <w:jc w:val="both"/>
      </w:pPr>
      <w:r>
        <w:rPr/>
        <w:t>Medios de ventilación</w:t>
      </w:r>
      <w:r>
        <w:rPr>
          <w:spacing w:val="-2"/>
        </w:rPr>
        <w:t> </w:t>
      </w:r>
      <w:r>
        <w:rPr/>
        <w:t>natural</w:t>
      </w:r>
    </w:p>
    <w:p>
      <w:pPr>
        <w:pStyle w:val="ListParagraph"/>
        <w:numPr>
          <w:ilvl w:val="0"/>
          <w:numId w:val="126"/>
        </w:numPr>
        <w:tabs>
          <w:tab w:pos="579" w:val="left" w:leader="none"/>
        </w:tabs>
        <w:spacing w:line="240" w:lineRule="auto" w:before="99" w:after="0"/>
        <w:ind w:left="575" w:right="390" w:hanging="358"/>
        <w:jc w:val="both"/>
        <w:rPr>
          <w:sz w:val="20"/>
        </w:rPr>
      </w:pPr>
      <w:r>
        <w:rPr>
          <w:sz w:val="20"/>
        </w:rPr>
        <w:t>Deben disponerse </w:t>
      </w:r>
      <w:r>
        <w:rPr>
          <w:i/>
          <w:sz w:val="20"/>
        </w:rPr>
        <w:t>aberturas mixtas </w:t>
      </w:r>
      <w:r>
        <w:rPr>
          <w:sz w:val="20"/>
        </w:rPr>
        <w:t>al menos en dos zonas opuestas de la fachada de tal forma que su reparto sea uniforme y que la distancia a lo largo del recorrido mínimo libre de obstáculos entre cualquier punto del </w:t>
      </w:r>
      <w:r>
        <w:rPr>
          <w:i/>
          <w:sz w:val="20"/>
        </w:rPr>
        <w:t>local </w:t>
      </w:r>
      <w:r>
        <w:rPr>
          <w:sz w:val="20"/>
        </w:rPr>
        <w:t>y la abertura más próxima a él sea como máximo igual a 25 m. Si la distan- cia entre las aberturas opuestas más próximas es mayor que 30 m debe disponerse otra equidistante de ambas, permitiéndose una tolerancia del</w:t>
      </w:r>
      <w:r>
        <w:rPr>
          <w:spacing w:val="-2"/>
          <w:sz w:val="20"/>
        </w:rPr>
        <w:t> </w:t>
      </w:r>
      <w:r>
        <w:rPr>
          <w:sz w:val="20"/>
        </w:rPr>
        <w:t>5%.</w:t>
      </w:r>
    </w:p>
    <w:p>
      <w:pPr>
        <w:pStyle w:val="BodyText"/>
        <w:rPr>
          <w:sz w:val="22"/>
        </w:rPr>
      </w:pPr>
    </w:p>
    <w:p>
      <w:pPr>
        <w:spacing w:before="158"/>
        <w:ind w:left="1886" w:right="390" w:firstLine="0"/>
        <w:jc w:val="both"/>
        <w:rPr>
          <w:sz w:val="16"/>
        </w:rPr>
      </w:pPr>
      <w:r>
        <w:rPr/>
        <w:pict>
          <v:line style="position:absolute;mso-position-horizontal-relative:page;mso-position-vertical-relative:paragraph;z-index:251865088" from="148.919998pt,5.024213pt" to="148.919998pt,47.804213pt" stroked="true" strokeweight=".48pt" strokecolor="#000000">
            <v:stroke dashstyle="solid"/>
            <w10:wrap type="none"/>
          </v:line>
        </w:pict>
      </w:r>
      <w:r>
        <w:rPr>
          <w:sz w:val="16"/>
        </w:rPr>
        <w:t>Cuando dice “zonas opuestas de la fachada” se refiere a “fachadas opuestas”. La expresión utilizada parte de la base de que la fachada es un único elemento y que podría incluso ser de forma cilíndrica u otras, por eso habla de zonas opuestas, pero a efectos prácticos y en la mayoría de los casos se podría utilizar la expresión fachadas opuestas.</w:t>
      </w:r>
    </w:p>
    <w:p>
      <w:pPr>
        <w:pStyle w:val="BodyText"/>
        <w:spacing w:before="8"/>
        <w:rPr>
          <w:sz w:val="21"/>
        </w:rPr>
      </w:pPr>
    </w:p>
    <w:p>
      <w:pPr>
        <w:pStyle w:val="ListParagraph"/>
        <w:numPr>
          <w:ilvl w:val="0"/>
          <w:numId w:val="126"/>
        </w:numPr>
        <w:tabs>
          <w:tab w:pos="579" w:val="left" w:leader="none"/>
        </w:tabs>
        <w:spacing w:line="240" w:lineRule="auto" w:before="96" w:after="0"/>
        <w:ind w:left="576" w:right="391" w:hanging="358"/>
        <w:jc w:val="both"/>
        <w:rPr>
          <w:sz w:val="20"/>
        </w:rPr>
      </w:pPr>
      <w:r>
        <w:rPr>
          <w:sz w:val="20"/>
        </w:rPr>
        <w:t>En el caso de garajes que no excedan de cinco plazas ni de 100 m</w:t>
      </w:r>
      <w:r>
        <w:rPr>
          <w:position w:val="7"/>
          <w:sz w:val="13"/>
        </w:rPr>
        <w:t>2 </w:t>
      </w:r>
      <w:r>
        <w:rPr>
          <w:sz w:val="20"/>
        </w:rPr>
        <w:t>útiles, en vez de las </w:t>
      </w:r>
      <w:r>
        <w:rPr>
          <w:i/>
          <w:sz w:val="20"/>
        </w:rPr>
        <w:t>aberturas </w:t>
      </w:r>
      <w:r>
        <w:rPr>
          <w:i/>
          <w:sz w:val="20"/>
        </w:rPr>
        <w:t>mixtas</w:t>
      </w:r>
      <w:r>
        <w:rPr>
          <w:sz w:val="20"/>
        </w:rPr>
        <w:t>, pueden disponerse una o varias </w:t>
      </w:r>
      <w:r>
        <w:rPr>
          <w:i/>
          <w:sz w:val="20"/>
        </w:rPr>
        <w:t>aberturas </w:t>
      </w:r>
      <w:r>
        <w:rPr>
          <w:sz w:val="20"/>
        </w:rPr>
        <w:t>de </w:t>
      </w:r>
      <w:r>
        <w:rPr>
          <w:i/>
          <w:sz w:val="20"/>
        </w:rPr>
        <w:t>admisión </w:t>
      </w:r>
      <w:r>
        <w:rPr>
          <w:sz w:val="20"/>
        </w:rPr>
        <w:t>que comuniquen directamente con el exterior en la parte inferior de un cerramiento y una o varias </w:t>
      </w:r>
      <w:r>
        <w:rPr>
          <w:i/>
          <w:sz w:val="20"/>
        </w:rPr>
        <w:t>aberturas </w:t>
      </w:r>
      <w:r>
        <w:rPr>
          <w:sz w:val="20"/>
        </w:rPr>
        <w:t>de </w:t>
      </w:r>
      <w:r>
        <w:rPr>
          <w:i/>
          <w:sz w:val="20"/>
        </w:rPr>
        <w:t>extracción </w:t>
      </w:r>
      <w:r>
        <w:rPr>
          <w:sz w:val="20"/>
        </w:rPr>
        <w:t>que comuniquen directamente con el exterior en la parte superior del mismo cerramiento, separadas verticalmente como mínimo 1,5</w:t>
      </w:r>
      <w:r>
        <w:rPr>
          <w:spacing w:val="-4"/>
          <w:sz w:val="20"/>
        </w:rPr>
        <w:t> </w:t>
      </w:r>
      <w:r>
        <w:rPr>
          <w:sz w:val="20"/>
        </w:rPr>
        <w:t>m.</w:t>
      </w:r>
    </w:p>
    <w:p>
      <w:pPr>
        <w:pStyle w:val="BodyText"/>
        <w:spacing w:before="8"/>
        <w:rPr>
          <w:sz w:val="22"/>
        </w:rPr>
      </w:pPr>
    </w:p>
    <w:p>
      <w:pPr>
        <w:pStyle w:val="Heading5"/>
        <w:numPr>
          <w:ilvl w:val="3"/>
          <w:numId w:val="119"/>
        </w:numPr>
        <w:tabs>
          <w:tab w:pos="843" w:val="left" w:leader="none"/>
        </w:tabs>
        <w:spacing w:line="240" w:lineRule="auto" w:before="0" w:after="0"/>
        <w:ind w:left="842" w:right="0" w:hanging="625"/>
        <w:jc w:val="both"/>
      </w:pPr>
      <w:r>
        <w:rPr/>
        <w:t>Medios de ventilación</w:t>
      </w:r>
      <w:r>
        <w:rPr>
          <w:spacing w:val="-2"/>
        </w:rPr>
        <w:t> </w:t>
      </w:r>
      <w:r>
        <w:rPr/>
        <w:t>mecánica</w:t>
      </w:r>
    </w:p>
    <w:p>
      <w:pPr>
        <w:pStyle w:val="ListParagraph"/>
        <w:numPr>
          <w:ilvl w:val="0"/>
          <w:numId w:val="127"/>
        </w:numPr>
        <w:tabs>
          <w:tab w:pos="579" w:val="left" w:leader="none"/>
        </w:tabs>
        <w:spacing w:line="240" w:lineRule="auto" w:before="97" w:after="0"/>
        <w:ind w:left="576" w:right="390" w:hanging="358"/>
        <w:jc w:val="both"/>
        <w:rPr>
          <w:sz w:val="20"/>
        </w:rPr>
      </w:pPr>
      <w:r>
        <w:rPr>
          <w:sz w:val="20"/>
        </w:rPr>
        <w:t>La </w:t>
      </w:r>
      <w:r>
        <w:rPr>
          <w:i/>
          <w:sz w:val="20"/>
        </w:rPr>
        <w:t>ventilación </w:t>
      </w:r>
      <w:r>
        <w:rPr>
          <w:sz w:val="20"/>
        </w:rPr>
        <w:t>debe ser para uso exclusivo del aparcamiento, salvo cuando los trasteros estén situa- dos en el propio recinto del aparcamiento, en cuyo caso la </w:t>
      </w:r>
      <w:r>
        <w:rPr>
          <w:i/>
          <w:sz w:val="20"/>
        </w:rPr>
        <w:t>ventilación </w:t>
      </w:r>
      <w:r>
        <w:rPr>
          <w:sz w:val="20"/>
        </w:rPr>
        <w:t>puede ser conjunta, respetan- do en todo caso la posible compartimentación de los trasteros como zona de riesgo especial, con- forme al SI</w:t>
      </w:r>
      <w:r>
        <w:rPr>
          <w:spacing w:val="-4"/>
          <w:sz w:val="20"/>
        </w:rPr>
        <w:t> </w:t>
      </w:r>
      <w:r>
        <w:rPr>
          <w:sz w:val="20"/>
        </w:rPr>
        <w:t>1-2.</w:t>
      </w:r>
    </w:p>
    <w:p>
      <w:pPr>
        <w:pStyle w:val="ListParagraph"/>
        <w:numPr>
          <w:ilvl w:val="0"/>
          <w:numId w:val="127"/>
        </w:numPr>
        <w:tabs>
          <w:tab w:pos="579" w:val="left" w:leader="none"/>
        </w:tabs>
        <w:spacing w:line="240" w:lineRule="auto" w:before="61" w:after="0"/>
        <w:ind w:left="578" w:right="0" w:hanging="361"/>
        <w:jc w:val="both"/>
        <w:rPr>
          <w:sz w:val="20"/>
        </w:rPr>
      </w:pPr>
      <w:r>
        <w:rPr>
          <w:sz w:val="20"/>
        </w:rPr>
        <w:t>La ventilación debe realizarse por depresión y puede utilizarse una de las siguientes</w:t>
      </w:r>
      <w:r>
        <w:rPr>
          <w:spacing w:val="-25"/>
          <w:sz w:val="20"/>
        </w:rPr>
        <w:t> </w:t>
      </w:r>
      <w:r>
        <w:rPr>
          <w:sz w:val="20"/>
        </w:rPr>
        <w:t>opciones:</w:t>
      </w:r>
    </w:p>
    <w:p>
      <w:pPr>
        <w:pStyle w:val="ListParagraph"/>
        <w:numPr>
          <w:ilvl w:val="1"/>
          <w:numId w:val="127"/>
        </w:numPr>
        <w:tabs>
          <w:tab w:pos="939" w:val="left" w:leader="none"/>
        </w:tabs>
        <w:spacing w:line="240" w:lineRule="auto" w:before="60" w:after="0"/>
        <w:ind w:left="938" w:right="0" w:hanging="363"/>
        <w:jc w:val="both"/>
        <w:rPr>
          <w:sz w:val="20"/>
        </w:rPr>
      </w:pPr>
      <w:r>
        <w:rPr>
          <w:sz w:val="20"/>
        </w:rPr>
        <w:t>con extracción</w:t>
      </w:r>
      <w:r>
        <w:rPr>
          <w:spacing w:val="-2"/>
          <w:sz w:val="20"/>
        </w:rPr>
        <w:t> </w:t>
      </w:r>
      <w:r>
        <w:rPr>
          <w:sz w:val="20"/>
        </w:rPr>
        <w:t>mecánica;</w:t>
      </w:r>
    </w:p>
    <w:p>
      <w:pPr>
        <w:pStyle w:val="ListParagraph"/>
        <w:numPr>
          <w:ilvl w:val="1"/>
          <w:numId w:val="127"/>
        </w:numPr>
        <w:tabs>
          <w:tab w:pos="939" w:val="left" w:leader="none"/>
        </w:tabs>
        <w:spacing w:line="240" w:lineRule="auto" w:before="60" w:after="0"/>
        <w:ind w:left="938" w:right="0" w:hanging="363"/>
        <w:jc w:val="both"/>
        <w:rPr>
          <w:sz w:val="20"/>
        </w:rPr>
      </w:pPr>
      <w:r>
        <w:rPr>
          <w:sz w:val="20"/>
        </w:rPr>
        <w:t>con admisión y extracción</w:t>
      </w:r>
      <w:r>
        <w:rPr>
          <w:spacing w:val="-4"/>
          <w:sz w:val="20"/>
        </w:rPr>
        <w:t> </w:t>
      </w:r>
      <w:r>
        <w:rPr>
          <w:sz w:val="20"/>
        </w:rPr>
        <w:t>mecánica.</w:t>
      </w:r>
    </w:p>
    <w:p>
      <w:pPr>
        <w:pStyle w:val="ListParagraph"/>
        <w:numPr>
          <w:ilvl w:val="0"/>
          <w:numId w:val="127"/>
        </w:numPr>
        <w:tabs>
          <w:tab w:pos="579" w:val="left" w:leader="none"/>
        </w:tabs>
        <w:spacing w:line="240" w:lineRule="auto" w:before="60" w:after="0"/>
        <w:ind w:left="576" w:right="392" w:hanging="358"/>
        <w:jc w:val="both"/>
        <w:rPr>
          <w:sz w:val="20"/>
        </w:rPr>
      </w:pPr>
      <w:r>
        <w:rPr>
          <w:sz w:val="20"/>
        </w:rPr>
        <w:t>Debe evitarse que se produzcan estancamientos de los gases contaminantes y para ello, las abertu- ras de ventilación deben disponerse de la forma indicada a continuación o de cualquier otra que pro- duzca el mismo</w:t>
      </w:r>
      <w:r>
        <w:rPr>
          <w:spacing w:val="-4"/>
          <w:sz w:val="20"/>
        </w:rPr>
        <w:t> </w:t>
      </w:r>
      <w:r>
        <w:rPr>
          <w:sz w:val="20"/>
        </w:rPr>
        <w:t>efecto:</w:t>
      </w:r>
    </w:p>
    <w:p>
      <w:pPr>
        <w:pStyle w:val="ListParagraph"/>
        <w:numPr>
          <w:ilvl w:val="1"/>
          <w:numId w:val="127"/>
        </w:numPr>
        <w:tabs>
          <w:tab w:pos="939" w:val="left" w:leader="none"/>
        </w:tabs>
        <w:spacing w:line="240" w:lineRule="auto" w:before="60" w:after="0"/>
        <w:ind w:left="938" w:right="0" w:hanging="363"/>
        <w:jc w:val="both"/>
        <w:rPr>
          <w:sz w:val="20"/>
        </w:rPr>
      </w:pPr>
      <w:r>
        <w:rPr>
          <w:sz w:val="20"/>
        </w:rPr>
        <w:t>haya una abertura de admisión y otra de extracción por cada 100 m2 de superficie</w:t>
      </w:r>
      <w:r>
        <w:rPr>
          <w:spacing w:val="-24"/>
          <w:sz w:val="20"/>
        </w:rPr>
        <w:t> </w:t>
      </w:r>
      <w:r>
        <w:rPr>
          <w:sz w:val="20"/>
        </w:rPr>
        <w:t>útil;</w:t>
      </w:r>
    </w:p>
    <w:p>
      <w:pPr>
        <w:pStyle w:val="ListParagraph"/>
        <w:numPr>
          <w:ilvl w:val="1"/>
          <w:numId w:val="127"/>
        </w:numPr>
        <w:tabs>
          <w:tab w:pos="939" w:val="left" w:leader="none"/>
        </w:tabs>
        <w:spacing w:line="240" w:lineRule="auto" w:before="60" w:after="0"/>
        <w:ind w:left="938" w:right="0" w:hanging="363"/>
        <w:jc w:val="both"/>
        <w:rPr>
          <w:sz w:val="20"/>
        </w:rPr>
      </w:pPr>
      <w:r>
        <w:rPr>
          <w:sz w:val="20"/>
        </w:rPr>
        <w:t>la separación entre aberturas de extracción más próximas sea menor que 10</w:t>
      </w:r>
      <w:r>
        <w:rPr>
          <w:spacing w:val="-18"/>
          <w:sz w:val="20"/>
        </w:rPr>
        <w:t> </w:t>
      </w:r>
      <w:r>
        <w:rPr>
          <w:sz w:val="20"/>
        </w:rPr>
        <w:t>m.</w:t>
      </w:r>
    </w:p>
    <w:p>
      <w:pPr>
        <w:pStyle w:val="BodyText"/>
        <w:rPr>
          <w:sz w:val="22"/>
        </w:rPr>
      </w:pPr>
    </w:p>
    <w:p>
      <w:pPr>
        <w:spacing w:line="237" w:lineRule="auto" w:before="155"/>
        <w:ind w:left="1886" w:right="393" w:firstLine="0"/>
        <w:jc w:val="both"/>
        <w:rPr>
          <w:sz w:val="16"/>
        </w:rPr>
      </w:pPr>
      <w:r>
        <w:rPr/>
        <w:pict>
          <v:line style="position:absolute;mso-position-horizontal-relative:page;mso-position-vertical-relative:paragraph;z-index:251866112" from="148.919998pt,4.985199pt" to="148.919998pt,38.585199pt" stroked="true" strokeweight=".48pt" strokecolor="#000000">
            <v:stroke dashstyle="solid"/>
            <w10:wrap type="none"/>
          </v:line>
        </w:pict>
      </w:r>
      <w:r>
        <w:rPr>
          <w:sz w:val="16"/>
        </w:rPr>
        <w:t>Se refiere a que debe haber una abertura de cada tipo por cada 100 m</w:t>
      </w:r>
      <w:r>
        <w:rPr>
          <w:position w:val="6"/>
          <w:sz w:val="10"/>
        </w:rPr>
        <w:t>2</w:t>
      </w:r>
      <w:r>
        <w:rPr>
          <w:sz w:val="16"/>
        </w:rPr>
        <w:t>, no necesariamente en cada 100 m</w:t>
      </w:r>
      <w:r>
        <w:rPr>
          <w:position w:val="6"/>
          <w:sz w:val="10"/>
        </w:rPr>
        <w:t>2</w:t>
      </w:r>
      <w:r>
        <w:rPr>
          <w:sz w:val="16"/>
        </w:rPr>
        <w:t>, siempre y cuando se cumpla la segunda condición de limitación de la distancia máxima entre aberturas y principalmente el objetivo de que no se produzcan</w:t>
      </w:r>
      <w:r>
        <w:rPr>
          <w:spacing w:val="-1"/>
          <w:sz w:val="16"/>
        </w:rPr>
        <w:t> </w:t>
      </w:r>
      <w:r>
        <w:rPr>
          <w:sz w:val="16"/>
        </w:rPr>
        <w:t>estancamientos.</w:t>
      </w:r>
    </w:p>
    <w:p>
      <w:pPr>
        <w:pStyle w:val="BodyText"/>
        <w:spacing w:before="4"/>
        <w:rPr>
          <w:sz w:val="22"/>
        </w:rPr>
      </w:pPr>
    </w:p>
    <w:p>
      <w:pPr>
        <w:pStyle w:val="ListParagraph"/>
        <w:numPr>
          <w:ilvl w:val="0"/>
          <w:numId w:val="127"/>
        </w:numPr>
        <w:tabs>
          <w:tab w:pos="578" w:val="left" w:leader="none"/>
          <w:tab w:pos="579" w:val="left" w:leader="none"/>
        </w:tabs>
        <w:spacing w:line="240" w:lineRule="auto" w:before="94" w:after="0"/>
        <w:ind w:left="576" w:right="391" w:hanging="358"/>
        <w:jc w:val="left"/>
        <w:rPr>
          <w:sz w:val="20"/>
        </w:rPr>
      </w:pPr>
      <w:r>
        <w:rPr>
          <w:sz w:val="20"/>
        </w:rPr>
        <w:t>Como mínimo deben emplazarse dos terceras partes de las </w:t>
      </w:r>
      <w:r>
        <w:rPr>
          <w:i/>
          <w:sz w:val="20"/>
        </w:rPr>
        <w:t>aberturas de extracción </w:t>
      </w:r>
      <w:r>
        <w:rPr>
          <w:sz w:val="20"/>
        </w:rPr>
        <w:t>a una distancia del techo menor o igual a 0,5</w:t>
      </w:r>
      <w:r>
        <w:rPr>
          <w:spacing w:val="-8"/>
          <w:sz w:val="20"/>
        </w:rPr>
        <w:t> </w:t>
      </w:r>
      <w:r>
        <w:rPr>
          <w:sz w:val="20"/>
        </w:rPr>
        <w:t>m.</w:t>
      </w:r>
    </w:p>
    <w:p>
      <w:pPr>
        <w:spacing w:after="0" w:line="240" w:lineRule="auto"/>
        <w:jc w:val="left"/>
        <w:rPr>
          <w:sz w:val="20"/>
        </w:rPr>
        <w:sectPr>
          <w:pgSz w:w="11910" w:h="16840"/>
          <w:pgMar w:header="724" w:footer="636" w:top="1320" w:bottom="820" w:left="1200" w:right="738"/>
        </w:sectPr>
      </w:pPr>
    </w:p>
    <w:p>
      <w:pPr>
        <w:pStyle w:val="ListParagraph"/>
        <w:numPr>
          <w:ilvl w:val="0"/>
          <w:numId w:val="127"/>
        </w:numPr>
        <w:tabs>
          <w:tab w:pos="579" w:val="left" w:leader="none"/>
        </w:tabs>
        <w:spacing w:line="240" w:lineRule="auto" w:before="89" w:after="0"/>
        <w:ind w:left="576" w:right="391" w:hanging="358"/>
        <w:jc w:val="both"/>
        <w:rPr>
          <w:sz w:val="20"/>
        </w:rPr>
      </w:pPr>
      <w:r>
        <w:rPr>
          <w:sz w:val="20"/>
        </w:rPr>
        <w:t>En los aparcamientos compartimentados en los que la </w:t>
      </w:r>
      <w:r>
        <w:rPr>
          <w:i/>
          <w:sz w:val="20"/>
        </w:rPr>
        <w:t>ventilación </w:t>
      </w:r>
      <w:r>
        <w:rPr>
          <w:sz w:val="20"/>
        </w:rPr>
        <w:t>sea conjunta deben disponerse las </w:t>
      </w:r>
      <w:r>
        <w:rPr>
          <w:i/>
          <w:sz w:val="20"/>
        </w:rPr>
        <w:t>aberturas de admisión </w:t>
      </w:r>
      <w:r>
        <w:rPr>
          <w:sz w:val="20"/>
        </w:rPr>
        <w:t>en los compartimentos y las de </w:t>
      </w:r>
      <w:r>
        <w:rPr>
          <w:i/>
          <w:sz w:val="20"/>
        </w:rPr>
        <w:t>extracción </w:t>
      </w:r>
      <w:r>
        <w:rPr>
          <w:sz w:val="20"/>
        </w:rPr>
        <w:t>en las zonas de circulación comu- nes de tal forma que en cada compartimento se disponga al menos una </w:t>
      </w:r>
      <w:r>
        <w:rPr>
          <w:i/>
          <w:sz w:val="20"/>
        </w:rPr>
        <w:t>abertura de</w:t>
      </w:r>
      <w:r>
        <w:rPr>
          <w:i/>
          <w:spacing w:val="-21"/>
          <w:sz w:val="20"/>
        </w:rPr>
        <w:t> </w:t>
      </w:r>
      <w:r>
        <w:rPr>
          <w:i/>
          <w:sz w:val="20"/>
        </w:rPr>
        <w:t>admisión</w:t>
      </w:r>
      <w:r>
        <w:rPr>
          <w:sz w:val="20"/>
        </w:rPr>
        <w:t>.</w:t>
      </w:r>
    </w:p>
    <w:p>
      <w:pPr>
        <w:pStyle w:val="ListParagraph"/>
        <w:numPr>
          <w:ilvl w:val="0"/>
          <w:numId w:val="127"/>
        </w:numPr>
        <w:tabs>
          <w:tab w:pos="579" w:val="left" w:leader="none"/>
        </w:tabs>
        <w:spacing w:line="240" w:lineRule="auto" w:before="61" w:after="0"/>
        <w:ind w:left="576" w:right="391" w:hanging="358"/>
        <w:jc w:val="both"/>
        <w:rPr>
          <w:sz w:val="20"/>
        </w:rPr>
      </w:pPr>
      <w:r>
        <w:rPr>
          <w:sz w:val="20"/>
        </w:rPr>
        <w:t>En aparcamientos con 15 o más plazas se dispondrán en cada planta al menos dos redes de </w:t>
      </w:r>
      <w:r>
        <w:rPr>
          <w:i/>
          <w:sz w:val="20"/>
        </w:rPr>
        <w:t>con- </w:t>
      </w:r>
      <w:r>
        <w:rPr>
          <w:i/>
          <w:sz w:val="20"/>
        </w:rPr>
        <w:t>ductos de extracción </w:t>
      </w:r>
      <w:r>
        <w:rPr>
          <w:sz w:val="20"/>
        </w:rPr>
        <w:t>dotadas del correspondiente </w:t>
      </w:r>
      <w:r>
        <w:rPr>
          <w:i/>
          <w:sz w:val="20"/>
        </w:rPr>
        <w:t>aspirador</w:t>
      </w:r>
      <w:r>
        <w:rPr>
          <w:i/>
          <w:spacing w:val="-9"/>
          <w:sz w:val="20"/>
        </w:rPr>
        <w:t> </w:t>
      </w:r>
      <w:r>
        <w:rPr>
          <w:i/>
          <w:sz w:val="20"/>
        </w:rPr>
        <w:t>mecánico</w:t>
      </w:r>
      <w:r>
        <w:rPr>
          <w:sz w:val="20"/>
        </w:rPr>
        <w:t>.</w:t>
      </w:r>
    </w:p>
    <w:p>
      <w:pPr>
        <w:pStyle w:val="BodyText"/>
        <w:rPr>
          <w:sz w:val="22"/>
        </w:rPr>
      </w:pPr>
    </w:p>
    <w:p>
      <w:pPr>
        <w:spacing w:before="157"/>
        <w:ind w:left="1886" w:right="0" w:firstLine="0"/>
        <w:jc w:val="left"/>
        <w:rPr>
          <w:sz w:val="16"/>
        </w:rPr>
      </w:pPr>
      <w:r>
        <w:rPr/>
        <w:pict>
          <v:line style="position:absolute;mso-position-horizontal-relative:page;mso-position-vertical-relative:paragraph;z-index:251867136" from="148.919998pt,4.974224pt" to="148.919998pt,29.334224pt" stroked="true" strokeweight=".48pt" strokecolor="#000000">
            <v:stroke dashstyle="solid"/>
            <w10:wrap type="none"/>
          </v:line>
        </w:pict>
      </w:r>
      <w:r>
        <w:rPr>
          <w:sz w:val="16"/>
        </w:rPr>
        <w:t>Se pretende reducir a límites aceptables el riesgo de que deje de funcionar la ventilación por fallo de los aspiradores mecánicos.</w:t>
      </w:r>
    </w:p>
    <w:p>
      <w:pPr>
        <w:pStyle w:val="BodyText"/>
        <w:spacing w:before="8"/>
        <w:rPr>
          <w:sz w:val="21"/>
        </w:rPr>
      </w:pPr>
    </w:p>
    <w:p>
      <w:pPr>
        <w:pStyle w:val="ListParagraph"/>
        <w:numPr>
          <w:ilvl w:val="0"/>
          <w:numId w:val="127"/>
        </w:numPr>
        <w:tabs>
          <w:tab w:pos="579" w:val="left" w:leader="none"/>
        </w:tabs>
        <w:spacing w:line="240" w:lineRule="auto" w:before="95" w:after="0"/>
        <w:ind w:left="575" w:right="390" w:hanging="358"/>
        <w:jc w:val="both"/>
        <w:rPr>
          <w:sz w:val="20"/>
        </w:rPr>
      </w:pPr>
      <w:r>
        <w:rPr>
          <w:sz w:val="20"/>
        </w:rPr>
        <w:t>En los aparcamientos que excedan de cinco plazas o de 100 m</w:t>
      </w:r>
      <w:r>
        <w:rPr>
          <w:position w:val="7"/>
          <w:sz w:val="13"/>
        </w:rPr>
        <w:t>2 </w:t>
      </w:r>
      <w:r>
        <w:rPr>
          <w:sz w:val="20"/>
        </w:rPr>
        <w:t>útiles debe disponerse un sistema de detección de monóxido de carbono en cada planta que active automáticamente el o los </w:t>
      </w:r>
      <w:r>
        <w:rPr>
          <w:i/>
          <w:sz w:val="20"/>
        </w:rPr>
        <w:t>aspirado- </w:t>
      </w:r>
      <w:r>
        <w:rPr>
          <w:i/>
          <w:sz w:val="20"/>
        </w:rPr>
        <w:t>res mecánicos </w:t>
      </w:r>
      <w:r>
        <w:rPr>
          <w:sz w:val="20"/>
        </w:rPr>
        <w:t>cuando se alcance una concentración de 50 p.p.m. en aparcamientos donde se pre- vea que existan empleados y una concentración de 100 p.p.m. en caso</w:t>
      </w:r>
      <w:r>
        <w:rPr>
          <w:spacing w:val="-15"/>
          <w:sz w:val="20"/>
        </w:rPr>
        <w:t> </w:t>
      </w:r>
      <w:r>
        <w:rPr>
          <w:sz w:val="20"/>
        </w:rPr>
        <w:t>contrario.</w:t>
      </w:r>
    </w:p>
    <w:p>
      <w:pPr>
        <w:pStyle w:val="BodyText"/>
        <w:spacing w:before="8"/>
        <w:rPr>
          <w:sz w:val="29"/>
        </w:rPr>
      </w:pPr>
    </w:p>
    <w:p>
      <w:pPr>
        <w:pStyle w:val="Heading3"/>
        <w:numPr>
          <w:ilvl w:val="1"/>
          <w:numId w:val="128"/>
        </w:numPr>
        <w:tabs>
          <w:tab w:pos="672" w:val="left" w:leader="none"/>
        </w:tabs>
        <w:spacing w:line="240" w:lineRule="auto" w:before="0" w:after="0"/>
        <w:ind w:left="671" w:right="0" w:hanging="454"/>
        <w:jc w:val="both"/>
      </w:pPr>
      <w:r>
        <w:rPr/>
        <w:t>Condiciones particulares de los</w:t>
      </w:r>
      <w:r>
        <w:rPr>
          <w:spacing w:val="-4"/>
        </w:rPr>
        <w:t> </w:t>
      </w:r>
      <w:r>
        <w:rPr/>
        <w:t>elementos</w:t>
      </w:r>
    </w:p>
    <w:p>
      <w:pPr>
        <w:pStyle w:val="BodyText"/>
        <w:spacing w:before="1"/>
        <w:rPr>
          <w:b/>
          <w:sz w:val="26"/>
        </w:rPr>
      </w:pPr>
    </w:p>
    <w:p>
      <w:pPr>
        <w:pStyle w:val="Heading5"/>
        <w:numPr>
          <w:ilvl w:val="2"/>
          <w:numId w:val="128"/>
        </w:numPr>
        <w:tabs>
          <w:tab w:pos="939" w:val="left" w:leader="none"/>
        </w:tabs>
        <w:spacing w:line="240" w:lineRule="auto" w:before="0" w:after="0"/>
        <w:ind w:left="938" w:right="0" w:hanging="721"/>
        <w:jc w:val="both"/>
      </w:pPr>
      <w:r>
        <w:rPr/>
        <w:t>Aberturas y bocas de</w:t>
      </w:r>
      <w:r>
        <w:rPr>
          <w:spacing w:val="-3"/>
        </w:rPr>
        <w:t> </w:t>
      </w:r>
      <w:r>
        <w:rPr/>
        <w:t>ventilación</w:t>
      </w:r>
    </w:p>
    <w:p>
      <w:pPr>
        <w:pStyle w:val="ListParagraph"/>
        <w:numPr>
          <w:ilvl w:val="0"/>
          <w:numId w:val="129"/>
        </w:numPr>
        <w:tabs>
          <w:tab w:pos="579" w:val="left" w:leader="none"/>
        </w:tabs>
        <w:spacing w:line="240" w:lineRule="auto" w:before="99" w:after="0"/>
        <w:ind w:left="575" w:right="390" w:hanging="358"/>
        <w:jc w:val="both"/>
        <w:rPr>
          <w:sz w:val="20"/>
        </w:rPr>
      </w:pPr>
      <w:r>
        <w:rPr>
          <w:sz w:val="20"/>
        </w:rPr>
        <w:t>En ausencia de norma urbanística que regule sus dimensiones, los espacios exteriores y los patios con los que comuniquen directamente los locales mediante </w:t>
      </w:r>
      <w:r>
        <w:rPr>
          <w:i/>
          <w:sz w:val="20"/>
        </w:rPr>
        <w:t>aberturas </w:t>
      </w:r>
      <w:r>
        <w:rPr>
          <w:sz w:val="20"/>
        </w:rPr>
        <w:t>de </w:t>
      </w:r>
      <w:r>
        <w:rPr>
          <w:i/>
          <w:sz w:val="20"/>
        </w:rPr>
        <w:t>admisión, aberturas mixtas </w:t>
      </w:r>
      <w:r>
        <w:rPr>
          <w:sz w:val="20"/>
        </w:rPr>
        <w:t>o </w:t>
      </w:r>
      <w:r>
        <w:rPr>
          <w:i/>
          <w:sz w:val="20"/>
        </w:rPr>
        <w:t>bocas de toma </w:t>
      </w:r>
      <w:r>
        <w:rPr>
          <w:sz w:val="20"/>
        </w:rPr>
        <w:t>deben permitir que en su planta se pueda inscribir un círculo cuyo diámetro sea igual</w:t>
      </w:r>
      <w:r>
        <w:rPr>
          <w:spacing w:val="-3"/>
          <w:sz w:val="20"/>
        </w:rPr>
        <w:t> </w:t>
      </w:r>
      <w:r>
        <w:rPr>
          <w:sz w:val="20"/>
        </w:rPr>
        <w:t>a</w:t>
      </w:r>
      <w:r>
        <w:rPr>
          <w:spacing w:val="-3"/>
          <w:sz w:val="20"/>
        </w:rPr>
        <w:t> </w:t>
      </w:r>
      <w:r>
        <w:rPr>
          <w:sz w:val="20"/>
        </w:rPr>
        <w:t>un</w:t>
      </w:r>
      <w:r>
        <w:rPr>
          <w:spacing w:val="-3"/>
          <w:sz w:val="20"/>
        </w:rPr>
        <w:t> </w:t>
      </w:r>
      <w:r>
        <w:rPr>
          <w:sz w:val="20"/>
        </w:rPr>
        <w:t>tercio</w:t>
      </w:r>
      <w:r>
        <w:rPr>
          <w:spacing w:val="-2"/>
          <w:sz w:val="20"/>
        </w:rPr>
        <w:t> </w:t>
      </w:r>
      <w:r>
        <w:rPr>
          <w:sz w:val="20"/>
        </w:rPr>
        <w:t>de</w:t>
      </w:r>
      <w:r>
        <w:rPr>
          <w:spacing w:val="-2"/>
          <w:sz w:val="20"/>
        </w:rPr>
        <w:t> </w:t>
      </w:r>
      <w:r>
        <w:rPr>
          <w:sz w:val="20"/>
        </w:rPr>
        <w:t>la</w:t>
      </w:r>
      <w:r>
        <w:rPr>
          <w:spacing w:val="-3"/>
          <w:sz w:val="20"/>
        </w:rPr>
        <w:t> </w:t>
      </w:r>
      <w:r>
        <w:rPr>
          <w:sz w:val="20"/>
        </w:rPr>
        <w:t>altura</w:t>
      </w:r>
      <w:r>
        <w:rPr>
          <w:spacing w:val="-3"/>
          <w:sz w:val="20"/>
        </w:rPr>
        <w:t> </w:t>
      </w:r>
      <w:r>
        <w:rPr>
          <w:sz w:val="20"/>
        </w:rPr>
        <w:t>del</w:t>
      </w:r>
      <w:r>
        <w:rPr>
          <w:spacing w:val="-2"/>
          <w:sz w:val="20"/>
        </w:rPr>
        <w:t> </w:t>
      </w:r>
      <w:r>
        <w:rPr>
          <w:sz w:val="20"/>
        </w:rPr>
        <w:t>cerramiento</w:t>
      </w:r>
      <w:r>
        <w:rPr>
          <w:spacing w:val="-1"/>
          <w:sz w:val="20"/>
        </w:rPr>
        <w:t> </w:t>
      </w:r>
      <w:r>
        <w:rPr>
          <w:sz w:val="20"/>
        </w:rPr>
        <w:t>más</w:t>
      </w:r>
      <w:r>
        <w:rPr>
          <w:spacing w:val="-2"/>
          <w:sz w:val="20"/>
        </w:rPr>
        <w:t> </w:t>
      </w:r>
      <w:r>
        <w:rPr>
          <w:sz w:val="20"/>
        </w:rPr>
        <w:t>bajo</w:t>
      </w:r>
      <w:r>
        <w:rPr>
          <w:spacing w:val="-2"/>
          <w:sz w:val="20"/>
        </w:rPr>
        <w:t> </w:t>
      </w:r>
      <w:r>
        <w:rPr>
          <w:sz w:val="20"/>
        </w:rPr>
        <w:t>de</w:t>
      </w:r>
      <w:r>
        <w:rPr>
          <w:spacing w:val="-2"/>
          <w:sz w:val="20"/>
        </w:rPr>
        <w:t> </w:t>
      </w:r>
      <w:r>
        <w:rPr>
          <w:sz w:val="20"/>
        </w:rPr>
        <w:t>los</w:t>
      </w:r>
      <w:r>
        <w:rPr>
          <w:spacing w:val="-2"/>
          <w:sz w:val="20"/>
        </w:rPr>
        <w:t> </w:t>
      </w:r>
      <w:r>
        <w:rPr>
          <w:sz w:val="20"/>
        </w:rPr>
        <w:t>que</w:t>
      </w:r>
      <w:r>
        <w:rPr>
          <w:spacing w:val="-3"/>
          <w:sz w:val="20"/>
        </w:rPr>
        <w:t> </w:t>
      </w:r>
      <w:r>
        <w:rPr>
          <w:sz w:val="20"/>
        </w:rPr>
        <w:t>lo</w:t>
      </w:r>
      <w:r>
        <w:rPr>
          <w:spacing w:val="-2"/>
          <w:sz w:val="20"/>
        </w:rPr>
        <w:t> </w:t>
      </w:r>
      <w:r>
        <w:rPr>
          <w:sz w:val="20"/>
        </w:rPr>
        <w:t>delimitan</w:t>
      </w:r>
      <w:r>
        <w:rPr>
          <w:spacing w:val="-3"/>
          <w:sz w:val="20"/>
        </w:rPr>
        <w:t> </w:t>
      </w:r>
      <w:r>
        <w:rPr>
          <w:sz w:val="20"/>
        </w:rPr>
        <w:t>y</w:t>
      </w:r>
      <w:r>
        <w:rPr>
          <w:spacing w:val="-2"/>
          <w:sz w:val="20"/>
        </w:rPr>
        <w:t> </w:t>
      </w:r>
      <w:r>
        <w:rPr>
          <w:sz w:val="20"/>
        </w:rPr>
        <w:t>no</w:t>
      </w:r>
      <w:r>
        <w:rPr>
          <w:spacing w:val="-3"/>
          <w:sz w:val="20"/>
        </w:rPr>
        <w:t> </w:t>
      </w:r>
      <w:r>
        <w:rPr>
          <w:sz w:val="20"/>
        </w:rPr>
        <w:t>menor</w:t>
      </w:r>
      <w:r>
        <w:rPr>
          <w:spacing w:val="-3"/>
          <w:sz w:val="20"/>
        </w:rPr>
        <w:t> </w:t>
      </w:r>
      <w:r>
        <w:rPr>
          <w:sz w:val="20"/>
        </w:rPr>
        <w:t>que</w:t>
      </w:r>
      <w:r>
        <w:rPr>
          <w:spacing w:val="-3"/>
          <w:sz w:val="20"/>
        </w:rPr>
        <w:t> </w:t>
      </w:r>
      <w:r>
        <w:rPr>
          <w:sz w:val="20"/>
        </w:rPr>
        <w:t>3</w:t>
      </w:r>
      <w:r>
        <w:rPr>
          <w:spacing w:val="-2"/>
          <w:sz w:val="20"/>
        </w:rPr>
        <w:t> </w:t>
      </w:r>
      <w:r>
        <w:rPr>
          <w:sz w:val="20"/>
        </w:rPr>
        <w:t>m.</w:t>
      </w:r>
    </w:p>
    <w:p>
      <w:pPr>
        <w:pStyle w:val="ListParagraph"/>
        <w:numPr>
          <w:ilvl w:val="0"/>
          <w:numId w:val="129"/>
        </w:numPr>
        <w:tabs>
          <w:tab w:pos="579" w:val="left" w:leader="none"/>
        </w:tabs>
        <w:spacing w:line="240" w:lineRule="auto" w:before="59" w:after="0"/>
        <w:ind w:left="575" w:right="393" w:hanging="358"/>
        <w:jc w:val="both"/>
        <w:rPr>
          <w:sz w:val="20"/>
        </w:rPr>
      </w:pPr>
      <w:r>
        <w:rPr>
          <w:sz w:val="20"/>
        </w:rPr>
        <w:t>Pueden utilizarse como </w:t>
      </w:r>
      <w:r>
        <w:rPr>
          <w:i/>
          <w:sz w:val="20"/>
        </w:rPr>
        <w:t>abertura de paso </w:t>
      </w:r>
      <w:r>
        <w:rPr>
          <w:sz w:val="20"/>
        </w:rPr>
        <w:t>un </w:t>
      </w:r>
      <w:r>
        <w:rPr>
          <w:i/>
          <w:sz w:val="20"/>
        </w:rPr>
        <w:t>aireador </w:t>
      </w:r>
      <w:r>
        <w:rPr>
          <w:sz w:val="20"/>
        </w:rPr>
        <w:t>o la holgura existente entre las hojas de las puertas y el</w:t>
      </w:r>
      <w:r>
        <w:rPr>
          <w:spacing w:val="-4"/>
          <w:sz w:val="20"/>
        </w:rPr>
        <w:t> </w:t>
      </w:r>
      <w:r>
        <w:rPr>
          <w:sz w:val="20"/>
        </w:rPr>
        <w:t>suelo.</w:t>
      </w:r>
    </w:p>
    <w:p>
      <w:pPr>
        <w:pStyle w:val="ListParagraph"/>
        <w:numPr>
          <w:ilvl w:val="0"/>
          <w:numId w:val="129"/>
        </w:numPr>
        <w:tabs>
          <w:tab w:pos="579" w:val="left" w:leader="none"/>
        </w:tabs>
        <w:spacing w:line="240" w:lineRule="auto" w:before="61" w:after="0"/>
        <w:ind w:left="575" w:right="393" w:hanging="358"/>
        <w:jc w:val="both"/>
        <w:rPr>
          <w:sz w:val="20"/>
        </w:rPr>
      </w:pPr>
      <w:r>
        <w:rPr>
          <w:sz w:val="20"/>
        </w:rPr>
        <w:t>Las </w:t>
      </w:r>
      <w:r>
        <w:rPr>
          <w:i/>
          <w:sz w:val="20"/>
        </w:rPr>
        <w:t>aberturas de ventilación </w:t>
      </w:r>
      <w:r>
        <w:rPr>
          <w:sz w:val="20"/>
        </w:rPr>
        <w:t>en contacto con el exterior deben disponerse de tal forma que se evite la entrada de agua de lluvia o estar dotadas de elementos adecuados para el mismo</w:t>
      </w:r>
      <w:r>
        <w:rPr>
          <w:spacing w:val="-29"/>
          <w:sz w:val="20"/>
        </w:rPr>
        <w:t> </w:t>
      </w:r>
      <w:r>
        <w:rPr>
          <w:sz w:val="20"/>
        </w:rPr>
        <w:t>fin.</w:t>
      </w:r>
    </w:p>
    <w:p>
      <w:pPr>
        <w:pStyle w:val="ListParagraph"/>
        <w:numPr>
          <w:ilvl w:val="0"/>
          <w:numId w:val="129"/>
        </w:numPr>
        <w:tabs>
          <w:tab w:pos="579" w:val="left" w:leader="none"/>
        </w:tabs>
        <w:spacing w:line="240" w:lineRule="auto" w:before="60" w:after="0"/>
        <w:ind w:left="575" w:right="390" w:hanging="358"/>
        <w:jc w:val="both"/>
        <w:rPr>
          <w:sz w:val="20"/>
        </w:rPr>
      </w:pPr>
      <w:r>
        <w:rPr>
          <w:sz w:val="20"/>
        </w:rPr>
        <w:t>Las </w:t>
      </w:r>
      <w:r>
        <w:rPr>
          <w:i/>
          <w:sz w:val="20"/>
        </w:rPr>
        <w:t>bocas de expulsión </w:t>
      </w:r>
      <w:r>
        <w:rPr>
          <w:sz w:val="20"/>
        </w:rPr>
        <w:t>deben situarse en la cubierta del edificio separadas 3 m como mínimo, de cualquier elemento de entrada de ventilación (</w:t>
      </w:r>
      <w:r>
        <w:rPr>
          <w:i/>
          <w:sz w:val="20"/>
        </w:rPr>
        <w:t>boca de toma, abertura de admisión, </w:t>
      </w:r>
      <w:r>
        <w:rPr>
          <w:sz w:val="20"/>
        </w:rPr>
        <w:t>puerta exterior y ventana) y de los espacios donde pueda haber personas de forma habitual, tales como terrazas, ga- lerías, miradores, balcones,</w:t>
      </w:r>
      <w:r>
        <w:rPr>
          <w:spacing w:val="-4"/>
          <w:sz w:val="20"/>
        </w:rPr>
        <w:t> </w:t>
      </w:r>
      <w:r>
        <w:rPr>
          <w:sz w:val="20"/>
        </w:rPr>
        <w:t>etc.</w:t>
      </w:r>
    </w:p>
    <w:p>
      <w:pPr>
        <w:pStyle w:val="BodyText"/>
        <w:rPr>
          <w:sz w:val="22"/>
        </w:rPr>
      </w:pPr>
    </w:p>
    <w:p>
      <w:pPr>
        <w:spacing w:before="157"/>
        <w:ind w:left="1886" w:right="395" w:firstLine="0"/>
        <w:jc w:val="both"/>
        <w:rPr>
          <w:sz w:val="16"/>
        </w:rPr>
      </w:pPr>
      <w:r>
        <w:rPr/>
        <w:pict>
          <v:line style="position:absolute;mso-position-horizontal-relative:page;mso-position-vertical-relative:paragraph;z-index:251868160" from="148.919998pt,4.974209pt" to="148.919998pt,72.174209pt" stroked="true" strokeweight=".48pt" strokecolor="#000000">
            <v:stroke dashstyle="solid"/>
            <w10:wrap type="none"/>
          </v:line>
        </w:pict>
      </w:r>
      <w:r>
        <w:rPr>
          <w:sz w:val="16"/>
        </w:rPr>
        <w:t>La separación mínima de 3 m establecida entre las bocas de expulsión y los espacios donde pueda haber personas de forma habitual se considera desde la boca de expulsión a la zona de ocupación de dichos espacios.</w:t>
      </w:r>
    </w:p>
    <w:p>
      <w:pPr>
        <w:spacing w:before="120"/>
        <w:ind w:left="1886" w:right="394" w:firstLine="0"/>
        <w:jc w:val="both"/>
        <w:rPr>
          <w:sz w:val="16"/>
        </w:rPr>
      </w:pPr>
      <w:r>
        <w:rPr>
          <w:sz w:val="16"/>
        </w:rPr>
        <w:t>Puede emplearse como referencia para la consideración de zona de ocupación la establecida en el RITE para zona ocupada en lo relativo al límite inferior desde el suelo (5 cm), y límite superior desde el suelo (180 cm).</w:t>
      </w:r>
    </w:p>
    <w:p>
      <w:pPr>
        <w:pStyle w:val="BodyText"/>
        <w:spacing w:before="3"/>
        <w:rPr>
          <w:sz w:val="22"/>
        </w:rPr>
      </w:pPr>
    </w:p>
    <w:p>
      <w:pPr>
        <w:pStyle w:val="ListParagraph"/>
        <w:numPr>
          <w:ilvl w:val="0"/>
          <w:numId w:val="129"/>
        </w:numPr>
        <w:tabs>
          <w:tab w:pos="578" w:val="left" w:leader="none"/>
        </w:tabs>
        <w:spacing w:line="240" w:lineRule="auto" w:before="94" w:after="0"/>
        <w:ind w:left="575" w:right="389" w:hanging="358"/>
        <w:jc w:val="both"/>
        <w:rPr>
          <w:sz w:val="20"/>
        </w:rPr>
      </w:pPr>
      <w:r>
        <w:rPr>
          <w:sz w:val="20"/>
        </w:rPr>
        <w:t>En el caso de </w:t>
      </w:r>
      <w:r>
        <w:rPr>
          <w:i/>
          <w:sz w:val="20"/>
        </w:rPr>
        <w:t>ventilación híbrida</w:t>
      </w:r>
      <w:r>
        <w:rPr>
          <w:sz w:val="20"/>
        </w:rPr>
        <w:t>, la </w:t>
      </w:r>
      <w:r>
        <w:rPr>
          <w:i/>
          <w:sz w:val="20"/>
        </w:rPr>
        <w:t>boca de expulsión </w:t>
      </w:r>
      <w:r>
        <w:rPr>
          <w:sz w:val="20"/>
        </w:rPr>
        <w:t>debe ubicarse en la cubierta del edificio a una altura sobre ella de 1 m como mínimo y debe superar las siguientes alturas en función de su empla- zamiento (véanse los ejemplos de la figura</w:t>
      </w:r>
      <w:r>
        <w:rPr>
          <w:spacing w:val="-7"/>
          <w:sz w:val="20"/>
        </w:rPr>
        <w:t> </w:t>
      </w:r>
      <w:r>
        <w:rPr>
          <w:sz w:val="20"/>
        </w:rPr>
        <w:t>3.4):</w:t>
      </w:r>
    </w:p>
    <w:p>
      <w:pPr>
        <w:pStyle w:val="ListParagraph"/>
        <w:numPr>
          <w:ilvl w:val="1"/>
          <w:numId w:val="129"/>
        </w:numPr>
        <w:tabs>
          <w:tab w:pos="939" w:val="left" w:leader="none"/>
        </w:tabs>
        <w:spacing w:line="240" w:lineRule="auto" w:before="60" w:after="0"/>
        <w:ind w:left="938" w:right="0" w:hanging="364"/>
        <w:jc w:val="left"/>
        <w:rPr>
          <w:sz w:val="20"/>
        </w:rPr>
      </w:pPr>
      <w:r>
        <w:rPr>
          <w:sz w:val="20"/>
        </w:rPr>
        <w:t>la altura de cualquier obstáculo que esté a una distancia comprendida entre 2 y 10</w:t>
      </w:r>
      <w:r>
        <w:rPr>
          <w:spacing w:val="-22"/>
          <w:sz w:val="20"/>
        </w:rPr>
        <w:t> </w:t>
      </w:r>
      <w:r>
        <w:rPr>
          <w:sz w:val="20"/>
        </w:rPr>
        <w:t>m;</w:t>
      </w:r>
    </w:p>
    <w:p>
      <w:pPr>
        <w:pStyle w:val="ListParagraph"/>
        <w:numPr>
          <w:ilvl w:val="1"/>
          <w:numId w:val="129"/>
        </w:numPr>
        <w:tabs>
          <w:tab w:pos="939" w:val="left" w:leader="none"/>
        </w:tabs>
        <w:spacing w:line="240" w:lineRule="auto" w:before="59" w:after="0"/>
        <w:ind w:left="938" w:right="0" w:hanging="364"/>
        <w:jc w:val="left"/>
        <w:rPr>
          <w:sz w:val="20"/>
        </w:rPr>
      </w:pPr>
      <w:r>
        <w:rPr>
          <w:sz w:val="20"/>
        </w:rPr>
        <w:t>1,3 veces la altura de cualquier obstáculo que esté a una distancia menor o igual que 2</w:t>
      </w:r>
      <w:r>
        <w:rPr>
          <w:spacing w:val="-27"/>
          <w:sz w:val="20"/>
        </w:rPr>
        <w:t> </w:t>
      </w:r>
      <w:r>
        <w:rPr>
          <w:sz w:val="20"/>
        </w:rPr>
        <w:t>m;</w:t>
      </w:r>
    </w:p>
    <w:p>
      <w:pPr>
        <w:pStyle w:val="ListParagraph"/>
        <w:numPr>
          <w:ilvl w:val="1"/>
          <w:numId w:val="129"/>
        </w:numPr>
        <w:tabs>
          <w:tab w:pos="939" w:val="left" w:leader="none"/>
        </w:tabs>
        <w:spacing w:line="240" w:lineRule="auto" w:before="61" w:after="0"/>
        <w:ind w:left="938" w:right="0" w:hanging="364"/>
        <w:jc w:val="left"/>
        <w:rPr>
          <w:sz w:val="20"/>
        </w:rPr>
      </w:pPr>
      <w:r>
        <w:rPr>
          <w:sz w:val="20"/>
        </w:rPr>
        <w:t>2 m en cubiertas</w:t>
      </w:r>
      <w:r>
        <w:rPr>
          <w:spacing w:val="-1"/>
          <w:sz w:val="20"/>
        </w:rPr>
        <w:t> </w:t>
      </w:r>
      <w:r>
        <w:rPr>
          <w:sz w:val="20"/>
        </w:rPr>
        <w:t>transitables.</w:t>
      </w:r>
    </w:p>
    <w:p>
      <w:pPr>
        <w:pStyle w:val="BodyText"/>
        <w:rPr>
          <w:sz w:val="22"/>
        </w:rPr>
      </w:pPr>
    </w:p>
    <w:p>
      <w:pPr>
        <w:spacing w:before="157"/>
        <w:ind w:left="1886" w:right="0" w:firstLine="0"/>
        <w:jc w:val="left"/>
        <w:rPr>
          <w:sz w:val="16"/>
        </w:rPr>
      </w:pPr>
      <w:r>
        <w:rPr/>
        <w:pict>
          <v:group style="position:absolute;margin-left:148.199997pt;margin-top:4.974201pt;width:1.45pt;height:24.45pt;mso-position-horizontal-relative:page;mso-position-vertical-relative:paragraph;z-index:251869184" coordorigin="2964,99" coordsize="29,489">
            <v:line style="position:absolute" from="2988,99" to="2988,588" stroked="true" strokeweight=".48pt" strokecolor="#000000">
              <v:stroke dashstyle="solid"/>
            </v:line>
            <v:line style="position:absolute" from="2969,99" to="2969,588" stroked="true" strokeweight=".48001pt" strokecolor="#000000">
              <v:stroke dashstyle="solid"/>
            </v:line>
            <w10:wrap type="none"/>
          </v:group>
        </w:pict>
      </w:r>
      <w:r>
        <w:rPr>
          <w:sz w:val="16"/>
        </w:rPr>
        <w:t>En el caso de los apartados a) y b) se pretende que con estas distancias se establezcan unas condiciones mínimas de circulación de aire que permitan la extracción del aire de forma natural.</w:t>
      </w:r>
    </w:p>
    <w:p>
      <w:pPr>
        <w:pStyle w:val="BodyText"/>
        <w:spacing w:before="5"/>
        <w:rPr>
          <w:sz w:val="27"/>
        </w:rPr>
      </w:pPr>
    </w:p>
    <w:p>
      <w:pPr>
        <w:spacing w:before="95"/>
        <w:ind w:left="1886" w:right="418" w:firstLine="0"/>
        <w:jc w:val="left"/>
        <w:rPr>
          <w:sz w:val="16"/>
        </w:rPr>
      </w:pPr>
      <w:r>
        <w:rPr/>
        <w:pict>
          <v:group style="position:absolute;margin-left:148.199997pt;margin-top:1.874214pt;width:1.45pt;height:24.4pt;mso-position-horizontal-relative:page;mso-position-vertical-relative:paragraph;z-index:251870208" coordorigin="2964,37" coordsize="29,488">
            <v:line style="position:absolute" from="2988,37" to="2988,525" stroked="true" strokeweight=".48pt" strokecolor="#000000">
              <v:stroke dashstyle="solid"/>
            </v:line>
            <v:line style="position:absolute" from="2969,37" to="2969,525" stroked="true" strokeweight=".48001pt" strokecolor="#000000">
              <v:stroke dashstyle="solid"/>
            </v:line>
            <w10:wrap type="none"/>
          </v:group>
        </w:pict>
      </w:r>
      <w:r>
        <w:rPr>
          <w:sz w:val="16"/>
        </w:rPr>
        <w:t>La alusión a la figura 3.4 está desactualizada, ya que no corresponde con la figura 3.4 vigente, si no que hace referencia a una figura que fue eliminada en versiones anteriores del documento.</w:t>
      </w:r>
    </w:p>
    <w:p>
      <w:pPr>
        <w:pStyle w:val="BodyText"/>
      </w:pPr>
    </w:p>
    <w:p>
      <w:pPr>
        <w:pStyle w:val="BodyText"/>
        <w:spacing w:before="9"/>
        <w:rPr>
          <w:sz w:val="19"/>
        </w:rPr>
      </w:pPr>
    </w:p>
    <w:p>
      <w:pPr>
        <w:pStyle w:val="Heading6"/>
        <w:numPr>
          <w:ilvl w:val="2"/>
          <w:numId w:val="128"/>
        </w:numPr>
        <w:tabs>
          <w:tab w:pos="938" w:val="left" w:leader="none"/>
          <w:tab w:pos="939" w:val="left" w:leader="none"/>
        </w:tabs>
        <w:spacing w:line="240" w:lineRule="auto" w:before="94" w:after="0"/>
        <w:ind w:left="938" w:right="0" w:hanging="721"/>
        <w:jc w:val="left"/>
        <w:rPr>
          <w:i/>
        </w:rPr>
      </w:pPr>
      <w:r>
        <w:rPr>
          <w:i/>
        </w:rPr>
        <w:t>Conductos de</w:t>
      </w:r>
      <w:r>
        <w:rPr>
          <w:i/>
          <w:spacing w:val="-3"/>
        </w:rPr>
        <w:t> </w:t>
      </w:r>
      <w:r>
        <w:rPr>
          <w:i/>
        </w:rPr>
        <w:t>admisión</w:t>
      </w:r>
    </w:p>
    <w:p>
      <w:pPr>
        <w:pStyle w:val="ListParagraph"/>
        <w:numPr>
          <w:ilvl w:val="0"/>
          <w:numId w:val="130"/>
        </w:numPr>
        <w:tabs>
          <w:tab w:pos="578" w:val="left" w:leader="none"/>
          <w:tab w:pos="579" w:val="left" w:leader="none"/>
        </w:tabs>
        <w:spacing w:line="240" w:lineRule="auto" w:before="98" w:after="0"/>
        <w:ind w:left="578" w:right="0" w:hanging="361"/>
        <w:jc w:val="left"/>
        <w:rPr>
          <w:sz w:val="20"/>
        </w:rPr>
      </w:pPr>
      <w:r>
        <w:rPr>
          <w:sz w:val="20"/>
        </w:rPr>
        <w:t>Los conductos deben tener sección uniforme y carecer de obstáculos en todo su</w:t>
      </w:r>
      <w:r>
        <w:rPr>
          <w:spacing w:val="-17"/>
          <w:sz w:val="20"/>
        </w:rPr>
        <w:t> </w:t>
      </w:r>
      <w:r>
        <w:rPr>
          <w:sz w:val="20"/>
        </w:rPr>
        <w:t>recorrido.</w:t>
      </w:r>
    </w:p>
    <w:p>
      <w:pPr>
        <w:spacing w:after="0" w:line="240" w:lineRule="auto"/>
        <w:jc w:val="left"/>
        <w:rPr>
          <w:sz w:val="20"/>
        </w:rPr>
        <w:sectPr>
          <w:pgSz w:w="11910" w:h="16840"/>
          <w:pgMar w:header="724" w:footer="636" w:top="1320" w:bottom="820" w:left="1200" w:right="738"/>
        </w:sectPr>
      </w:pPr>
    </w:p>
    <w:p>
      <w:pPr>
        <w:spacing w:before="150"/>
        <w:ind w:left="1886" w:right="393" w:firstLine="0"/>
        <w:jc w:val="both"/>
        <w:rPr>
          <w:sz w:val="16"/>
        </w:rPr>
      </w:pPr>
      <w:r>
        <w:rPr/>
        <w:pict>
          <v:group style="position:absolute;margin-left:148.199997pt;margin-top:4.624224pt;width:1.45pt;height:33.6pt;mso-position-horizontal-relative:page;mso-position-vertical-relative:paragraph;z-index:251873280" coordorigin="2964,92" coordsize="29,672">
            <v:line style="position:absolute" from="2988,92" to="2988,764" stroked="true" strokeweight=".48pt" strokecolor="#000000">
              <v:stroke dashstyle="solid"/>
            </v:line>
            <v:line style="position:absolute" from="2969,92" to="2969,764" stroked="true" strokeweight=".48001pt" strokecolor="#000000">
              <v:stroke dashstyle="solid"/>
            </v:line>
            <w10:wrap type="none"/>
          </v:group>
        </w:pict>
      </w:r>
      <w:r>
        <w:rPr>
          <w:sz w:val="16"/>
        </w:rPr>
        <w:t>Se entiende que la sección debe ser uniforme en tramos del conducto con el mismo caudal, a medida que el caudal de un conducto se reduce por las aportaciones realizadas en las aberturas de admisión, la sección podría modificarse de forma</w:t>
      </w:r>
      <w:r>
        <w:rPr>
          <w:spacing w:val="-1"/>
          <w:sz w:val="16"/>
        </w:rPr>
        <w:t> </w:t>
      </w:r>
      <w:r>
        <w:rPr>
          <w:sz w:val="16"/>
        </w:rPr>
        <w:t>correspondiente.</w:t>
      </w:r>
    </w:p>
    <w:p>
      <w:pPr>
        <w:pStyle w:val="BodyText"/>
        <w:spacing w:before="2"/>
        <w:rPr>
          <w:sz w:val="22"/>
        </w:rPr>
      </w:pPr>
    </w:p>
    <w:p>
      <w:pPr>
        <w:pStyle w:val="ListParagraph"/>
        <w:numPr>
          <w:ilvl w:val="0"/>
          <w:numId w:val="130"/>
        </w:numPr>
        <w:tabs>
          <w:tab w:pos="578" w:val="left" w:leader="none"/>
          <w:tab w:pos="579" w:val="left" w:leader="none"/>
        </w:tabs>
        <w:spacing w:line="240" w:lineRule="auto" w:before="94" w:after="0"/>
        <w:ind w:left="576" w:right="391" w:hanging="358"/>
        <w:jc w:val="left"/>
        <w:rPr>
          <w:sz w:val="20"/>
        </w:rPr>
      </w:pPr>
      <w:r>
        <w:rPr>
          <w:sz w:val="20"/>
        </w:rPr>
        <w:t>Los conductos deben tener un acabado que dificulte su ensuciamiento y deben ser practicables para su registro y limpieza cada 10 m como máximo en todo su</w:t>
      </w:r>
      <w:r>
        <w:rPr>
          <w:spacing w:val="-14"/>
          <w:sz w:val="20"/>
        </w:rPr>
        <w:t> </w:t>
      </w:r>
      <w:r>
        <w:rPr>
          <w:sz w:val="20"/>
        </w:rPr>
        <w:t>recorrido.</w:t>
      </w:r>
    </w:p>
    <w:p>
      <w:pPr>
        <w:pStyle w:val="BodyText"/>
        <w:spacing w:before="9"/>
        <w:rPr>
          <w:sz w:val="22"/>
        </w:rPr>
      </w:pPr>
    </w:p>
    <w:p>
      <w:pPr>
        <w:pStyle w:val="Heading6"/>
        <w:numPr>
          <w:ilvl w:val="2"/>
          <w:numId w:val="128"/>
        </w:numPr>
        <w:tabs>
          <w:tab w:pos="939" w:val="left" w:leader="none"/>
        </w:tabs>
        <w:spacing w:line="240" w:lineRule="auto" w:before="0" w:after="0"/>
        <w:ind w:left="938" w:right="0" w:hanging="721"/>
        <w:jc w:val="both"/>
        <w:rPr>
          <w:i/>
        </w:rPr>
      </w:pPr>
      <w:r>
        <w:rPr/>
        <w:pict>
          <v:shape style="position:absolute;margin-left:-31.757999pt;margin-top:687.040222pt;width:63.6pt;height:22.95pt;mso-position-horizontal-relative:page;mso-position-vertical-relative:paragraph;z-index:251878400" coordorigin="-635,13741" coordsize="1272,459" path="m9111,236l8476,695m9111,236l9747,695e" filled="false" stroked="true" strokeweight=".085pt" strokecolor="#000000">
            <v:path arrowok="t"/>
            <v:stroke dashstyle="solid"/>
            <w10:wrap type="none"/>
          </v:shape>
        </w:pict>
      </w:r>
      <w:r>
        <w:rPr>
          <w:i/>
        </w:rPr>
        <w:t>Conductos de extracción </w:t>
      </w:r>
      <w:r>
        <w:rPr>
          <w:i w:val="0"/>
        </w:rPr>
        <w:t>para </w:t>
      </w:r>
      <w:r>
        <w:rPr>
          <w:i/>
        </w:rPr>
        <w:t>ventilación</w:t>
      </w:r>
      <w:r>
        <w:rPr>
          <w:i/>
          <w:spacing w:val="-7"/>
        </w:rPr>
        <w:t> </w:t>
      </w:r>
      <w:r>
        <w:rPr>
          <w:i/>
        </w:rPr>
        <w:t>híbrida</w:t>
      </w:r>
    </w:p>
    <w:p>
      <w:pPr>
        <w:pStyle w:val="ListParagraph"/>
        <w:numPr>
          <w:ilvl w:val="0"/>
          <w:numId w:val="131"/>
        </w:numPr>
        <w:tabs>
          <w:tab w:pos="579" w:val="left" w:leader="none"/>
        </w:tabs>
        <w:spacing w:line="240" w:lineRule="auto" w:before="98" w:after="0"/>
        <w:ind w:left="576" w:right="3421" w:hanging="358"/>
        <w:jc w:val="both"/>
        <w:rPr>
          <w:sz w:val="20"/>
        </w:rPr>
      </w:pPr>
      <w:r>
        <w:rPr/>
        <w:pict>
          <v:group style="position:absolute;margin-left:396.698486pt;margin-top:42.70182pt;width:149.4pt;height:415.1pt;mso-position-horizontal-relative:page;mso-position-vertical-relative:paragraph;z-index:251876352" coordorigin="7934,854" coordsize="2988,8302">
            <v:line style="position:absolute" from="9611,6425" to="9611,900" stroked="true" strokeweight=".085pt" strokecolor="#000000">
              <v:stroke dashstyle="solid"/>
            </v:line>
            <v:line style="position:absolute" from="9611,900" to="9747,998" stroked="true" strokeweight=".085pt" strokecolor="#000000">
              <v:stroke dashstyle="solid"/>
            </v:line>
            <v:line style="position:absolute" from="9611,6425" to="9611,9154" stroked="true" strokeweight=".085pt" strokecolor="#000000">
              <v:stroke dashstyle="solid"/>
            </v:line>
            <v:shape style="position:absolute;left:9143;top:7888;width:468;height:1266" coordorigin="9144,7889" coordsize="468,1266" path="m9611,9154l9144,9154,9144,7889e" filled="false" stroked="true" strokeweight=".085pt" strokecolor="#000000">
              <v:path arrowok="t"/>
              <v:stroke dashstyle="solid"/>
            </v:shape>
            <v:shape style="position:absolute;left:0;top:12446;width:2;height:1495" coordorigin="0,12446" coordsize="0,1495" path="m8877,6425l8877,5360m8877,6425l8877,6855e" filled="false" stroked="true" strokeweight=".085pt" strokecolor="#000000">
              <v:path arrowok="t"/>
              <v:stroke dashstyle="solid"/>
            </v:shape>
            <v:line style="position:absolute" from="8877,9154" to="8877,7357" stroked="true" strokeweight=".085pt" strokecolor="#000000">
              <v:stroke dashstyle="solid"/>
            </v:line>
            <v:shape style="position:absolute;left:-267;top:12912;width:267;height:1864" coordorigin="-267,12913" coordsize="267,1864" path="m9144,6425l9144,7424,8877,7689m9144,6425l9144,5826e" filled="false" stroked="true" strokeweight=".085pt" strokecolor="#000000">
              <v:path arrowok="t"/>
              <v:stroke dashstyle="solid"/>
            </v:shape>
            <v:shape style="position:absolute;left:-267;top:9184;width:267;height:4594" coordorigin="-267,9184" coordsize="267,4594" path="m9144,5426l8877,5693m9144,5426l9144,1100e" filled="false" stroked="true" strokeweight=".085pt" strokecolor="#000000">
              <v:path arrowok="t"/>
              <v:stroke dashstyle="solid"/>
            </v:shape>
            <v:line style="position:absolute" from="8877,4858" to="8877,1100" stroked="true" strokeweight=".085pt" strokecolor="#000000">
              <v:stroke dashstyle="solid"/>
            </v:line>
            <v:shape style="position:absolute;left:-781;top:13111;width:781;height:400" coordorigin="-781,13111" coordsize="781,400" path="m8810,4828l8810,4428m8810,4828l8029,4828e" filled="false" stroked="true" strokeweight=".085pt" strokecolor="#000000">
              <v:path arrowok="t"/>
              <v:stroke dashstyle="solid"/>
            </v:shape>
            <v:line style="position:absolute" from="8810,4428" to="8029,4428" stroked="true" strokeweight=".085pt" strokecolor="#000000">
              <v:stroke dashstyle="solid"/>
            </v:line>
            <v:shape style="position:absolute;left:-781;top:13112;width:781;height:400" coordorigin="-781,13112" coordsize="781,400" path="m8810,6824l8810,6425m8810,6824l8029,6824e" filled="false" stroked="true" strokeweight=".085pt" strokecolor="#000000">
              <v:path arrowok="t"/>
              <v:stroke dashstyle="solid"/>
            </v:shape>
            <v:line style="position:absolute" from="8810,6425" to="8029,6425" stroked="true" strokeweight=".085pt" strokecolor="#000000">
              <v:stroke dashstyle="solid"/>
            </v:line>
            <v:shape style="position:absolute;left:-781;top:13111;width:781;height:400" coordorigin="-781,13111" coordsize="781,400" path="m8810,9154l8810,8754m8810,9154l8029,9154e" filled="false" stroked="true" strokeweight=".085pt" strokecolor="#000000">
              <v:path arrowok="t"/>
              <v:stroke dashstyle="solid"/>
            </v:shape>
            <v:line style="position:absolute" from="8810,8754" to="8029,8754" stroked="true" strokeweight=".085pt" strokecolor="#000000">
              <v:stroke dashstyle="solid"/>
            </v:line>
            <v:shape style="position:absolute;left:7933;top:5469;width:614;height:281" type="#_x0000_t75" stroked="false">
              <v:imagedata r:id="rId99" o:title=""/>
            </v:shape>
            <v:shape style="position:absolute;left:8274;top:7135;width:403;height:47" coordorigin="8275,7136" coordsize="403,47" path="m8275,7182l8677,7182,8677,7136e" filled="false" stroked="true" strokeweight=".085pt" strokecolor="#000000">
              <v:path arrowok="t"/>
              <v:stroke dashstyle="solid"/>
            </v:shape>
            <v:shape style="position:absolute;left:0;top:13439;width:403;height:73" coordorigin="0,13439" coordsize="403,73" path="m8275,7255l8677,7255m8275,7255l8275,7182e" filled="false" stroked="true" strokeweight=".085pt" strokecolor="#000000">
              <v:path arrowok="t"/>
              <v:stroke dashstyle="solid"/>
            </v:shape>
            <v:line style="position:absolute" from="8677,7255" to="8677,7300" stroked="true" strokeweight=".085pt" strokecolor="#000000">
              <v:stroke dashstyle="solid"/>
            </v:line>
            <v:line style="position:absolute" from="8677,7136" to="8788,7218" stroked="true" strokeweight=".085pt" strokecolor="#000000">
              <v:stroke dashstyle="solid"/>
            </v:line>
            <v:line style="position:absolute" from="8788,7218" to="8677,7300" stroked="true" strokeweight=".085pt" strokecolor="#000000">
              <v:stroke dashstyle="solid"/>
            </v:line>
            <v:shape style="position:absolute;left:8274;top:5139;width:403;height:46" coordorigin="8275,5139" coordsize="403,46" path="m8275,5185l8677,5185,8677,5139e" filled="false" stroked="true" strokeweight=".085pt" strokecolor="#000000">
              <v:path arrowok="t"/>
              <v:stroke dashstyle="solid"/>
            </v:shape>
            <v:shape style="position:absolute;left:0;top:13439;width:403;height:73" coordorigin="0,13439" coordsize="403,73" path="m8275,5257l8677,5257m8275,5257l8275,5185e" filled="false" stroked="true" strokeweight=".085pt" strokecolor="#000000">
              <v:path arrowok="t"/>
              <v:stroke dashstyle="solid"/>
            </v:shape>
            <v:line style="position:absolute" from="8677,5257" to="8677,5304" stroked="true" strokeweight=".085pt" strokecolor="#000000">
              <v:stroke dashstyle="solid"/>
            </v:line>
            <v:line style="position:absolute" from="8677,5139" to="8788,5222" stroked="true" strokeweight=".085pt" strokecolor="#000000">
              <v:stroke dashstyle="solid"/>
            </v:line>
            <v:line style="position:absolute" from="8788,5222" to="8677,5304" stroked="true" strokeweight=".085pt" strokecolor="#000000">
              <v:stroke dashstyle="solid"/>
            </v:line>
            <v:shape style="position:absolute;left:9332;top:854;width:1431;height:439" type="#_x0000_t75" stroked="false">
              <v:imagedata r:id="rId100" o:title=""/>
            </v:shape>
            <v:shape style="position:absolute;left:8728;top:1710;width:2191;height:551" type="#_x0000_t75" stroked="false">
              <v:imagedata r:id="rId101" o:title=""/>
            </v:shape>
            <v:shape style="position:absolute;left:9980;top:5579;width:539;height:272" type="#_x0000_t75" stroked="false">
              <v:imagedata r:id="rId102" o:title=""/>
            </v:shape>
            <v:line style="position:absolute" from="8610,2830" to="8610,900" stroked="true" strokeweight=".085pt" strokecolor="#000000">
              <v:stroke dashstyle="solid"/>
            </v:line>
            <v:line style="position:absolute" from="8610,900" to="8475,998" stroked="true" strokeweight=".085pt" strokecolor="#000000">
              <v:stroke dashstyle="solid"/>
            </v:line>
            <v:shape style="position:absolute;left:8028;top:2430;width:812;height:1164" type="#_x0000_t75" stroked="false">
              <v:imagedata r:id="rId103" o:title=""/>
            </v:shape>
            <v:shape style="position:absolute;left:9004;top:2431;width:1917;height:6724" coordorigin="9004,2431" coordsize="1917,6724" path="m10533,5847l10545,5847,10545,5747,10533,5747,10533,5847xm9004,6027l9915,5708m9678,2830l9678,2431m9678,2830l10921,2830m9678,2431l10921,2431m9678,4828l9678,4428m9678,4828l10921,4828m9678,4428l10921,4428m9678,6824l9678,6425m9678,6824l10921,6824m9678,6425l10921,6425m9678,9154l9678,8754m9678,9154l10921,9154m9678,8754l10921,8754e" filled="false" stroked="true" strokeweight=".085pt" strokecolor="#000000">
              <v:path arrowok="t"/>
              <v:stroke dashstyle="solid"/>
            </v:shape>
            <v:shape style="position:absolute;left:7994;top:7593;width:745;height:402" type="#_x0000_t75" stroked="false">
              <v:imagedata r:id="rId104" o:title=""/>
            </v:shape>
            <v:line style="position:absolute" from="9678,2530" to="9776,2431" stroked="true" strokeweight=".085pt" strokecolor="#000000">
              <v:stroke dashstyle="solid"/>
            </v:line>
            <v:line style="position:absolute" from="9678,2648" to="9895,2431" stroked="true" strokeweight=".085pt" strokecolor="#000000">
              <v:stroke dashstyle="solid"/>
            </v:line>
            <v:line style="position:absolute" from="9678,2765" to="10012,2431" stroked="true" strokeweight=".085pt" strokecolor="#000000">
              <v:stroke dashstyle="solid"/>
            </v:line>
            <v:line style="position:absolute" from="8029,4527" to="8129,4428" stroked="true" strokeweight=".085pt" strokecolor="#000000">
              <v:stroke dashstyle="solid"/>
            </v:line>
            <v:line style="position:absolute" from="9730,2830" to="10131,2431" stroked="true" strokeweight=".085pt" strokecolor="#000000">
              <v:stroke dashstyle="solid"/>
            </v:line>
            <v:line style="position:absolute" from="8029,4645" to="8246,4428" stroked="true" strokeweight=".085pt" strokecolor="#000000">
              <v:stroke dashstyle="solid"/>
            </v:line>
            <v:line style="position:absolute" from="9848,2830" to="10248,2431" stroked="true" strokeweight=".085pt" strokecolor="#000000">
              <v:stroke dashstyle="solid"/>
            </v:line>
            <v:line style="position:absolute" from="8029,4762" to="8365,4428" stroked="true" strokeweight=".085pt" strokecolor="#000000">
              <v:stroke dashstyle="solid"/>
            </v:line>
            <v:line style="position:absolute" from="9966,2830" to="10366,2431" stroked="true" strokeweight=".085pt" strokecolor="#000000">
              <v:stroke dashstyle="solid"/>
            </v:line>
            <v:line style="position:absolute" from="8082,4828" to="8482,4428" stroked="true" strokeweight=".085pt" strokecolor="#000000">
              <v:stroke dashstyle="solid"/>
            </v:line>
            <v:line style="position:absolute" from="10084,2830" to="10484,2431" stroked="true" strokeweight=".085pt" strokecolor="#000000">
              <v:stroke dashstyle="solid"/>
            </v:line>
            <v:line style="position:absolute" from="8200,4828" to="8601,4428" stroked="true" strokeweight=".085pt" strokecolor="#000000">
              <v:stroke dashstyle="solid"/>
            </v:line>
            <v:line style="position:absolute" from="10202,2830" to="10602,2431" stroked="true" strokeweight=".085pt" strokecolor="#000000">
              <v:stroke dashstyle="solid"/>
            </v:line>
            <v:line style="position:absolute" from="8318,4828" to="8718,4428" stroked="true" strokeweight=".085pt" strokecolor="#000000">
              <v:stroke dashstyle="solid"/>
            </v:line>
            <v:line style="position:absolute" from="10320,2830" to="10721,2431" stroked="true" strokeweight=".085pt" strokecolor="#000000">
              <v:stroke dashstyle="solid"/>
            </v:line>
            <v:line style="position:absolute" from="8436,4828" to="8810,4454" stroked="true" strokeweight=".085pt" strokecolor="#000000">
              <v:stroke dashstyle="solid"/>
            </v:line>
            <v:line style="position:absolute" from="10438,2830" to="10838,2431" stroked="true" strokeweight=".085pt" strokecolor="#000000">
              <v:stroke dashstyle="solid"/>
            </v:line>
            <v:line style="position:absolute" from="8554,4828" to="8810,4572" stroked="true" strokeweight=".085pt" strokecolor="#000000">
              <v:stroke dashstyle="solid"/>
            </v:line>
            <v:line style="position:absolute" from="10555,2830" to="10921,2467" stroked="true" strokeweight=".085pt" strokecolor="#000000">
              <v:stroke dashstyle="solid"/>
            </v:line>
            <v:line style="position:absolute" from="8672,4828" to="8810,4689" stroked="true" strokeweight=".085pt" strokecolor="#000000">
              <v:stroke dashstyle="solid"/>
            </v:line>
            <v:line style="position:absolute" from="10674,2830" to="10921,2585" stroked="true" strokeweight=".085pt" strokecolor="#000000">
              <v:stroke dashstyle="solid"/>
            </v:line>
            <v:line style="position:absolute" from="8790,4828" to="8810,4807" stroked="true" strokeweight=".085pt" strokecolor="#000000">
              <v:stroke dashstyle="solid"/>
            </v:line>
            <v:line style="position:absolute" from="10791,2830" to="10921,2702" stroked="true" strokeweight=".085pt" strokecolor="#000000">
              <v:stroke dashstyle="solid"/>
            </v:line>
            <v:line style="position:absolute" from="10910,2830" to="10921,2820" stroked="true" strokeweight=".085pt" strokecolor="#000000">
              <v:stroke dashstyle="solid"/>
            </v:line>
            <v:line style="position:absolute" from="9678,4530" to="9780,4428" stroked="true" strokeweight=".085pt" strokecolor="#000000">
              <v:stroke dashstyle="solid"/>
            </v:line>
            <v:line style="position:absolute" from="9678,4648" to="9898,4428" stroked="true" strokeweight=".085pt" strokecolor="#000000">
              <v:stroke dashstyle="solid"/>
            </v:line>
            <v:line style="position:absolute" from="9678,4766" to="10016,4428" stroked="true" strokeweight=".085pt" strokecolor="#000000">
              <v:stroke dashstyle="solid"/>
            </v:line>
            <v:line style="position:absolute" from="8029,6528" to="8132,6425" stroked="true" strokeweight=".085pt" strokecolor="#000000">
              <v:stroke dashstyle="solid"/>
            </v:line>
            <v:line style="position:absolute" from="9734,4828" to="10134,4428" stroked="true" strokeweight=".085pt" strokecolor="#000000">
              <v:stroke dashstyle="solid"/>
            </v:line>
            <v:line style="position:absolute" from="8029,6645" to="8250,6425" stroked="true" strokeweight=".085pt" strokecolor="#000000">
              <v:stroke dashstyle="solid"/>
            </v:line>
            <v:line style="position:absolute" from="9851,4828" to="10251,4428" stroked="true" strokeweight=".085pt" strokecolor="#000000">
              <v:stroke dashstyle="solid"/>
            </v:line>
            <v:line style="position:absolute" from="8029,6763" to="8368,6425" stroked="true" strokeweight=".085pt" strokecolor="#000000">
              <v:stroke dashstyle="solid"/>
            </v:line>
            <v:line style="position:absolute" from="9970,4828" to="10370,4428" stroked="true" strokeweight=".085pt" strokecolor="#000000">
              <v:stroke dashstyle="solid"/>
            </v:line>
            <v:line style="position:absolute" from="8085,6824" to="8486,6425" stroked="true" strokeweight=".085pt" strokecolor="#000000">
              <v:stroke dashstyle="solid"/>
            </v:line>
            <v:line style="position:absolute" from="10087,4828" to="10488,4428" stroked="true" strokeweight=".085pt" strokecolor="#000000">
              <v:stroke dashstyle="solid"/>
            </v:line>
            <v:line style="position:absolute" from="8204,6824" to="8604,6425" stroked="true" strokeweight=".085pt" strokecolor="#000000">
              <v:stroke dashstyle="solid"/>
            </v:line>
            <v:line style="position:absolute" from="10205,4828" to="10606,4428" stroked="true" strokeweight=".085pt" strokecolor="#000000">
              <v:stroke dashstyle="solid"/>
            </v:line>
            <v:line style="position:absolute" from="8321,6824" to="8722,6425" stroked="true" strokeweight=".085pt" strokecolor="#000000">
              <v:stroke dashstyle="solid"/>
            </v:line>
            <v:line style="position:absolute" from="10323,4828" to="10724,4428" stroked="true" strokeweight=".085pt" strokecolor="#000000">
              <v:stroke dashstyle="solid"/>
            </v:line>
            <v:line style="position:absolute" from="8440,6824" to="8810,6455" stroked="true" strokeweight=".085pt" strokecolor="#000000">
              <v:stroke dashstyle="solid"/>
            </v:line>
            <v:line style="position:absolute" from="10441,4828" to="10841,4428" stroked="true" strokeweight=".085pt" strokecolor="#000000">
              <v:stroke dashstyle="solid"/>
            </v:line>
            <v:line style="position:absolute" from="8557,6824" to="8810,6572" stroked="true" strokeweight=".085pt" strokecolor="#000000">
              <v:stroke dashstyle="solid"/>
            </v:line>
            <v:line style="position:absolute" from="10559,4828" to="10921,4468" stroked="true" strokeweight=".085pt" strokecolor="#000000">
              <v:stroke dashstyle="solid"/>
            </v:line>
            <v:line style="position:absolute" from="8675,6824" to="8810,6690" stroked="true" strokeweight=".085pt" strokecolor="#000000">
              <v:stroke dashstyle="solid"/>
            </v:line>
            <v:line style="position:absolute" from="10677,4828" to="10921,4585" stroked="true" strokeweight=".085pt" strokecolor="#000000">
              <v:stroke dashstyle="solid"/>
            </v:line>
            <v:line style="position:absolute" from="8793,6824" to="8810,6807" stroked="true" strokeweight=".085pt" strokecolor="#000000">
              <v:stroke dashstyle="solid"/>
            </v:line>
            <v:line style="position:absolute" from="10795,4828" to="10921,4703" stroked="true" strokeweight=".085pt" strokecolor="#000000">
              <v:stroke dashstyle="solid"/>
            </v:line>
            <v:line style="position:absolute" from="10913,4828" to="10921,4820" stroked="true" strokeweight=".085pt" strokecolor="#000000">
              <v:stroke dashstyle="solid"/>
            </v:line>
            <v:line style="position:absolute" from="9678,6530" to="9783,6425" stroked="true" strokeweight=".085pt" strokecolor="#000000">
              <v:stroke dashstyle="solid"/>
            </v:line>
            <v:line style="position:absolute" from="9678,6648" to="9901,6425" stroked="true" strokeweight=".085pt" strokecolor="#000000">
              <v:stroke dashstyle="solid"/>
            </v:line>
            <v:line style="position:absolute" from="9678,6766" to="10019,6425" stroked="true" strokeweight=".085pt" strokecolor="#000000">
              <v:stroke dashstyle="solid"/>
            </v:line>
            <v:line style="position:absolute" from="9737,6824" to="10137,6425" stroked="true" strokeweight=".085pt" strokecolor="#000000">
              <v:stroke dashstyle="solid"/>
            </v:line>
            <v:line style="position:absolute" from="9855,6824" to="10256,6425" stroked="true" strokeweight=".085pt" strokecolor="#000000">
              <v:stroke dashstyle="solid"/>
            </v:line>
            <v:line style="position:absolute" from="8029,8763" to="8038,8754" stroked="true" strokeweight=".085pt" strokecolor="#000000">
              <v:stroke dashstyle="solid"/>
            </v:line>
            <v:line style="position:absolute" from="9973,6824" to="10373,6425" stroked="true" strokeweight=".085pt" strokecolor="#000000">
              <v:stroke dashstyle="solid"/>
            </v:line>
            <v:line style="position:absolute" from="8029,8881" to="8156,8754" stroked="true" strokeweight=".085pt" strokecolor="#000000">
              <v:stroke dashstyle="solid"/>
            </v:line>
            <v:line style="position:absolute" from="10091,6824" to="10492,6425" stroked="true" strokeweight=".085pt" strokecolor="#000000">
              <v:stroke dashstyle="solid"/>
            </v:line>
            <v:line style="position:absolute" from="8029,8999" to="8274,8754" stroked="true" strokeweight=".085pt" strokecolor="#000000">
              <v:stroke dashstyle="solid"/>
            </v:line>
            <v:line style="position:absolute" from="10209,6824" to="10609,6425" stroked="true" strokeweight=".085pt" strokecolor="#000000">
              <v:stroke dashstyle="solid"/>
            </v:line>
            <v:line style="position:absolute" from="8029,9116" to="8392,8754" stroked="true" strokeweight=".085pt" strokecolor="#000000">
              <v:stroke dashstyle="solid"/>
            </v:line>
            <v:line style="position:absolute" from="10326,6824" to="10727,6425" stroked="true" strokeweight=".085pt" strokecolor="#000000">
              <v:stroke dashstyle="solid"/>
            </v:line>
            <v:line style="position:absolute" from="8109,9154" to="8509,8754" stroked="true" strokeweight=".085pt" strokecolor="#000000">
              <v:stroke dashstyle="solid"/>
            </v:line>
            <v:line style="position:absolute" from="10445,6824" to="10845,6425" stroked="true" strokeweight=".085pt" strokecolor="#000000">
              <v:stroke dashstyle="solid"/>
            </v:line>
            <v:line style="position:absolute" from="8228,9154" to="8628,8754" stroked="true" strokeweight=".085pt" strokecolor="#000000">
              <v:stroke dashstyle="solid"/>
            </v:line>
            <v:line style="position:absolute" from="10563,6824" to="10921,6467" stroked="true" strokeweight=".085pt" strokecolor="#000000">
              <v:stroke dashstyle="solid"/>
            </v:line>
            <v:line style="position:absolute" from="8345,9154" to="8745,8754" stroked="true" strokeweight=".085pt" strokecolor="#000000">
              <v:stroke dashstyle="solid"/>
            </v:line>
            <v:line style="position:absolute" from="10681,6824" to="10921,6586" stroked="true" strokeweight=".085pt" strokecolor="#000000">
              <v:stroke dashstyle="solid"/>
            </v:line>
            <v:line style="position:absolute" from="8463,9154" to="8810,8808" stroked="true" strokeweight=".085pt" strokecolor="#000000">
              <v:stroke dashstyle="solid"/>
            </v:line>
            <v:line style="position:absolute" from="10799,6824" to="10921,6703" stroked="true" strokeweight=".085pt" strokecolor="#000000">
              <v:stroke dashstyle="solid"/>
            </v:line>
            <v:line style="position:absolute" from="8581,9154" to="8810,8926" stroked="true" strokeweight=".085pt" strokecolor="#000000">
              <v:stroke dashstyle="solid"/>
            </v:line>
            <v:line style="position:absolute" from="10916,6824" to="10921,6821" stroked="true" strokeweight=".085pt" strokecolor="#000000">
              <v:stroke dashstyle="solid"/>
            </v:line>
            <v:line style="position:absolute" from="8699,9154" to="8810,9043" stroked="true" strokeweight=".085pt" strokecolor="#000000">
              <v:stroke dashstyle="solid"/>
            </v:line>
            <v:line style="position:absolute" from="9678,8766" to="9689,8754" stroked="true" strokeweight=".085pt" strokecolor="#000000">
              <v:stroke dashstyle="solid"/>
            </v:line>
            <v:line style="position:absolute" from="9678,8883" to="9807,8754" stroked="true" strokeweight=".085pt" strokecolor="#000000">
              <v:stroke dashstyle="solid"/>
            </v:line>
            <v:line style="position:absolute" from="9678,9002" to="9925,8754" stroked="true" strokeweight=".085pt" strokecolor="#000000">
              <v:stroke dashstyle="solid"/>
            </v:line>
            <v:line style="position:absolute" from="9678,9120" to="10043,8754" stroked="true" strokeweight=".085pt" strokecolor="#000000">
              <v:stroke dashstyle="solid"/>
            </v:line>
            <v:line style="position:absolute" from="9761,9154" to="10161,8754" stroked="true" strokeweight=".085pt" strokecolor="#000000">
              <v:stroke dashstyle="solid"/>
            </v:line>
            <v:line style="position:absolute" from="9878,9154" to="10279,8754" stroked="true" strokeweight=".085pt" strokecolor="#000000">
              <v:stroke dashstyle="solid"/>
            </v:line>
            <v:line style="position:absolute" from="9997,9154" to="10397,8754" stroked="true" strokeweight=".085pt" strokecolor="#000000">
              <v:stroke dashstyle="solid"/>
            </v:line>
            <v:line style="position:absolute" from="10114,9154" to="10514,8754" stroked="true" strokeweight=".085pt" strokecolor="#000000">
              <v:stroke dashstyle="solid"/>
            </v:line>
            <v:line style="position:absolute" from="10233,9154" to="10633,8754" stroked="true" strokeweight=".085pt" strokecolor="#000000">
              <v:stroke dashstyle="solid"/>
            </v:line>
            <v:line style="position:absolute" from="10350,9154" to="10751,8754" stroked="true" strokeweight=".085pt" strokecolor="#000000">
              <v:stroke dashstyle="solid"/>
            </v:line>
            <v:line style="position:absolute" from="10468,9154" to="10869,8754" stroked="true" strokeweight=".085pt" strokecolor="#000000">
              <v:stroke dashstyle="solid"/>
            </v:line>
            <v:line style="position:absolute" from="10586,9154" to="10921,8821" stroked="true" strokeweight=".085pt" strokecolor="#000000">
              <v:stroke dashstyle="solid"/>
            </v:line>
            <v:line style="position:absolute" from="10704,9154" to="10921,8939" stroked="true" strokeweight=".085pt" strokecolor="#000000">
              <v:stroke dashstyle="solid"/>
            </v:line>
            <v:line style="position:absolute" from="10822,9154" to="10921,9057" stroked="true" strokeweight=".085pt" strokecolor="#000000">
              <v:stroke dashstyle="solid"/>
            </v:line>
            <w10:wrap type="none"/>
          </v:group>
        </w:pict>
      </w:r>
      <w:r>
        <w:rPr>
          <w:sz w:val="20"/>
        </w:rPr>
        <w:t>Cada </w:t>
      </w:r>
      <w:r>
        <w:rPr>
          <w:i/>
          <w:sz w:val="20"/>
        </w:rPr>
        <w:t>conducto de extracción </w:t>
      </w:r>
      <w:r>
        <w:rPr>
          <w:sz w:val="20"/>
        </w:rPr>
        <w:t>debe disponer de un </w:t>
      </w:r>
      <w:r>
        <w:rPr>
          <w:i/>
          <w:sz w:val="20"/>
        </w:rPr>
        <w:t>aspirador híbri- </w:t>
      </w:r>
      <w:r>
        <w:rPr>
          <w:i/>
          <w:sz w:val="20"/>
        </w:rPr>
        <w:t>do </w:t>
      </w:r>
      <w:r>
        <w:rPr>
          <w:sz w:val="20"/>
        </w:rPr>
        <w:t>situado después de la última </w:t>
      </w:r>
      <w:r>
        <w:rPr>
          <w:i/>
          <w:sz w:val="20"/>
        </w:rPr>
        <w:t>abertura de extracción </w:t>
      </w:r>
      <w:r>
        <w:rPr>
          <w:sz w:val="20"/>
        </w:rPr>
        <w:t>en el senti- do del flujo del</w:t>
      </w:r>
      <w:r>
        <w:rPr>
          <w:spacing w:val="-4"/>
          <w:sz w:val="20"/>
        </w:rPr>
        <w:t> </w:t>
      </w:r>
      <w:r>
        <w:rPr>
          <w:sz w:val="20"/>
        </w:rPr>
        <w:t>aire.</w:t>
      </w:r>
    </w:p>
    <w:p>
      <w:pPr>
        <w:pStyle w:val="BodyText"/>
        <w:rPr>
          <w:sz w:val="22"/>
        </w:rPr>
      </w:pPr>
    </w:p>
    <w:p>
      <w:pPr>
        <w:spacing w:before="158"/>
        <w:ind w:left="1923" w:right="3088" w:firstLine="0"/>
        <w:jc w:val="left"/>
        <w:rPr>
          <w:sz w:val="16"/>
        </w:rPr>
      </w:pPr>
      <w:r>
        <w:rPr/>
        <w:pict>
          <v:line style="position:absolute;mso-position-horizontal-relative:page;mso-position-vertical-relative:paragraph;z-index:251874304" from="148.919998pt,5.024207pt" to="148.919998pt,29.384207pt" stroked="true" strokeweight=".48pt" strokecolor="#000000">
            <v:stroke dashstyle="solid"/>
            <w10:wrap type="none"/>
          </v:line>
        </w:pict>
      </w:r>
      <w:r>
        <w:rPr>
          <w:sz w:val="16"/>
        </w:rPr>
        <w:t>Se entiende que si dos conductos de extracción contiguos com- parten extractor, se refiere sólo a éste.</w:t>
      </w:r>
    </w:p>
    <w:p>
      <w:pPr>
        <w:pStyle w:val="BodyText"/>
        <w:spacing w:before="2"/>
        <w:rPr>
          <w:sz w:val="22"/>
        </w:rPr>
      </w:pPr>
    </w:p>
    <w:p>
      <w:pPr>
        <w:pStyle w:val="ListParagraph"/>
        <w:numPr>
          <w:ilvl w:val="0"/>
          <w:numId w:val="131"/>
        </w:numPr>
        <w:tabs>
          <w:tab w:pos="579" w:val="left" w:leader="none"/>
        </w:tabs>
        <w:spacing w:line="240" w:lineRule="auto" w:before="94" w:after="0"/>
        <w:ind w:left="578" w:right="0" w:hanging="361"/>
        <w:jc w:val="both"/>
        <w:rPr>
          <w:sz w:val="20"/>
        </w:rPr>
      </w:pPr>
      <w:r>
        <w:rPr>
          <w:sz w:val="20"/>
        </w:rPr>
        <w:t>Los conductos deben ser</w:t>
      </w:r>
      <w:r>
        <w:rPr>
          <w:spacing w:val="-3"/>
          <w:sz w:val="20"/>
        </w:rPr>
        <w:t> </w:t>
      </w:r>
      <w:r>
        <w:rPr>
          <w:sz w:val="20"/>
        </w:rPr>
        <w:t>verticales.</w:t>
      </w:r>
    </w:p>
    <w:p>
      <w:pPr>
        <w:pStyle w:val="ListParagraph"/>
        <w:numPr>
          <w:ilvl w:val="0"/>
          <w:numId w:val="131"/>
        </w:numPr>
        <w:tabs>
          <w:tab w:pos="579" w:val="left" w:leader="none"/>
        </w:tabs>
        <w:spacing w:line="240" w:lineRule="auto" w:before="60" w:after="0"/>
        <w:ind w:left="576" w:right="3420" w:hanging="358"/>
        <w:jc w:val="both"/>
        <w:rPr>
          <w:sz w:val="20"/>
        </w:rPr>
      </w:pPr>
      <w:r>
        <w:rPr>
          <w:sz w:val="20"/>
        </w:rPr>
        <w:t>Si los conductos son colectivos no deben servir a más de 6 plan- tas. Los conductos de las dos últimas plantas deben ser individua- les. La conexión de las </w:t>
      </w:r>
      <w:r>
        <w:rPr>
          <w:i/>
          <w:sz w:val="20"/>
        </w:rPr>
        <w:t>aberturas de extracción </w:t>
      </w:r>
      <w:r>
        <w:rPr>
          <w:sz w:val="20"/>
        </w:rPr>
        <w:t>con los conductos colectivos debe hacerse a través de ramales verticales cada uno de los cuales debe desembocar en el conducto inmediatamente por debajo del ramal siguiente (véase el ejemplo de la figura</w:t>
      </w:r>
      <w:r>
        <w:rPr>
          <w:spacing w:val="-29"/>
          <w:sz w:val="20"/>
        </w:rPr>
        <w:t> </w:t>
      </w:r>
      <w:r>
        <w:rPr>
          <w:sz w:val="20"/>
        </w:rPr>
        <w:t>3.3).</w:t>
      </w:r>
    </w:p>
    <w:p>
      <w:pPr>
        <w:pStyle w:val="ListParagraph"/>
        <w:numPr>
          <w:ilvl w:val="0"/>
          <w:numId w:val="131"/>
        </w:numPr>
        <w:tabs>
          <w:tab w:pos="579" w:val="left" w:leader="none"/>
        </w:tabs>
        <w:spacing w:line="240" w:lineRule="auto" w:before="60" w:after="0"/>
        <w:ind w:left="576" w:right="3421" w:hanging="358"/>
        <w:jc w:val="both"/>
        <w:rPr>
          <w:sz w:val="20"/>
        </w:rPr>
      </w:pPr>
      <w:r>
        <w:rPr>
          <w:sz w:val="20"/>
        </w:rPr>
        <w:t>Los conductos deben tener sección uniforme y carecer de obstácu- los en todo su</w:t>
      </w:r>
      <w:r>
        <w:rPr>
          <w:spacing w:val="-4"/>
          <w:sz w:val="20"/>
        </w:rPr>
        <w:t> </w:t>
      </w:r>
      <w:r>
        <w:rPr>
          <w:sz w:val="20"/>
        </w:rPr>
        <w:t>recorrido.</w:t>
      </w:r>
    </w:p>
    <w:p>
      <w:pPr>
        <w:pStyle w:val="BodyText"/>
      </w:pPr>
    </w:p>
    <w:p>
      <w:pPr>
        <w:pStyle w:val="BodyText"/>
        <w:spacing w:before="4"/>
        <w:rPr>
          <w:sz w:val="22"/>
        </w:rPr>
      </w:pPr>
    </w:p>
    <w:p>
      <w:pPr>
        <w:spacing w:before="94"/>
        <w:ind w:left="1802" w:right="3600" w:firstLine="0"/>
        <w:jc w:val="both"/>
        <w:rPr>
          <w:sz w:val="16"/>
        </w:rPr>
      </w:pPr>
      <w:r>
        <w:rPr/>
        <w:pict>
          <v:shape style="position:absolute;margin-left:144.240005pt;margin-top:1.824193pt;width:1pt;height:52.05pt;mso-position-horizontal-relative:page;mso-position-vertical-relative:paragraph;z-index:251875328" coordorigin="2885,36" coordsize="20,1041" path="m2904,36l2904,1077m2885,36l2885,1077e" filled="false" stroked="true" strokeweight=".48pt" strokecolor="#000000">
            <v:path arrowok="t"/>
            <v:stroke dashstyle="solid"/>
            <w10:wrap type="none"/>
          </v:shape>
        </w:pict>
      </w:r>
      <w:r>
        <w:rPr>
          <w:sz w:val="16"/>
        </w:rPr>
        <w:t>Se entiende que la sección debe ser uniforme en tramos del conducto con el mismo caudal, a medida que el caudal de un conducto aumenta por las aportaciones realizadas por las aberturas de extracción, la sección podría modificarse de forma correspondiente.</w:t>
      </w:r>
    </w:p>
    <w:p>
      <w:pPr>
        <w:pStyle w:val="BodyText"/>
        <w:spacing w:before="3"/>
        <w:rPr>
          <w:sz w:val="22"/>
        </w:rPr>
      </w:pPr>
    </w:p>
    <w:p>
      <w:pPr>
        <w:pStyle w:val="ListParagraph"/>
        <w:numPr>
          <w:ilvl w:val="0"/>
          <w:numId w:val="131"/>
        </w:numPr>
        <w:tabs>
          <w:tab w:pos="579" w:val="left" w:leader="none"/>
        </w:tabs>
        <w:spacing w:line="240" w:lineRule="auto" w:before="94" w:after="0"/>
        <w:ind w:left="576" w:right="3420" w:hanging="358"/>
        <w:jc w:val="both"/>
        <w:rPr>
          <w:sz w:val="20"/>
        </w:rPr>
      </w:pPr>
      <w:r>
        <w:rPr>
          <w:sz w:val="20"/>
        </w:rPr>
        <w:t>Los conductos que atraviesen elementos separadores de sectores de incendio deben cumplir las condiciones de resistencia a fuego del apartado 3 de la sección</w:t>
      </w:r>
      <w:r>
        <w:rPr>
          <w:spacing w:val="-8"/>
          <w:sz w:val="20"/>
        </w:rPr>
        <w:t> </w:t>
      </w:r>
      <w:r>
        <w:rPr>
          <w:sz w:val="20"/>
        </w:rPr>
        <w:t>SI1.</w:t>
      </w:r>
    </w:p>
    <w:p>
      <w:pPr>
        <w:pStyle w:val="ListParagraph"/>
        <w:numPr>
          <w:ilvl w:val="0"/>
          <w:numId w:val="131"/>
        </w:numPr>
        <w:tabs>
          <w:tab w:pos="579" w:val="left" w:leader="none"/>
        </w:tabs>
        <w:spacing w:line="240" w:lineRule="auto" w:before="60" w:after="0"/>
        <w:ind w:left="576" w:right="3421" w:hanging="358"/>
        <w:jc w:val="both"/>
        <w:rPr>
          <w:sz w:val="20"/>
        </w:rPr>
      </w:pPr>
      <w:r>
        <w:rPr>
          <w:sz w:val="20"/>
        </w:rPr>
        <w:t>Los conductos deben tener un acabado que dificulte su ensucia- miento y deben ser practicables para su registro y limpieza en la coronación.</w:t>
      </w:r>
    </w:p>
    <w:p>
      <w:pPr>
        <w:pStyle w:val="ListParagraph"/>
        <w:numPr>
          <w:ilvl w:val="0"/>
          <w:numId w:val="131"/>
        </w:numPr>
        <w:tabs>
          <w:tab w:pos="579" w:val="left" w:leader="none"/>
        </w:tabs>
        <w:spacing w:line="240" w:lineRule="auto" w:before="60" w:after="0"/>
        <w:ind w:left="576" w:right="3423" w:hanging="358"/>
        <w:jc w:val="both"/>
        <w:rPr>
          <w:sz w:val="20"/>
        </w:rPr>
      </w:pPr>
      <w:r>
        <w:rPr>
          <w:sz w:val="20"/>
        </w:rPr>
        <w:t>Los conductos deben ser estancos al aire para su presión de di- mensionado.</w:t>
      </w:r>
    </w:p>
    <w:p>
      <w:pPr>
        <w:pStyle w:val="BodyText"/>
      </w:pPr>
    </w:p>
    <w:p>
      <w:pPr>
        <w:pStyle w:val="BodyText"/>
      </w:pPr>
    </w:p>
    <w:p>
      <w:pPr>
        <w:pStyle w:val="BodyText"/>
      </w:pPr>
    </w:p>
    <w:p>
      <w:pPr>
        <w:pStyle w:val="BodyText"/>
      </w:pPr>
    </w:p>
    <w:p>
      <w:pPr>
        <w:pStyle w:val="BodyText"/>
      </w:pPr>
    </w:p>
    <w:p>
      <w:pPr>
        <w:pStyle w:val="BodyText"/>
        <w:spacing w:before="7"/>
        <w:rPr>
          <w:sz w:val="13"/>
        </w:rPr>
      </w:pPr>
      <w:r>
        <w:rPr/>
        <w:drawing>
          <wp:anchor distT="0" distB="0" distL="0" distR="0" allowOverlap="1" layoutInCell="1" locked="0" behindDoc="0" simplePos="0" relativeHeight="208">
            <wp:simplePos x="0" y="0"/>
            <wp:positionH relativeFrom="page">
              <wp:posOffset>5145119</wp:posOffset>
            </wp:positionH>
            <wp:positionV relativeFrom="paragraph">
              <wp:posOffset>162707</wp:posOffset>
            </wp:positionV>
            <wp:extent cx="301689" cy="168020"/>
            <wp:effectExtent l="0" t="0" r="0" b="0"/>
            <wp:wrapTopAndBottom/>
            <wp:docPr id="21" name="image97.png"/>
            <wp:cNvGraphicFramePr>
              <a:graphicFrameLocks noChangeAspect="1"/>
            </wp:cNvGraphicFramePr>
            <a:graphic>
              <a:graphicData uri="http://schemas.openxmlformats.org/drawingml/2006/picture">
                <pic:pic>
                  <pic:nvPicPr>
                    <pic:cNvPr id="22" name="image97.png"/>
                    <pic:cNvPicPr/>
                  </pic:nvPicPr>
                  <pic:blipFill>
                    <a:blip r:embed="rId105" cstate="print"/>
                    <a:stretch>
                      <a:fillRect/>
                    </a:stretch>
                  </pic:blipFill>
                  <pic:spPr>
                    <a:xfrm>
                      <a:off x="0" y="0"/>
                      <a:ext cx="301689" cy="168020"/>
                    </a:xfrm>
                    <a:prstGeom prst="rect">
                      <a:avLst/>
                    </a:prstGeom>
                  </pic:spPr>
                </pic:pic>
              </a:graphicData>
            </a:graphic>
          </wp:anchor>
        </w:drawing>
      </w:r>
      <w:r>
        <w:rPr/>
        <w:pict>
          <v:group style="position:absolute;margin-left:446.379486pt;margin-top:9.796639pt;width:8.35pt;height:25.7pt;mso-position-horizontal-relative:page;mso-position-vertical-relative:paragraph;z-index:-251444224;mso-wrap-distance-left:0;mso-wrap-distance-right:0" coordorigin="8928,196" coordsize="167,514">
            <v:shape style="position:absolute;left:8928;top:307;width:46;height:402" coordorigin="8928,307" coordsize="46,402" path="m8974,709l8974,307,8928,307e" filled="false" stroked="true" strokeweight=".085pt" strokecolor="#000000">
              <v:path arrowok="t"/>
              <v:stroke dashstyle="solid"/>
            </v:shape>
            <v:line style="position:absolute" from="9047,709" to="9047,307" stroked="true" strokeweight=".085pt" strokecolor="#000000">
              <v:stroke dashstyle="solid"/>
            </v:line>
            <v:line style="position:absolute" from="9047,709" to="8974,709" stroked="true" strokeweight=".085pt" strokecolor="#000000">
              <v:stroke dashstyle="solid"/>
            </v:line>
            <v:line style="position:absolute" from="9047,307" to="9093,307" stroked="true" strokeweight=".085pt" strokecolor="#000000">
              <v:stroke dashstyle="solid"/>
            </v:line>
            <v:line style="position:absolute" from="8928,307" to="9011,197" stroked="true" strokeweight=".085pt" strokecolor="#000000">
              <v:stroke dashstyle="solid"/>
            </v:line>
            <v:line style="position:absolute" from="9011,197" to="9093,307" stroked="true" strokeweight=".085pt" strokecolor="#000000">
              <v:stroke dashstyle="solid"/>
            </v:line>
            <w10:wrap type="topAndBottom"/>
          </v:group>
        </w:pict>
      </w:r>
    </w:p>
    <w:p>
      <w:pPr>
        <w:pStyle w:val="BodyText"/>
      </w:pPr>
    </w:p>
    <w:p>
      <w:pPr>
        <w:pStyle w:val="BodyText"/>
      </w:pPr>
    </w:p>
    <w:p>
      <w:pPr>
        <w:pStyle w:val="BodyText"/>
      </w:pPr>
    </w:p>
    <w:p>
      <w:pPr>
        <w:pStyle w:val="BodyText"/>
        <w:spacing w:before="8"/>
        <w:rPr>
          <w:sz w:val="27"/>
        </w:rPr>
      </w:pPr>
    </w:p>
    <w:p>
      <w:pPr>
        <w:spacing w:before="95"/>
        <w:ind w:left="7238" w:right="633" w:firstLine="614"/>
        <w:jc w:val="left"/>
        <w:rPr>
          <w:b/>
          <w:i/>
          <w:sz w:val="18"/>
        </w:rPr>
      </w:pPr>
      <w:r>
        <w:rPr/>
        <w:pict>
          <v:group style="position:absolute;margin-left:401.423492pt;margin-top:13.516697pt;width:144.7pt;height:20.05pt;mso-position-horizontal-relative:page;mso-position-vertical-relative:paragraph;z-index:-267095040" coordorigin="8028,270" coordsize="2894,401">
            <v:line style="position:absolute" from="8029,271" to="10921,271" stroked="true" strokeweight=".085pt" strokecolor="#000000">
              <v:stroke dashstyle="solid"/>
            </v:line>
            <v:line style="position:absolute" from="8029,303" to="8062,271" stroked="true" strokeweight=".085pt" strokecolor="#000000">
              <v:stroke dashstyle="solid"/>
            </v:line>
            <v:line style="position:absolute" from="8029,421" to="8179,271" stroked="true" strokeweight=".085pt" strokecolor="#000000">
              <v:stroke dashstyle="solid"/>
            </v:line>
            <v:line style="position:absolute" from="8029,539" to="8298,271" stroked="true" strokeweight=".085pt" strokecolor="#000000">
              <v:stroke dashstyle="solid"/>
            </v:line>
            <v:line style="position:absolute" from="8029,656" to="8416,271" stroked="true" strokeweight=".085pt" strokecolor="#000000">
              <v:stroke dashstyle="solid"/>
            </v:line>
            <v:line style="position:absolute" from="8133,670" to="8533,271" stroked="true" strokeweight=".085pt" strokecolor="#000000">
              <v:stroke dashstyle="solid"/>
            </v:line>
            <v:line style="position:absolute" from="8251,670" to="8652,271" stroked="true" strokeweight=".085pt" strokecolor="#000000">
              <v:stroke dashstyle="solid"/>
            </v:line>
            <v:line style="position:absolute" from="8369,670" to="8769,271" stroked="true" strokeweight=".085pt" strokecolor="#000000">
              <v:stroke dashstyle="solid"/>
            </v:line>
            <v:line style="position:absolute" from="8487,670" to="8888,271" stroked="true" strokeweight=".085pt" strokecolor="#000000">
              <v:stroke dashstyle="solid"/>
            </v:line>
            <v:line style="position:absolute" from="8605,670" to="9005,271" stroked="true" strokeweight=".085pt" strokecolor="#000000">
              <v:stroke dashstyle="solid"/>
            </v:line>
            <v:line style="position:absolute" from="8723,670" to="9123,271" stroked="true" strokeweight=".085pt" strokecolor="#000000">
              <v:stroke dashstyle="solid"/>
            </v:line>
            <v:line style="position:absolute" from="8841,670" to="9241,271" stroked="true" strokeweight=".085pt" strokecolor="#000000">
              <v:stroke dashstyle="solid"/>
            </v:line>
            <v:line style="position:absolute" from="8959,670" to="9359,271" stroked="true" strokeweight=".085pt" strokecolor="#000000">
              <v:stroke dashstyle="solid"/>
            </v:line>
            <v:line style="position:absolute" from="9077,670" to="9477,271" stroked="true" strokeweight=".085pt" strokecolor="#000000">
              <v:stroke dashstyle="solid"/>
            </v:line>
            <v:line style="position:absolute" from="9195,670" to="9595,271" stroked="true" strokeweight=".085pt" strokecolor="#000000">
              <v:stroke dashstyle="solid"/>
            </v:line>
            <v:line style="position:absolute" from="9312,670" to="9713,271" stroked="true" strokeweight=".085pt" strokecolor="#000000">
              <v:stroke dashstyle="solid"/>
            </v:line>
            <v:line style="position:absolute" from="9431,670" to="9831,271" stroked="true" strokeweight=".085pt" strokecolor="#000000">
              <v:stroke dashstyle="solid"/>
            </v:line>
            <v:line style="position:absolute" from="9548,670" to="9949,271" stroked="true" strokeweight=".085pt" strokecolor="#000000">
              <v:stroke dashstyle="solid"/>
            </v:line>
            <v:line style="position:absolute" from="9667,670" to="10067,271" stroked="true" strokeweight=".085pt" strokecolor="#000000">
              <v:stroke dashstyle="solid"/>
            </v:line>
            <v:line style="position:absolute" from="9784,670" to="10185,271" stroked="true" strokeweight=".085pt" strokecolor="#000000">
              <v:stroke dashstyle="solid"/>
            </v:line>
            <v:line style="position:absolute" from="9902,670" to="10303,271" stroked="true" strokeweight=".085pt" strokecolor="#000000">
              <v:stroke dashstyle="solid"/>
            </v:line>
            <v:line style="position:absolute" from="10020,670" to="10421,271" stroked="true" strokeweight=".085pt" strokecolor="#000000">
              <v:stroke dashstyle="solid"/>
            </v:line>
            <v:line style="position:absolute" from="10138,670" to="10538,271" stroked="true" strokeweight=".085pt" strokecolor="#000000">
              <v:stroke dashstyle="solid"/>
            </v:line>
            <v:line style="position:absolute" from="10257,670" to="10657,271" stroked="true" strokeweight=".085pt" strokecolor="#000000">
              <v:stroke dashstyle="solid"/>
            </v:line>
            <v:line style="position:absolute" from="10374,670" to="10774,271" stroked="true" strokeweight=".085pt" strokecolor="#000000">
              <v:stroke dashstyle="solid"/>
            </v:line>
            <v:line style="position:absolute" from="10492,670" to="10893,271" stroked="true" strokeweight=".085pt" strokecolor="#000000">
              <v:stroke dashstyle="solid"/>
            </v:line>
            <v:line style="position:absolute" from="10610,670" to="10921,361" stroked="true" strokeweight=".085pt" strokecolor="#000000">
              <v:stroke dashstyle="solid"/>
            </v:line>
            <v:line style="position:absolute" from="10728,670" to="10921,478" stroked="true" strokeweight=".085pt" strokecolor="#000000">
              <v:stroke dashstyle="solid"/>
            </v:line>
            <v:line style="position:absolute" from="10846,670" to="10921,596" stroked="true" strokeweight=".085pt" strokecolor="#000000">
              <v:stroke dashstyle="solid"/>
            </v:line>
            <w10:wrap type="none"/>
          </v:group>
        </w:pict>
      </w:r>
      <w:r>
        <w:rPr>
          <w:b/>
          <w:sz w:val="18"/>
        </w:rPr>
        <w:t>Figura 3.3 Ejemplo de </w:t>
      </w:r>
      <w:r>
        <w:rPr>
          <w:b/>
          <w:i/>
          <w:sz w:val="18"/>
        </w:rPr>
        <w:t>conducto de</w:t>
      </w:r>
    </w:p>
    <w:p>
      <w:pPr>
        <w:tabs>
          <w:tab w:pos="7118" w:val="left" w:leader="none"/>
          <w:tab w:pos="9720" w:val="left" w:leader="none"/>
        </w:tabs>
        <w:spacing w:before="0"/>
        <w:ind w:left="6829" w:right="243" w:firstLine="0"/>
        <w:jc w:val="center"/>
        <w:rPr>
          <w:b/>
          <w:i/>
          <w:sz w:val="18"/>
        </w:rPr>
      </w:pPr>
      <w:r>
        <w:rPr>
          <w:b/>
          <w:i/>
          <w:w w:val="100"/>
          <w:sz w:val="18"/>
          <w:u w:val="single"/>
        </w:rPr>
        <w:t> </w:t>
      </w:r>
      <w:r>
        <w:rPr>
          <w:b/>
          <w:i/>
          <w:sz w:val="18"/>
          <w:u w:val="single"/>
        </w:rPr>
        <w:tab/>
        <w:t>extracción</w:t>
      </w:r>
      <w:r>
        <w:rPr>
          <w:b/>
          <w:i/>
          <w:spacing w:val="-9"/>
          <w:sz w:val="18"/>
          <w:u w:val="single"/>
        </w:rPr>
        <w:t> </w:t>
      </w:r>
      <w:r>
        <w:rPr>
          <w:b/>
          <w:sz w:val="18"/>
          <w:u w:val="single"/>
        </w:rPr>
        <w:t>para</w:t>
      </w:r>
      <w:r>
        <w:rPr>
          <w:b/>
          <w:spacing w:val="-9"/>
          <w:sz w:val="18"/>
          <w:u w:val="single"/>
        </w:rPr>
        <w:t> </w:t>
      </w:r>
      <w:r>
        <w:rPr>
          <w:b/>
          <w:i/>
          <w:sz w:val="18"/>
          <w:u w:val="single"/>
        </w:rPr>
        <w:t>ventilación</w:t>
        <w:tab/>
      </w:r>
      <w:r>
        <w:rPr>
          <w:b/>
          <w:i/>
          <w:sz w:val="18"/>
        </w:rPr>
        <w:t> híbrida</w:t>
      </w:r>
    </w:p>
    <w:p>
      <w:pPr>
        <w:spacing w:before="7"/>
        <w:ind w:left="6829" w:right="241" w:firstLine="0"/>
        <w:jc w:val="center"/>
        <w:rPr>
          <w:b/>
          <w:sz w:val="18"/>
        </w:rPr>
      </w:pPr>
      <w:r>
        <w:rPr>
          <w:b/>
          <w:sz w:val="18"/>
        </w:rPr>
        <w:t>con conducto colectivo</w:t>
      </w:r>
    </w:p>
    <w:p>
      <w:pPr>
        <w:spacing w:after="0"/>
        <w:jc w:val="center"/>
        <w:rPr>
          <w:sz w:val="18"/>
        </w:rPr>
        <w:sectPr>
          <w:pgSz w:w="11910" w:h="16840"/>
          <w:pgMar w:header="724" w:footer="636" w:top="1320" w:bottom="820" w:left="1200" w:right="738"/>
        </w:sectPr>
      </w:pPr>
    </w:p>
    <w:p>
      <w:pPr>
        <w:pStyle w:val="ListParagraph"/>
        <w:numPr>
          <w:ilvl w:val="2"/>
          <w:numId w:val="128"/>
        </w:numPr>
        <w:tabs>
          <w:tab w:pos="939" w:val="left" w:leader="none"/>
        </w:tabs>
        <w:spacing w:line="240" w:lineRule="auto" w:before="91" w:after="0"/>
        <w:ind w:left="938" w:right="0" w:hanging="721"/>
        <w:jc w:val="both"/>
        <w:rPr>
          <w:b/>
          <w:sz w:val="20"/>
        </w:rPr>
      </w:pPr>
      <w:r>
        <w:rPr>
          <w:b/>
          <w:i/>
          <w:sz w:val="20"/>
        </w:rPr>
        <w:t>Conductos de extracción </w:t>
      </w:r>
      <w:r>
        <w:rPr>
          <w:b/>
          <w:sz w:val="20"/>
        </w:rPr>
        <w:t>para ventilación</w:t>
      </w:r>
      <w:r>
        <w:rPr>
          <w:b/>
          <w:spacing w:val="-6"/>
          <w:sz w:val="20"/>
        </w:rPr>
        <w:t> </w:t>
      </w:r>
      <w:r>
        <w:rPr>
          <w:b/>
          <w:sz w:val="20"/>
        </w:rPr>
        <w:t>mecánica</w:t>
      </w:r>
    </w:p>
    <w:p>
      <w:pPr>
        <w:pStyle w:val="ListParagraph"/>
        <w:numPr>
          <w:ilvl w:val="0"/>
          <w:numId w:val="132"/>
        </w:numPr>
        <w:tabs>
          <w:tab w:pos="579" w:val="left" w:leader="none"/>
        </w:tabs>
        <w:spacing w:line="240" w:lineRule="auto" w:before="98" w:after="0"/>
        <w:ind w:left="575" w:right="389" w:hanging="358"/>
        <w:jc w:val="both"/>
        <w:rPr>
          <w:sz w:val="20"/>
        </w:rPr>
      </w:pPr>
      <w:r>
        <w:rPr>
          <w:sz w:val="20"/>
        </w:rPr>
        <w:t>Cada </w:t>
      </w:r>
      <w:r>
        <w:rPr>
          <w:i/>
          <w:sz w:val="20"/>
        </w:rPr>
        <w:t>conducto de extracción </w:t>
      </w:r>
      <w:r>
        <w:rPr>
          <w:sz w:val="20"/>
        </w:rPr>
        <w:t>debe disponer de un </w:t>
      </w:r>
      <w:r>
        <w:rPr>
          <w:i/>
          <w:sz w:val="20"/>
        </w:rPr>
        <w:t>aspirador mecánico </w:t>
      </w:r>
      <w:r>
        <w:rPr>
          <w:sz w:val="20"/>
        </w:rPr>
        <w:t>situado, salvo en el caso de la </w:t>
      </w:r>
      <w:r>
        <w:rPr>
          <w:i/>
          <w:sz w:val="20"/>
        </w:rPr>
        <w:t>ventilación </w:t>
      </w:r>
      <w:r>
        <w:rPr>
          <w:sz w:val="20"/>
        </w:rPr>
        <w:t>específica de la cocina</w:t>
      </w:r>
      <w:r>
        <w:rPr>
          <w:i/>
          <w:sz w:val="20"/>
        </w:rPr>
        <w:t>, </w:t>
      </w:r>
      <w:r>
        <w:rPr>
          <w:sz w:val="20"/>
        </w:rPr>
        <w:t>después de la última </w:t>
      </w:r>
      <w:r>
        <w:rPr>
          <w:i/>
          <w:sz w:val="20"/>
        </w:rPr>
        <w:t>abertura de extracción </w:t>
      </w:r>
      <w:r>
        <w:rPr>
          <w:sz w:val="20"/>
        </w:rPr>
        <w:t>en el sentido del flujo del aire, pudiendo varios conductos compartir un mismo aspirador (véanse los ejemplos de la fi- gura</w:t>
      </w:r>
      <w:r>
        <w:rPr>
          <w:spacing w:val="-3"/>
          <w:sz w:val="20"/>
        </w:rPr>
        <w:t> </w:t>
      </w:r>
      <w:r>
        <w:rPr>
          <w:sz w:val="20"/>
        </w:rPr>
        <w:t>3.4),</w:t>
      </w:r>
      <w:r>
        <w:rPr>
          <w:spacing w:val="-3"/>
          <w:sz w:val="20"/>
        </w:rPr>
        <w:t> </w:t>
      </w:r>
      <w:r>
        <w:rPr>
          <w:sz w:val="20"/>
        </w:rPr>
        <w:t>excepto</w:t>
      </w:r>
      <w:r>
        <w:rPr>
          <w:spacing w:val="-3"/>
          <w:sz w:val="20"/>
        </w:rPr>
        <w:t> </w:t>
      </w:r>
      <w:r>
        <w:rPr>
          <w:sz w:val="20"/>
        </w:rPr>
        <w:t>en</w:t>
      </w:r>
      <w:r>
        <w:rPr>
          <w:spacing w:val="-2"/>
          <w:sz w:val="20"/>
        </w:rPr>
        <w:t> </w:t>
      </w:r>
      <w:r>
        <w:rPr>
          <w:sz w:val="20"/>
        </w:rPr>
        <w:t>el</w:t>
      </w:r>
      <w:r>
        <w:rPr>
          <w:spacing w:val="-3"/>
          <w:sz w:val="20"/>
        </w:rPr>
        <w:t> </w:t>
      </w:r>
      <w:r>
        <w:rPr>
          <w:sz w:val="20"/>
        </w:rPr>
        <w:t>caso</w:t>
      </w:r>
      <w:r>
        <w:rPr>
          <w:spacing w:val="-3"/>
          <w:sz w:val="20"/>
        </w:rPr>
        <w:t> </w:t>
      </w:r>
      <w:r>
        <w:rPr>
          <w:sz w:val="20"/>
        </w:rPr>
        <w:t>de</w:t>
      </w:r>
      <w:r>
        <w:rPr>
          <w:spacing w:val="-1"/>
          <w:sz w:val="20"/>
        </w:rPr>
        <w:t> </w:t>
      </w:r>
      <w:r>
        <w:rPr>
          <w:sz w:val="20"/>
        </w:rPr>
        <w:t>los</w:t>
      </w:r>
      <w:r>
        <w:rPr>
          <w:spacing w:val="-3"/>
          <w:sz w:val="20"/>
        </w:rPr>
        <w:t> </w:t>
      </w:r>
      <w:r>
        <w:rPr>
          <w:sz w:val="20"/>
        </w:rPr>
        <w:t>conductos</w:t>
      </w:r>
      <w:r>
        <w:rPr>
          <w:spacing w:val="-3"/>
          <w:sz w:val="20"/>
        </w:rPr>
        <w:t> </w:t>
      </w:r>
      <w:r>
        <w:rPr>
          <w:sz w:val="20"/>
        </w:rPr>
        <w:t>de</w:t>
      </w:r>
      <w:r>
        <w:rPr>
          <w:spacing w:val="-2"/>
          <w:sz w:val="20"/>
        </w:rPr>
        <w:t> </w:t>
      </w:r>
      <w:r>
        <w:rPr>
          <w:sz w:val="20"/>
        </w:rPr>
        <w:t>los</w:t>
      </w:r>
      <w:r>
        <w:rPr>
          <w:spacing w:val="-3"/>
          <w:sz w:val="20"/>
        </w:rPr>
        <w:t> </w:t>
      </w:r>
      <w:r>
        <w:rPr>
          <w:sz w:val="20"/>
        </w:rPr>
        <w:t>garajes,</w:t>
      </w:r>
      <w:r>
        <w:rPr>
          <w:spacing w:val="-2"/>
          <w:sz w:val="20"/>
        </w:rPr>
        <w:t> </w:t>
      </w:r>
      <w:r>
        <w:rPr>
          <w:sz w:val="20"/>
        </w:rPr>
        <w:t>cuando</w:t>
      </w:r>
      <w:r>
        <w:rPr>
          <w:spacing w:val="-3"/>
          <w:sz w:val="20"/>
        </w:rPr>
        <w:t> </w:t>
      </w:r>
      <w:r>
        <w:rPr>
          <w:sz w:val="20"/>
        </w:rPr>
        <w:t>se</w:t>
      </w:r>
      <w:r>
        <w:rPr>
          <w:spacing w:val="-2"/>
          <w:sz w:val="20"/>
        </w:rPr>
        <w:t> </w:t>
      </w:r>
      <w:r>
        <w:rPr>
          <w:sz w:val="20"/>
        </w:rPr>
        <w:t>exija</w:t>
      </w:r>
      <w:r>
        <w:rPr>
          <w:spacing w:val="-3"/>
          <w:sz w:val="20"/>
        </w:rPr>
        <w:t> </w:t>
      </w:r>
      <w:r>
        <w:rPr>
          <w:sz w:val="20"/>
        </w:rPr>
        <w:t>más</w:t>
      </w:r>
      <w:r>
        <w:rPr>
          <w:spacing w:val="-3"/>
          <w:sz w:val="20"/>
        </w:rPr>
        <w:t> </w:t>
      </w:r>
      <w:r>
        <w:rPr>
          <w:sz w:val="20"/>
        </w:rPr>
        <w:t>de</w:t>
      </w:r>
      <w:r>
        <w:rPr>
          <w:spacing w:val="-2"/>
          <w:sz w:val="20"/>
        </w:rPr>
        <w:t> </w:t>
      </w:r>
      <w:r>
        <w:rPr>
          <w:sz w:val="20"/>
        </w:rPr>
        <w:t>una</w:t>
      </w:r>
      <w:r>
        <w:rPr>
          <w:spacing w:val="-3"/>
          <w:sz w:val="20"/>
        </w:rPr>
        <w:t> </w:t>
      </w:r>
      <w:r>
        <w:rPr>
          <w:sz w:val="20"/>
        </w:rPr>
        <w:t>red.</w:t>
      </w:r>
    </w:p>
    <w:p>
      <w:pPr>
        <w:pStyle w:val="BodyText"/>
        <w:spacing w:before="8"/>
        <w:rPr>
          <w:sz w:val="28"/>
        </w:rPr>
      </w:pPr>
      <w:r>
        <w:rPr/>
        <w:pict>
          <v:group style="position:absolute;margin-left:108.094002pt;margin-top:18.479944pt;width:172.85pt;height:139.5pt;mso-position-horizontal-relative:page;mso-position-vertical-relative:paragraph;z-index:-251437056;mso-wrap-distance-left:0;mso-wrap-distance-right:0" coordorigin="2162,370" coordsize="3457,2790">
            <v:line style="position:absolute" from="3416,3155" to="3429,3155" stroked="true" strokeweight=".213pt" strokecolor="#808080">
              <v:stroke dashstyle="solid"/>
            </v:line>
            <v:line style="position:absolute" from="3506,3155" to="3807,3155" stroked="true" strokeweight=".213pt" strokecolor="#808080">
              <v:stroke dashstyle="solid"/>
            </v:line>
            <v:line style="position:absolute" from="3884,3155" to="3896,3155" stroked="true" strokeweight=".213pt" strokecolor="#808080">
              <v:stroke dashstyle="solid"/>
            </v:line>
            <v:shape style="position:absolute;left:2161;top:369;width:3457;height:2790" type="#_x0000_t75" stroked="false">
              <v:imagedata r:id="rId106" o:title=""/>
            </v:shape>
            <w10:wrap type="topAndBottom"/>
          </v:group>
        </w:pict>
      </w:r>
      <w:r>
        <w:rPr/>
        <w:pict>
          <v:group style="position:absolute;margin-left:330.194pt;margin-top:18.479944pt;width:172.75pt;height:139.5pt;mso-position-horizontal-relative:page;mso-position-vertical-relative:paragraph;z-index:-251436032;mso-wrap-distance-left:0;mso-wrap-distance-right:0" coordorigin="6604,370" coordsize="3455,2790">
            <v:line style="position:absolute" from="7858,3155" to="7871,3155" stroked="true" strokeweight=".213pt" strokecolor="#808080">
              <v:stroke dashstyle="solid"/>
            </v:line>
            <v:line style="position:absolute" from="7946,3155" to="8249,3155" stroked="true" strokeweight=".213pt" strokecolor="#808080">
              <v:stroke dashstyle="solid"/>
            </v:line>
            <v:line style="position:absolute" from="8326,3155" to="8336,3155" stroked="true" strokeweight=".213pt" strokecolor="#808080">
              <v:stroke dashstyle="solid"/>
            </v:line>
            <v:shape style="position:absolute;left:6603;top:369;width:3455;height:2790" type="#_x0000_t75" stroked="false">
              <v:imagedata r:id="rId107" o:title=""/>
            </v:shape>
            <w10:wrap type="topAndBottom"/>
          </v:group>
        </w:pict>
      </w:r>
    </w:p>
    <w:p>
      <w:pPr>
        <w:pStyle w:val="BodyText"/>
        <w:spacing w:before="10"/>
        <w:rPr>
          <w:sz w:val="8"/>
        </w:rPr>
      </w:pPr>
    </w:p>
    <w:p>
      <w:pPr>
        <w:pStyle w:val="BodyText"/>
        <w:tabs>
          <w:tab w:pos="5050" w:val="left" w:leader="none"/>
        </w:tabs>
        <w:ind w:left="608"/>
      </w:pPr>
      <w:r>
        <w:rPr/>
        <w:pict>
          <v:group style="width:205.9pt;height:65.5pt;mso-position-horizontal-relative:char;mso-position-vertical-relative:line" coordorigin="0,0" coordsize="4118,1310">
            <v:line style="position:absolute" from="2383,371" to="3659,371" stroked="true" strokeweight=".213pt" strokecolor="#000000">
              <v:stroke dashstyle="solid"/>
            </v:line>
            <v:line style="position:absolute" from="2161,4" to="2464,4" stroked="true" strokeweight=".213pt" strokecolor="#808080">
              <v:stroke dashstyle="solid"/>
            </v:line>
            <v:line style="position:absolute" from="2539,4" to="2552,4" stroked="true" strokeweight=".213pt" strokecolor="#808080">
              <v:stroke dashstyle="solid"/>
            </v:line>
            <v:line style="position:absolute" from="2629,4" to="2929,4" stroked="true" strokeweight=".213pt" strokecolor="#808080">
              <v:stroke dashstyle="solid"/>
            </v:line>
            <v:shape style="position:absolute;left:2383;top:4;width:271;height:382" coordorigin="2383,4" coordsize="271,382" path="m2383,4l2383,386,2654,386e" filled="false" stroked="true" strokeweight=".213pt" strokecolor="#000000">
              <v:path arrowok="t"/>
              <v:stroke dashstyle="solid"/>
            </v:shape>
            <v:line style="position:absolute" from="1229,4" to="1532,4" stroked="true" strokeweight=".213pt" strokecolor="#808080">
              <v:stroke dashstyle="solid"/>
            </v:line>
            <v:line style="position:absolute" from="516,371" to="1282,371" stroked="true" strokeweight=".213pt" strokecolor="#000000">
              <v:stroke dashstyle="solid"/>
            </v:line>
            <v:line style="position:absolute" from="1282,4" to="1282,435" stroked="true" strokeweight=".213pt" strokecolor="#000000">
              <v:stroke dashstyle="solid"/>
            </v:line>
            <v:line style="position:absolute" from="1434,371" to="2232,371" stroked="true" strokeweight=".213pt" strokecolor="#000000">
              <v:stroke dashstyle="solid"/>
            </v:line>
            <v:line style="position:absolute" from="1434,4" to="1434,386" stroked="true" strokeweight=".213pt" strokecolor="#000000">
              <v:stroke dashstyle="solid"/>
            </v:line>
            <v:line style="position:absolute" from="1282,435" to="1705,435" stroked="true" strokeweight=".213pt" strokecolor="#000000">
              <v:stroke dashstyle="solid"/>
            </v:line>
            <v:line style="position:absolute" from="1434,386" to="1705,386" stroked="true" strokeweight=".213pt" strokecolor="#000000">
              <v:stroke dashstyle="solid"/>
            </v:line>
            <v:shape style="position:absolute;left:2231;top:4;width:423;height:431" coordorigin="2232,4" coordsize="423,431" path="m2232,4l2232,435,2654,435e" filled="false" stroked="true" strokeweight=".213pt" strokecolor="#000000">
              <v:path arrowok="t"/>
              <v:stroke dashstyle="solid"/>
            </v:shape>
            <v:line style="position:absolute" from="2176,1126" to="3659,1126" stroked="true" strokeweight=".213pt" strokecolor="#000000">
              <v:stroke dashstyle="solid"/>
            </v:line>
            <v:line style="position:absolute" from="516,1126" to="2176,1126" stroked="true" strokeweight=".213pt" strokecolor="#000000">
              <v:stroke dashstyle="solid"/>
            </v:line>
            <v:line style="position:absolute" from="2176,371" to="2176,1126" stroked="true" strokeweight=".213pt" strokecolor="#000000">
              <v:stroke dashstyle="solid"/>
            </v:line>
            <v:line style="position:absolute" from="2176,4" to="2176,371" stroked="true" strokeweight=".213pt" strokecolor="#000000">
              <v:stroke dashstyle="solid"/>
            </v:line>
            <v:shape style="position:absolute;left:3560;top:2;width:248;height:2" coordorigin="3561,2" coordsize="248,0" path="m3561,2l3808,2,3808,2e" filled="false" stroked="true" strokeweight=".213pt" strokecolor="#808080">
              <v:path arrowok="t"/>
              <v:stroke dashstyle="solid"/>
            </v:shape>
            <v:shape style="position:absolute;left:3658;top:2;width:457;height:1306" coordorigin="3659,2" coordsize="457,1306" path="m3659,2l3659,1308,4116,1308e" filled="false" stroked="true" strokeweight=".213pt" strokecolor="#808080">
              <v:path arrowok="t"/>
              <v:stroke dashstyle="solid"/>
            </v:shape>
            <v:line style="position:absolute" from="352,6" to="600,6" stroked="true" strokeweight=".213pt" strokecolor="#808080">
              <v:stroke dashstyle="solid"/>
            </v:line>
            <v:shape style="position:absolute;left:2;top:6;width:515;height:1302" coordorigin="2,6" coordsize="515,1302" path="m2,1308l516,1308,516,6e" filled="false" stroked="true" strokeweight=".213pt" strokecolor="#808080">
              <v:path arrowok="t"/>
              <v:stroke dashstyle="solid"/>
            </v:shape>
          </v:group>
        </w:pict>
      </w:r>
      <w:r>
        <w:rPr/>
      </w:r>
      <w:r>
        <w:rPr/>
        <w:tab/>
      </w:r>
      <w:r>
        <w:rPr/>
        <w:pict>
          <v:group style="width:205.9pt;height:65.5pt;mso-position-horizontal-relative:char;mso-position-vertical-relative:line" coordorigin="0,0" coordsize="4118,1310">
            <v:line style="position:absolute" from="352,6" to="600,6" stroked="true" strokeweight=".213pt" strokecolor="#808080">
              <v:stroke dashstyle="solid"/>
            </v:line>
            <v:line style="position:absolute" from="1229,4" to="1532,4" stroked="true" strokeweight=".213pt" strokecolor="#808080">
              <v:stroke dashstyle="solid"/>
            </v:line>
            <v:line style="position:absolute" from="2161,4" to="2464,4" stroked="true" strokeweight=".213pt" strokecolor="#808080">
              <v:stroke dashstyle="solid"/>
            </v:line>
            <v:line style="position:absolute" from="2176,4" to="2176,371" stroked="true" strokeweight=".213pt" strokecolor="#000000">
              <v:stroke dashstyle="solid"/>
            </v:line>
            <v:line style="position:absolute" from="516,371" to="1282,371" stroked="true" strokeweight=".213pt" strokecolor="#000000">
              <v:stroke dashstyle="solid"/>
            </v:line>
            <v:line style="position:absolute" from="1282,435" to="1705,435" stroked="true" strokeweight=".213pt" strokecolor="#000000">
              <v:stroke dashstyle="solid"/>
            </v:line>
            <v:line style="position:absolute" from="1434,386" to="1705,386" stroked="true" strokeweight=".213pt" strokecolor="#000000">
              <v:stroke dashstyle="solid"/>
            </v:line>
            <v:line style="position:absolute" from="1434,371" to="2232,371" stroked="true" strokeweight=".213pt" strokecolor="#000000">
              <v:stroke dashstyle="solid"/>
            </v:line>
            <v:line style="position:absolute" from="1434,4" to="1434,386" stroked="true" strokeweight=".213pt" strokecolor="#000000">
              <v:stroke dashstyle="solid"/>
            </v:line>
            <v:line style="position:absolute" from="1282,4" to="1282,435" stroked="true" strokeweight=".213pt" strokecolor="#000000">
              <v:stroke dashstyle="solid"/>
            </v:line>
            <v:line style="position:absolute" from="516,1126" to="2151,1126" stroked="true" strokeweight=".213pt" strokecolor="#000000">
              <v:stroke dashstyle="solid"/>
            </v:line>
            <v:line style="position:absolute" from="2176,1126" to="3659,1126" stroked="true" strokeweight=".213pt" strokecolor="#000000">
              <v:stroke dashstyle="solid"/>
            </v:line>
            <v:line style="position:absolute" from="2176,371" to="2176,1126" stroked="true" strokeweight=".213pt" strokecolor="#000000">
              <v:stroke dashstyle="solid"/>
            </v:line>
            <v:line style="position:absolute" from="2232,435" to="2654,435" stroked="true" strokeweight=".213pt" strokecolor="#000000">
              <v:stroke dashstyle="solid"/>
            </v:line>
            <v:line style="position:absolute" from="2232,4" to="2232,435" stroked="true" strokeweight=".213pt" strokecolor="#000000">
              <v:stroke dashstyle="solid"/>
            </v:line>
            <v:line style="position:absolute" from="2381,386" to="2654,386" stroked="true" strokeweight=".213pt" strokecolor="#000000">
              <v:stroke dashstyle="solid"/>
            </v:line>
            <v:line style="position:absolute" from="2381,4" to="2381,386" stroked="true" strokeweight=".213pt" strokecolor="#000000">
              <v:stroke dashstyle="solid"/>
            </v:line>
            <v:line style="position:absolute" from="2381,371" to="3659,371" stroked="true" strokeweight=".213pt" strokecolor="#000000">
              <v:stroke dashstyle="solid"/>
            </v:line>
            <v:shape style="position:absolute;left:3558;top:2;width:248;height:2" coordorigin="3559,2" coordsize="248,0" path="m3559,2l3806,2,3806,2e" filled="false" stroked="true" strokeweight=".213pt" strokecolor="#808080">
              <v:path arrowok="t"/>
              <v:stroke dashstyle="solid"/>
            </v:shape>
            <v:shape style="position:absolute;left:3658;top:2;width:457;height:1306" coordorigin="3659,2" coordsize="457,1306" path="m3659,2l3659,1308,4116,1308e" filled="false" stroked="true" strokeweight=".213pt" strokecolor="#808080">
              <v:path arrowok="t"/>
              <v:stroke dashstyle="solid"/>
            </v:shape>
            <v:shape style="position:absolute;left:2;top:6;width:515;height:1302" coordorigin="2,6" coordsize="515,1302" path="m2,1308l516,1308,514,6e" filled="false" stroked="true" strokeweight=".213pt" strokecolor="#808080">
              <v:path arrowok="t"/>
              <v:stroke dashstyle="solid"/>
            </v:shape>
          </v:group>
        </w:pict>
      </w:r>
      <w:r>
        <w:rPr/>
      </w:r>
    </w:p>
    <w:p>
      <w:pPr>
        <w:spacing w:after="0"/>
        <w:sectPr>
          <w:pgSz w:w="11910" w:h="16840"/>
          <w:pgMar w:header="724" w:footer="636" w:top="1320" w:bottom="820" w:left="1200" w:right="738"/>
        </w:sectPr>
      </w:pPr>
    </w:p>
    <w:p>
      <w:pPr>
        <w:spacing w:line="160" w:lineRule="exact" w:before="0"/>
        <w:ind w:left="262" w:right="0" w:firstLine="0"/>
        <w:jc w:val="center"/>
        <w:rPr>
          <w:b/>
          <w:sz w:val="16"/>
        </w:rPr>
      </w:pPr>
      <w:r>
        <w:rPr/>
        <w:pict>
          <v:line style="position:absolute;mso-position-horizontal-relative:page;mso-position-vertical-relative:paragraph;z-index:251883520" from="346.302002pt,-67.172997pt" to="346.942002pt,-67.172997pt" stroked="true" strokeweight=".213pt" strokecolor="#808080">
            <v:stroke dashstyle="solid"/>
            <w10:wrap type="none"/>
          </v:line>
        </w:pict>
      </w:r>
      <w:r>
        <w:rPr/>
        <w:pict>
          <v:line style="position:absolute;mso-position-horizontal-relative:page;mso-position-vertical-relative:paragraph;z-index:251884544" from="350.675995pt,-67.279999pt" to="365.823995pt,-67.279999pt" stroked="true" strokeweight=".213pt" strokecolor="#808080">
            <v:stroke dashstyle="solid"/>
            <w10:wrap type="none"/>
          </v:line>
        </w:pict>
      </w:r>
      <w:r>
        <w:rPr/>
        <w:pict>
          <v:line style="position:absolute;mso-position-horizontal-relative:page;mso-position-vertical-relative:paragraph;z-index:251885568" from="369.664001pt,-67.279999pt" to="370.304001pt,-67.279999pt" stroked="true" strokeweight=".213pt" strokecolor="#808080">
            <v:stroke dashstyle="solid"/>
            <w10:wrap type="none"/>
          </v:line>
        </w:pict>
      </w:r>
      <w:r>
        <w:rPr/>
        <w:pict>
          <v:line style="position:absolute;mso-position-horizontal-relative:page;mso-position-vertical-relative:paragraph;z-index:251886592" from="392.920013pt,-67.279999pt" to="393.560013pt,-67.279999pt" stroked="true" strokeweight=".213pt" strokecolor="#808080">
            <v:stroke dashstyle="solid"/>
            <w10:wrap type="none"/>
          </v:line>
        </w:pict>
      </w:r>
      <w:r>
        <w:rPr/>
        <w:pict>
          <v:line style="position:absolute;mso-position-horizontal-relative:page;mso-position-vertical-relative:paragraph;z-index:251887616" from="397.294006pt,-67.279999pt" to="412.442006pt,-67.279999pt" stroked="true" strokeweight=".213pt" strokecolor="#808080">
            <v:stroke dashstyle="solid"/>
            <w10:wrap type="none"/>
          </v:line>
        </w:pict>
      </w:r>
      <w:r>
        <w:rPr/>
        <w:pict>
          <v:line style="position:absolute;mso-position-horizontal-relative:page;mso-position-vertical-relative:paragraph;z-index:251888640" from="416.282013pt,-67.279999pt" to="416.815013pt,-67.279999pt" stroked="true" strokeweight=".213pt" strokecolor="#808080">
            <v:stroke dashstyle="solid"/>
            <w10:wrap type="none"/>
          </v:line>
        </w:pict>
      </w:r>
      <w:r>
        <w:rPr/>
        <w:pict>
          <v:line style="position:absolute;mso-position-horizontal-relative:page;mso-position-vertical-relative:paragraph;z-index:251889664" from="439.537994pt,-67.279999pt" to="440.177994pt,-67.279999pt" stroked="true" strokeweight=".213pt" strokecolor="#808080">
            <v:stroke dashstyle="solid"/>
            <w10:wrap type="none"/>
          </v:line>
        </w:pict>
      </w:r>
      <w:r>
        <w:rPr/>
        <w:pict>
          <v:line style="position:absolute;mso-position-horizontal-relative:page;mso-position-vertical-relative:paragraph;z-index:251890688" from="443.911987pt,-67.279999pt" to="459.059987pt,-67.279999pt" stroked="true" strokeweight=".213pt" strokecolor="#808080">
            <v:stroke dashstyle="solid"/>
            <w10:wrap type="none"/>
          </v:line>
        </w:pict>
      </w:r>
      <w:r>
        <w:rPr/>
        <w:pict>
          <v:line style="position:absolute;mso-position-horizontal-relative:page;mso-position-vertical-relative:paragraph;z-index:251891712" from="462.899994pt,-67.279999pt" to="463.432994pt,-67.279999pt" stroked="true" strokeweight=".213pt" strokecolor="#808080">
            <v:stroke dashstyle="solid"/>
            <w10:wrap type="none"/>
          </v:line>
        </w:pict>
      </w:r>
      <w:r>
        <w:rPr/>
        <w:pict>
          <v:line style="position:absolute;mso-position-horizontal-relative:page;mso-position-vertical-relative:paragraph;z-index:251892736" from="467.273987pt,-67.279999pt" to="482.421987pt,-67.279999pt" stroked="true" strokeweight=".213pt" strokecolor="#808080">
            <v:stroke dashstyle="solid"/>
            <w10:wrap type="none"/>
          </v:line>
        </w:pict>
      </w:r>
      <w:r>
        <w:rPr/>
        <w:pict>
          <v:line style="position:absolute;mso-position-horizontal-relative:page;mso-position-vertical-relative:paragraph;z-index:251893760" from="486.156006pt,-67.387001pt" to="486.796006pt,-67.387001pt" stroked="true" strokeweight=".213pt" strokecolor="#808080">
            <v:stroke dashstyle="solid"/>
            <w10:wrap type="none"/>
          </v:line>
        </w:pict>
      </w:r>
      <w:r>
        <w:rPr/>
        <w:pict>
          <v:line style="position:absolute;mso-position-horizontal-relative:page;mso-position-vertical-relative:paragraph;z-index:251894784" from="124.202003pt,-67.172997pt" to="124.842003pt,-67.172997pt" stroked="true" strokeweight=".213pt" strokecolor="#808080">
            <v:stroke dashstyle="solid"/>
            <w10:wrap type="none"/>
          </v:line>
        </w:pict>
      </w:r>
      <w:r>
        <w:rPr/>
        <w:pict>
          <v:line style="position:absolute;mso-position-horizontal-relative:page;mso-position-vertical-relative:paragraph;z-index:251895808" from="128.682007pt,-67.279999pt" to="143.723007pt,-67.279999pt" stroked="true" strokeweight=".213pt" strokecolor="#808080">
            <v:stroke dashstyle="solid"/>
            <w10:wrap type="none"/>
          </v:line>
        </w:pict>
      </w:r>
      <w:r>
        <w:rPr/>
        <w:pict>
          <v:line style="position:absolute;mso-position-horizontal-relative:page;mso-position-vertical-relative:paragraph;z-index:251896832" from="147.563995pt,-67.279999pt" to="148.203995pt,-67.279999pt" stroked="true" strokeweight=".213pt" strokecolor="#808080">
            <v:stroke dashstyle="solid"/>
            <w10:wrap type="none"/>
          </v:line>
        </w:pict>
      </w:r>
      <w:r>
        <w:rPr/>
        <w:pict>
          <v:line style="position:absolute;mso-position-horizontal-relative:page;mso-position-vertical-relative:paragraph;z-index:251897856" from="170.820007pt,-67.279999pt" to="171.460007pt,-67.279999pt" stroked="true" strokeweight=".213pt" strokecolor="#808080">
            <v:stroke dashstyle="solid"/>
            <w10:wrap type="none"/>
          </v:line>
        </w:pict>
      </w:r>
      <w:r>
        <w:rPr/>
        <w:pict>
          <v:line style="position:absolute;mso-position-horizontal-relative:page;mso-position-vertical-relative:paragraph;z-index:251898880" from="175.300003pt,-67.279999pt" to="190.341003pt,-67.279999pt" stroked="true" strokeweight=".213pt" strokecolor="#808080">
            <v:stroke dashstyle="solid"/>
            <w10:wrap type="none"/>
          </v:line>
        </w:pict>
      </w:r>
      <w:r>
        <w:rPr/>
        <w:pict>
          <v:line style="position:absolute;mso-position-horizontal-relative:page;mso-position-vertical-relative:paragraph;z-index:251899904" from="194.182007pt,-67.279999pt" to="194.822007pt,-67.279999pt" stroked="true" strokeweight=".213pt" strokecolor="#808080">
            <v:stroke dashstyle="solid"/>
            <w10:wrap type="none"/>
          </v:line>
        </w:pict>
      </w:r>
      <w:r>
        <w:rPr/>
        <w:pict>
          <v:line style="position:absolute;mso-position-horizontal-relative:page;mso-position-vertical-relative:paragraph;z-index:251900928" from="240.800003pt,-67.279999pt" to="241.440003pt,-67.279999pt" stroked="true" strokeweight=".213pt" strokecolor="#808080">
            <v:stroke dashstyle="solid"/>
            <w10:wrap type="none"/>
          </v:line>
        </w:pict>
      </w:r>
      <w:r>
        <w:rPr/>
        <w:pict>
          <v:line style="position:absolute;mso-position-horizontal-relative:page;mso-position-vertical-relative:paragraph;z-index:251901952" from="245.173996pt,-67.279999pt" to="260.321996pt,-67.279999pt" stroked="true" strokeweight=".213pt" strokecolor="#808080">
            <v:stroke dashstyle="solid"/>
            <w10:wrap type="none"/>
          </v:line>
        </w:pict>
      </w:r>
      <w:r>
        <w:rPr/>
        <w:pict>
          <v:line style="position:absolute;mso-position-horizontal-relative:page;mso-position-vertical-relative:paragraph;z-index:251902976" from="264.056pt,-67.387001pt" to="264.696pt,-67.387001pt" stroked="true" strokeweight=".213pt" strokecolor="#808080">
            <v:stroke dashstyle="solid"/>
            <w10:wrap type="none"/>
          </v:line>
        </w:pict>
      </w:r>
      <w:r>
        <w:rPr>
          <w:b/>
          <w:i/>
          <w:sz w:val="16"/>
        </w:rPr>
        <w:t>Conductos de extracción </w:t>
      </w:r>
      <w:r>
        <w:rPr>
          <w:b/>
          <w:sz w:val="16"/>
        </w:rPr>
        <w:t>con una sola </w:t>
      </w:r>
      <w:r>
        <w:rPr>
          <w:b/>
          <w:i/>
          <w:sz w:val="16"/>
        </w:rPr>
        <w:t>boca de expulsión </w:t>
      </w:r>
      <w:r>
        <w:rPr>
          <w:b/>
          <w:sz w:val="16"/>
        </w:rPr>
        <w:t>y</w:t>
      </w:r>
    </w:p>
    <w:p>
      <w:pPr>
        <w:spacing w:before="0"/>
        <w:ind w:left="259" w:right="0" w:firstLine="0"/>
        <w:jc w:val="center"/>
        <w:rPr>
          <w:b/>
          <w:i/>
          <w:sz w:val="16"/>
        </w:rPr>
      </w:pPr>
      <w:r>
        <w:rPr>
          <w:b/>
          <w:sz w:val="16"/>
        </w:rPr>
        <w:t>un solo </w:t>
      </w:r>
      <w:r>
        <w:rPr>
          <w:b/>
          <w:i/>
          <w:sz w:val="16"/>
        </w:rPr>
        <w:t>aspirador mecánico</w:t>
      </w:r>
    </w:p>
    <w:p>
      <w:pPr>
        <w:spacing w:line="160" w:lineRule="exact" w:before="0"/>
        <w:ind w:left="188" w:right="666" w:firstLine="0"/>
        <w:jc w:val="center"/>
        <w:rPr>
          <w:b/>
          <w:i/>
          <w:sz w:val="16"/>
        </w:rPr>
      </w:pPr>
      <w:r>
        <w:rPr/>
        <w:br w:type="column"/>
      </w:r>
      <w:r>
        <w:rPr>
          <w:b/>
          <w:i/>
          <w:sz w:val="16"/>
        </w:rPr>
        <w:t>Conductos de extracción </w:t>
      </w:r>
      <w:r>
        <w:rPr>
          <w:b/>
          <w:sz w:val="16"/>
        </w:rPr>
        <w:t>independientes con un </w:t>
      </w:r>
      <w:r>
        <w:rPr>
          <w:b/>
          <w:i/>
          <w:sz w:val="16"/>
        </w:rPr>
        <w:t>aspira-</w:t>
      </w:r>
    </w:p>
    <w:p>
      <w:pPr>
        <w:spacing w:before="0"/>
        <w:ind w:left="188" w:right="666" w:firstLine="0"/>
        <w:jc w:val="center"/>
        <w:rPr>
          <w:b/>
          <w:sz w:val="16"/>
        </w:rPr>
      </w:pPr>
      <w:r>
        <w:rPr>
          <w:b/>
          <w:i/>
          <w:sz w:val="16"/>
        </w:rPr>
        <w:t>dor mecánico </w:t>
      </w:r>
      <w:r>
        <w:rPr>
          <w:b/>
          <w:sz w:val="16"/>
        </w:rPr>
        <w:t>en cada uno</w:t>
      </w:r>
    </w:p>
    <w:p>
      <w:pPr>
        <w:spacing w:after="0"/>
        <w:jc w:val="center"/>
        <w:rPr>
          <w:sz w:val="16"/>
        </w:rPr>
        <w:sectPr>
          <w:type w:val="continuous"/>
          <w:pgSz w:w="11910" w:h="16840"/>
          <w:pgMar w:top="1580" w:bottom="280" w:left="1200" w:right="738"/>
          <w:cols w:num="2" w:equalWidth="0">
            <w:col w:w="4770" w:space="40"/>
            <w:col w:w="5162"/>
          </w:cols>
        </w:sectPr>
      </w:pPr>
    </w:p>
    <w:p>
      <w:pPr>
        <w:pStyle w:val="BodyText"/>
        <w:spacing w:before="8"/>
        <w:rPr>
          <w:b/>
          <w:sz w:val="9"/>
        </w:rPr>
      </w:pPr>
    </w:p>
    <w:p>
      <w:pPr>
        <w:spacing w:before="94"/>
        <w:ind w:left="655" w:right="830" w:firstLine="0"/>
        <w:jc w:val="center"/>
        <w:rPr>
          <w:b/>
          <w:i/>
          <w:sz w:val="18"/>
        </w:rPr>
      </w:pPr>
      <w:r>
        <w:rPr>
          <w:b/>
          <w:sz w:val="18"/>
        </w:rPr>
        <w:t>Figura 3.4 Ejemplos de disposición de </w:t>
      </w:r>
      <w:r>
        <w:rPr>
          <w:b/>
          <w:i/>
          <w:sz w:val="18"/>
        </w:rPr>
        <w:t>aspiradores mecánicos</w:t>
      </w:r>
    </w:p>
    <w:p>
      <w:pPr>
        <w:pStyle w:val="BodyText"/>
        <w:spacing w:before="6"/>
        <w:rPr>
          <w:b/>
          <w:i/>
          <w:sz w:val="26"/>
        </w:rPr>
      </w:pPr>
    </w:p>
    <w:p>
      <w:pPr>
        <w:spacing w:before="0"/>
        <w:ind w:left="655" w:right="598" w:firstLine="0"/>
        <w:jc w:val="center"/>
        <w:rPr>
          <w:sz w:val="16"/>
        </w:rPr>
      </w:pPr>
      <w:r>
        <w:rPr/>
        <w:pict>
          <v:line style="position:absolute;mso-position-horizontal-relative:page;mso-position-vertical-relative:paragraph;z-index:251904000" from="148.919998pt,-2.876157pt" to="148.919998pt,12.303843pt" stroked="true" strokeweight=".48pt" strokecolor="#000000">
            <v:stroke dashstyle="solid"/>
            <w10:wrap type="none"/>
          </v:line>
        </w:pict>
      </w:r>
      <w:r>
        <w:rPr>
          <w:sz w:val="16"/>
        </w:rPr>
        <w:t>Se pretende que el conducto trabaje en depresión y se eviten revocos a otras viviendas.</w:t>
      </w:r>
    </w:p>
    <w:p>
      <w:pPr>
        <w:pStyle w:val="BodyText"/>
      </w:pPr>
    </w:p>
    <w:p>
      <w:pPr>
        <w:pStyle w:val="BodyText"/>
        <w:spacing w:before="5"/>
        <w:rPr>
          <w:sz w:val="21"/>
        </w:rPr>
      </w:pPr>
    </w:p>
    <w:p>
      <w:pPr>
        <w:spacing w:before="95"/>
        <w:ind w:left="1886" w:right="392" w:firstLine="0"/>
        <w:jc w:val="both"/>
        <w:rPr>
          <w:sz w:val="16"/>
        </w:rPr>
      </w:pPr>
      <w:r>
        <w:rPr/>
        <w:pict>
          <v:line style="position:absolute;mso-position-horizontal-relative:page;mso-position-vertical-relative:paragraph;z-index:251905024" from="148.919998pt,1.873852pt" to="148.919998pt,35.473852pt" stroked="true" strokeweight=".48pt" strokecolor="#000000">
            <v:stroke dashstyle="solid"/>
            <w10:wrap type="none"/>
          </v:line>
        </w:pict>
      </w:r>
      <w:r>
        <w:rPr>
          <w:sz w:val="16"/>
        </w:rPr>
        <w:t>En los conductos de extracción de la ventilación específica de la cocina, el extractor estará situado en la abertura de extracción, incluso cuando un mismo conducto de extracción colectivo se utilice para varias cocinas.</w:t>
      </w:r>
    </w:p>
    <w:p>
      <w:pPr>
        <w:pStyle w:val="BodyText"/>
      </w:pPr>
    </w:p>
    <w:p>
      <w:pPr>
        <w:pStyle w:val="BodyText"/>
        <w:spacing w:before="5"/>
        <w:rPr>
          <w:sz w:val="21"/>
        </w:rPr>
      </w:pPr>
    </w:p>
    <w:p>
      <w:pPr>
        <w:spacing w:before="95"/>
        <w:ind w:left="1886" w:right="0" w:firstLine="0"/>
        <w:jc w:val="left"/>
        <w:rPr>
          <w:sz w:val="16"/>
        </w:rPr>
      </w:pPr>
      <w:r>
        <w:rPr/>
        <w:pict>
          <v:line style="position:absolute;mso-position-horizontal-relative:page;mso-position-vertical-relative:paragraph;z-index:251906048" from="148.919998pt,1.874002pt" to="148.919998pt,17.054002pt" stroked="true" strokeweight=".48pt" strokecolor="#000000">
            <v:stroke dashstyle="solid"/>
            <w10:wrap type="none"/>
          </v:line>
        </w:pict>
      </w:r>
      <w:r>
        <w:rPr>
          <w:sz w:val="16"/>
        </w:rPr>
        <w:t>Se entiende que los conductos de extracción pueden ser también individuales para cada vivienda.</w:t>
      </w:r>
    </w:p>
    <w:p>
      <w:pPr>
        <w:pStyle w:val="BodyText"/>
        <w:rPr>
          <w:sz w:val="15"/>
        </w:rPr>
      </w:pPr>
    </w:p>
    <w:p>
      <w:pPr>
        <w:pStyle w:val="ListParagraph"/>
        <w:numPr>
          <w:ilvl w:val="0"/>
          <w:numId w:val="132"/>
        </w:numPr>
        <w:tabs>
          <w:tab w:pos="578" w:val="left" w:leader="none"/>
          <w:tab w:pos="579" w:val="left" w:leader="none"/>
        </w:tabs>
        <w:spacing w:line="240" w:lineRule="auto" w:before="94" w:after="0"/>
        <w:ind w:left="575" w:right="391" w:hanging="358"/>
        <w:jc w:val="left"/>
        <w:rPr>
          <w:sz w:val="20"/>
        </w:rPr>
      </w:pPr>
      <w:r>
        <w:rPr>
          <w:sz w:val="20"/>
        </w:rPr>
        <w:t>La sección de cada tramo del conducto comprendido entre dos puntos consecutivos con aporte o salida de aire debe ser</w:t>
      </w:r>
      <w:r>
        <w:rPr>
          <w:spacing w:val="-5"/>
          <w:sz w:val="20"/>
        </w:rPr>
        <w:t> </w:t>
      </w:r>
      <w:r>
        <w:rPr>
          <w:sz w:val="20"/>
        </w:rPr>
        <w:t>uniforme.</w:t>
      </w:r>
    </w:p>
    <w:p>
      <w:pPr>
        <w:pStyle w:val="ListParagraph"/>
        <w:numPr>
          <w:ilvl w:val="0"/>
          <w:numId w:val="132"/>
        </w:numPr>
        <w:tabs>
          <w:tab w:pos="578" w:val="left" w:leader="none"/>
          <w:tab w:pos="579" w:val="left" w:leader="none"/>
        </w:tabs>
        <w:spacing w:line="240" w:lineRule="auto" w:before="60" w:after="0"/>
        <w:ind w:left="575" w:right="391" w:hanging="358"/>
        <w:jc w:val="left"/>
        <w:rPr>
          <w:sz w:val="20"/>
        </w:rPr>
      </w:pPr>
      <w:r>
        <w:rPr>
          <w:sz w:val="20"/>
        </w:rPr>
        <w:t>Los conductos deben tener un acabado que dificulte su ensuciamiento y ser practicables para su registro y limpieza en la</w:t>
      </w:r>
      <w:r>
        <w:rPr>
          <w:spacing w:val="-1"/>
          <w:sz w:val="20"/>
        </w:rPr>
        <w:t> </w:t>
      </w:r>
      <w:r>
        <w:rPr>
          <w:sz w:val="20"/>
        </w:rPr>
        <w:t>coronación.</w:t>
      </w:r>
    </w:p>
    <w:p>
      <w:pPr>
        <w:pStyle w:val="ListParagraph"/>
        <w:numPr>
          <w:ilvl w:val="0"/>
          <w:numId w:val="132"/>
        </w:numPr>
        <w:tabs>
          <w:tab w:pos="578" w:val="left" w:leader="none"/>
          <w:tab w:pos="579" w:val="left" w:leader="none"/>
        </w:tabs>
        <w:spacing w:line="240" w:lineRule="auto" w:before="59" w:after="0"/>
        <w:ind w:left="575" w:right="392" w:hanging="358"/>
        <w:jc w:val="left"/>
        <w:rPr>
          <w:sz w:val="20"/>
        </w:rPr>
      </w:pPr>
      <w:r>
        <w:rPr>
          <w:sz w:val="20"/>
        </w:rPr>
        <w:t>Cuando se prevea que en las paredes de los conductos pueda alcanzarse la temperatura de rocío éstos deben aislarse térmicamente de tal forma que se evite que se produzcan</w:t>
      </w:r>
      <w:r>
        <w:rPr>
          <w:spacing w:val="-22"/>
          <w:sz w:val="20"/>
        </w:rPr>
        <w:t> </w:t>
      </w:r>
      <w:r>
        <w:rPr>
          <w:sz w:val="20"/>
        </w:rPr>
        <w:t>condensaciones.</w:t>
      </w:r>
    </w:p>
    <w:p>
      <w:pPr>
        <w:pStyle w:val="ListParagraph"/>
        <w:numPr>
          <w:ilvl w:val="0"/>
          <w:numId w:val="132"/>
        </w:numPr>
        <w:tabs>
          <w:tab w:pos="578" w:val="left" w:leader="none"/>
          <w:tab w:pos="579" w:val="left" w:leader="none"/>
        </w:tabs>
        <w:spacing w:line="240" w:lineRule="auto" w:before="60" w:after="0"/>
        <w:ind w:left="575" w:right="391" w:hanging="358"/>
        <w:jc w:val="left"/>
        <w:rPr>
          <w:sz w:val="20"/>
        </w:rPr>
      </w:pPr>
      <w:r>
        <w:rPr>
          <w:sz w:val="20"/>
        </w:rPr>
        <w:t>Los conductos que atraviesen elementos separadores de sectores de incendio deben cumplir las condiciones de resistencia a fuego del apartado 3 de la sección</w:t>
      </w:r>
      <w:r>
        <w:rPr>
          <w:spacing w:val="-6"/>
          <w:sz w:val="20"/>
        </w:rPr>
        <w:t> </w:t>
      </w:r>
      <w:r>
        <w:rPr>
          <w:sz w:val="20"/>
        </w:rPr>
        <w:t>SI1.</w:t>
      </w:r>
    </w:p>
    <w:p>
      <w:pPr>
        <w:pStyle w:val="ListParagraph"/>
        <w:numPr>
          <w:ilvl w:val="0"/>
          <w:numId w:val="132"/>
        </w:numPr>
        <w:tabs>
          <w:tab w:pos="578" w:val="left" w:leader="none"/>
          <w:tab w:pos="579" w:val="left" w:leader="none"/>
        </w:tabs>
        <w:spacing w:line="240" w:lineRule="auto" w:before="61" w:after="0"/>
        <w:ind w:left="578" w:right="0" w:hanging="361"/>
        <w:jc w:val="left"/>
        <w:rPr>
          <w:sz w:val="20"/>
        </w:rPr>
      </w:pPr>
      <w:r>
        <w:rPr>
          <w:sz w:val="20"/>
        </w:rPr>
        <w:t>Los conductos deben ser estancos al aire para su presión de</w:t>
      </w:r>
      <w:r>
        <w:rPr>
          <w:spacing w:val="-10"/>
          <w:sz w:val="20"/>
        </w:rPr>
        <w:t> </w:t>
      </w:r>
      <w:r>
        <w:rPr>
          <w:sz w:val="20"/>
        </w:rPr>
        <w:t>dimensionado.</w:t>
      </w:r>
    </w:p>
    <w:p>
      <w:pPr>
        <w:pStyle w:val="ListParagraph"/>
        <w:numPr>
          <w:ilvl w:val="0"/>
          <w:numId w:val="132"/>
        </w:numPr>
        <w:tabs>
          <w:tab w:pos="579" w:val="left" w:leader="none"/>
        </w:tabs>
        <w:spacing w:line="240" w:lineRule="auto" w:before="59" w:after="0"/>
        <w:ind w:left="575" w:right="390" w:hanging="358"/>
        <w:jc w:val="both"/>
        <w:rPr>
          <w:sz w:val="20"/>
        </w:rPr>
      </w:pPr>
      <w:r>
        <w:rPr>
          <w:sz w:val="20"/>
        </w:rPr>
        <w:t>Cuando el conducto para la ventilación específica adicional de las cocinas sea colectivo, cada </w:t>
      </w:r>
      <w:r>
        <w:rPr>
          <w:i/>
          <w:sz w:val="20"/>
        </w:rPr>
        <w:t>ex- </w:t>
      </w:r>
      <w:r>
        <w:rPr>
          <w:i/>
          <w:sz w:val="20"/>
        </w:rPr>
        <w:t>tractor </w:t>
      </w:r>
      <w:r>
        <w:rPr>
          <w:sz w:val="20"/>
        </w:rPr>
        <w:t>debe conectarse al mismo mediante un ramal que debe desembocar en el </w:t>
      </w:r>
      <w:r>
        <w:rPr>
          <w:i/>
          <w:sz w:val="20"/>
        </w:rPr>
        <w:t>conducto de ex- </w:t>
      </w:r>
      <w:r>
        <w:rPr>
          <w:i/>
          <w:sz w:val="20"/>
        </w:rPr>
        <w:t>tracción </w:t>
      </w:r>
      <w:r>
        <w:rPr>
          <w:sz w:val="20"/>
        </w:rPr>
        <w:t>inmediatamente por debajo del ramal siguiente (véanse los ejemplos de la figura</w:t>
      </w:r>
      <w:r>
        <w:rPr>
          <w:spacing w:val="-33"/>
          <w:sz w:val="20"/>
        </w:rPr>
        <w:t> </w:t>
      </w:r>
      <w:r>
        <w:rPr>
          <w:sz w:val="20"/>
        </w:rPr>
        <w:t>3.5).</w:t>
      </w:r>
    </w:p>
    <w:p>
      <w:pPr>
        <w:spacing w:after="0" w:line="240" w:lineRule="auto"/>
        <w:jc w:val="both"/>
        <w:rPr>
          <w:sz w:val="20"/>
        </w:rPr>
        <w:sectPr>
          <w:type w:val="continuous"/>
          <w:pgSz w:w="11910" w:h="16840"/>
          <w:pgMar w:top="1580" w:bottom="280" w:left="1200" w:right="738"/>
        </w:sectPr>
      </w:pPr>
    </w:p>
    <w:p>
      <w:pPr>
        <w:pStyle w:val="BodyText"/>
        <w:spacing w:before="2"/>
        <w:rPr>
          <w:sz w:val="8"/>
        </w:rPr>
      </w:pPr>
    </w:p>
    <w:p>
      <w:pPr>
        <w:pStyle w:val="BodyText"/>
        <w:tabs>
          <w:tab w:pos="5196" w:val="left" w:leader="none"/>
        </w:tabs>
        <w:ind w:left="601"/>
      </w:pPr>
      <w:r>
        <w:rPr/>
        <w:pict>
          <v:group style="width:179.45pt;height:131.0500pt;mso-position-horizontal-relative:char;mso-position-vertical-relative:line" coordorigin="0,0" coordsize="3589,2621">
            <v:line style="position:absolute" from="336,2617" to="349,2617" stroked="true" strokeweight=".349pt" strokecolor="#000000">
              <v:stroke dashstyle="solid"/>
            </v:line>
            <v:line style="position:absolute" from="428,2616" to="741,2616" stroked="true" strokeweight=".349pt" strokecolor="#000000">
              <v:stroke dashstyle="solid"/>
            </v:line>
            <v:line style="position:absolute" from="820,2616" to="833,2616" stroked="true" strokeweight=".349pt" strokecolor="#000000">
              <v:stroke dashstyle="solid"/>
            </v:line>
            <v:line style="position:absolute" from="911,2616" to="1226,2616" stroked="true" strokeweight=".349pt" strokecolor="#000000">
              <v:stroke dashstyle="solid"/>
            </v:line>
            <v:line style="position:absolute" from="1304,2616" to="1317,2616" stroked="true" strokeweight=".349pt" strokecolor="#000000">
              <v:stroke dashstyle="solid"/>
            </v:line>
            <v:line style="position:absolute" from="1396,2616" to="1709,2615" stroked="true" strokeweight=".349pt" strokecolor="#000000">
              <v:stroke dashstyle="solid"/>
            </v:line>
            <v:line style="position:absolute" from="1788,2615" to="1800,2615" stroked="true" strokeweight=".349pt" strokecolor="#000000">
              <v:stroke dashstyle="solid"/>
            </v:line>
            <v:line style="position:absolute" from="2272,2615" to="2285,2615" stroked="true" strokeweight=".349pt" strokecolor="#000000">
              <v:stroke dashstyle="solid"/>
            </v:line>
            <v:shape style="position:absolute;left:0;top:0;width:3589;height:2621" type="#_x0000_t75" stroked="false">
              <v:imagedata r:id="rId108" o:title=""/>
            </v:shape>
          </v:group>
        </w:pict>
      </w:r>
      <w:r>
        <w:rPr/>
      </w:r>
      <w:r>
        <w:rPr/>
        <w:tab/>
      </w:r>
      <w:r>
        <w:rPr/>
        <w:pict>
          <v:group style="width:179.45pt;height:131.0500pt;mso-position-horizontal-relative:char;mso-position-vertical-relative:line" coordorigin="0,0" coordsize="3589,2621">
            <v:line style="position:absolute" from="0,2617" to="257,2617" stroked="true" strokeweight=".349pt" strokecolor="#000000">
              <v:stroke dashstyle="solid"/>
            </v:line>
            <v:line style="position:absolute" from="335,2617" to="348,2617" stroked="true" strokeweight=".349pt" strokecolor="#000000">
              <v:stroke dashstyle="solid"/>
            </v:line>
            <v:line style="position:absolute" from="427,2616" to="741,2616" stroked="true" strokeweight=".349pt" strokecolor="#000000">
              <v:stroke dashstyle="solid"/>
            </v:line>
            <v:line style="position:absolute" from="820,2616" to="833,2616" stroked="true" strokeweight=".349pt" strokecolor="#000000">
              <v:stroke dashstyle="solid"/>
            </v:line>
            <v:line style="position:absolute" from="911,2616" to="1225,2616" stroked="true" strokeweight=".349pt" strokecolor="#000000">
              <v:stroke dashstyle="solid"/>
            </v:line>
            <v:line style="position:absolute" from="1303,2616" to="1316,2616" stroked="true" strokeweight=".349pt" strokecolor="#000000">
              <v:stroke dashstyle="solid"/>
            </v:line>
            <v:line style="position:absolute" from="1395,2616" to="1709,2615" stroked="true" strokeweight=".349pt" strokecolor="#000000">
              <v:stroke dashstyle="solid"/>
            </v:line>
            <v:line style="position:absolute" from="1788,2615" to="1800,2615" stroked="true" strokeweight=".349pt" strokecolor="#000000">
              <v:stroke dashstyle="solid"/>
            </v:line>
            <v:line style="position:absolute" from="2271,2615" to="2284,2615" stroked="true" strokeweight=".349pt" strokecolor="#000000">
              <v:stroke dashstyle="solid"/>
            </v:line>
            <v:line style="position:absolute" from="2363,2615" to="2677,2615" stroked="true" strokeweight=".349pt" strokecolor="#000000">
              <v:stroke dashstyle="solid"/>
            </v:line>
            <v:line style="position:absolute" from="2755,2615" to="2768,2615" stroked="true" strokeweight=".349pt" strokecolor="#000000">
              <v:stroke dashstyle="solid"/>
            </v:line>
            <v:line style="position:absolute" from="2847,2615" to="3160,2614" stroked="true" strokeweight=".349pt" strokecolor="#000000">
              <v:stroke dashstyle="solid"/>
            </v:line>
            <v:line style="position:absolute" from="3239,2614" to="3252,2614" stroked="true" strokeweight=".349pt" strokecolor="#000000">
              <v:stroke dashstyle="solid"/>
            </v:line>
            <v:shape style="position:absolute;left:3330;top:2614;width:258;height:2" coordorigin="3330,2614" coordsize="258,0" path="m3330,2614l3588,2614,3588,2614e" filled="false" stroked="true" strokeweight=".349pt" strokecolor="#000000">
              <v:path arrowok="t"/>
              <v:stroke dashstyle="solid"/>
            </v:shape>
            <v:shape style="position:absolute;left:170;top:0;width:3263;height:2619" type="#_x0000_t75" stroked="false">
              <v:imagedata r:id="rId109" o:title=""/>
            </v:shape>
            <v:shape style="position:absolute;left:170;top:408;width:1781;height:2209" coordorigin="170,408" coordsize="1781,2209" path="m170,2617l170,408,1951,408e" filled="false" stroked="true" strokeweight=".349pt" strokecolor="#000000">
              <v:path arrowok="t"/>
              <v:stroke dashstyle="solid"/>
            </v:shape>
            <v:line style="position:absolute" from="2108,408" to="3433,408" stroked="true" strokeweight=".349pt" strokecolor="#000000">
              <v:stroke dashstyle="solid"/>
            </v:line>
            <v:line style="position:absolute" from="3433,408" to="3433,2614" stroked="true" strokeweight=".349pt" strokecolor="#000000">
              <v:stroke dashstyle="solid"/>
            </v:line>
          </v:group>
        </w:pict>
      </w:r>
      <w:r>
        <w:rPr/>
      </w:r>
    </w:p>
    <w:p>
      <w:pPr>
        <w:pStyle w:val="BodyText"/>
        <w:rPr>
          <w:sz w:val="9"/>
        </w:rPr>
      </w:pPr>
    </w:p>
    <w:p>
      <w:pPr>
        <w:pStyle w:val="BodyText"/>
        <w:tabs>
          <w:tab w:pos="4834" w:val="left" w:leader="none"/>
        </w:tabs>
        <w:ind w:left="235"/>
      </w:pPr>
      <w:r>
        <w:rPr/>
        <w:pict>
          <v:group style="width:214.7pt;height:70.05pt;mso-position-horizontal-relative:char;mso-position-vertical-relative:line" coordorigin="0,0" coordsize="4294,1401">
            <v:shape style="position:absolute;left:0;top:1400;width:2;height:2" coordorigin="0,1400" coordsize="0,0" path="m0,1400l0,1400e" filled="true" fillcolor="#000000" stroked="false">
              <v:path arrowok="t"/>
              <v:fill type="solid"/>
            </v:shape>
            <v:line style="position:absolute" from="554,1176" to="3817,1176" stroked="true" strokeweight=".1pt" strokecolor="#000000">
              <v:stroke dashstyle="solid"/>
            </v:line>
            <v:line style="position:absolute" from="719,6" to="732,6" stroked="true" strokeweight=".349pt" strokecolor="#000000">
              <v:stroke dashstyle="solid"/>
            </v:line>
            <v:line style="position:absolute" from="811,6" to="1124,5" stroked="true" strokeweight=".349pt" strokecolor="#000000">
              <v:stroke dashstyle="solid"/>
            </v:line>
            <v:line style="position:absolute" from="1203,5" to="1216,5" stroked="true" strokeweight=".349pt" strokecolor="#000000">
              <v:stroke dashstyle="solid"/>
            </v:line>
            <v:line style="position:absolute" from="1294,5" to="1608,5" stroked="true" strokeweight=".349pt" strokecolor="#000000">
              <v:stroke dashstyle="solid"/>
            </v:line>
            <v:line style="position:absolute" from="1687,5" to="1700,5" stroked="true" strokeweight=".349pt" strokecolor="#000000">
              <v:stroke dashstyle="solid"/>
            </v:line>
            <v:line style="position:absolute" from="1779,5" to="2092,5" stroked="true" strokeweight=".349pt" strokecolor="#000000">
              <v:stroke dashstyle="solid"/>
            </v:line>
            <v:line style="position:absolute" from="2171,4" to="2183,4" stroked="true" strokeweight=".349pt" strokecolor="#000000">
              <v:stroke dashstyle="solid"/>
            </v:line>
            <v:line style="position:absolute" from="2655,4" to="2668,4" stroked="true" strokeweight=".349pt" strokecolor="#000000">
              <v:stroke dashstyle="solid"/>
            </v:line>
            <v:line style="position:absolute" from="2746,4" to="3060,4" stroked="true" strokeweight=".349pt" strokecolor="#000000">
              <v:stroke dashstyle="solid"/>
            </v:line>
            <v:line style="position:absolute" from="3138,4" to="3151,4" stroked="true" strokeweight=".349pt" strokecolor="#000000">
              <v:stroke dashstyle="solid"/>
            </v:line>
            <v:line style="position:absolute" from="3230,4" to="3544,3" stroked="true" strokeweight=".349pt" strokecolor="#000000">
              <v:stroke dashstyle="solid"/>
            </v:line>
            <v:line style="position:absolute" from="3623,3" to="3636,3" stroked="true" strokeweight=".349pt" strokecolor="#000000">
              <v:stroke dashstyle="solid"/>
            </v:line>
            <v:shape style="position:absolute;left:17;top:0;width:4277;height:1368" type="#_x0000_t75" stroked="false">
              <v:imagedata r:id="rId110" o:title=""/>
            </v:shape>
          </v:group>
        </w:pict>
      </w:r>
      <w:r>
        <w:rPr/>
      </w:r>
      <w:r>
        <w:rPr/>
        <w:tab/>
      </w:r>
      <w:r>
        <w:rPr/>
        <w:pict>
          <v:group style="width:213.65pt;height:68.4pt;mso-position-horizontal-relative:char;mso-position-vertical-relative:line" coordorigin="0,0" coordsize="4273,1368">
            <v:line style="position:absolute" from="362,6" to="619,6" stroked="true" strokeweight=".349pt" strokecolor="#000000">
              <v:stroke dashstyle="solid"/>
            </v:line>
            <v:line style="position:absolute" from="697,6" to="710,6" stroked="true" strokeweight=".349pt" strokecolor="#000000">
              <v:stroke dashstyle="solid"/>
            </v:line>
            <v:line style="position:absolute" from="789,6" to="1103,5" stroked="true" strokeweight=".349pt" strokecolor="#000000">
              <v:stroke dashstyle="solid"/>
            </v:line>
            <v:line style="position:absolute" from="1182,5" to="1195,5" stroked="true" strokeweight=".349pt" strokecolor="#000000">
              <v:stroke dashstyle="solid"/>
            </v:line>
            <v:line style="position:absolute" from="1273,5" to="1587,5" stroked="true" strokeweight=".349pt" strokecolor="#000000">
              <v:stroke dashstyle="solid"/>
            </v:line>
            <v:line style="position:absolute" from="1665,5" to="1678,5" stroked="true" strokeweight=".349pt" strokecolor="#000000">
              <v:stroke dashstyle="solid"/>
            </v:line>
            <v:line style="position:absolute" from="1757,5" to="2071,5" stroked="true" strokeweight=".349pt" strokecolor="#000000">
              <v:stroke dashstyle="solid"/>
            </v:line>
            <v:line style="position:absolute" from="2150,4" to="2163,4" stroked="true" strokeweight=".349pt" strokecolor="#000000">
              <v:stroke dashstyle="solid"/>
            </v:line>
            <v:line style="position:absolute" from="2633,4" to="2646,4" stroked="true" strokeweight=".349pt" strokecolor="#000000">
              <v:stroke dashstyle="solid"/>
            </v:line>
            <v:line style="position:absolute" from="2725,4" to="3039,4" stroked="true" strokeweight=".349pt" strokecolor="#000000">
              <v:stroke dashstyle="solid"/>
            </v:line>
            <v:line style="position:absolute" from="3117,4" to="3130,4" stroked="true" strokeweight=".349pt" strokecolor="#000000">
              <v:stroke dashstyle="solid"/>
            </v:line>
            <v:line style="position:absolute" from="3209,4" to="3522,3" stroked="true" strokeweight=".349pt" strokecolor="#000000">
              <v:stroke dashstyle="solid"/>
            </v:line>
            <v:line style="position:absolute" from="3601,3" to="3614,3" stroked="true" strokeweight=".349pt" strokecolor="#000000">
              <v:stroke dashstyle="solid"/>
            </v:line>
            <v:shape style="position:absolute;left:3692;top:3;width:258;height:2" coordorigin="3692,3" coordsize="258,0" path="m3692,3l3950,3,3950,3e" filled="false" stroked="true" strokeweight=".349pt" strokecolor="#000000">
              <v:path arrowok="t"/>
              <v:stroke dashstyle="solid"/>
            </v:shape>
            <v:shape style="position:absolute;left:532;top:1;width:3263;height:644" type="#_x0000_t75" stroked="false">
              <v:imagedata r:id="rId111" o:title=""/>
            </v:shape>
            <v:line style="position:absolute" from="532,1176" to="2230,1176" stroked="true" strokeweight=".1pt" strokecolor="#000000">
              <v:stroke dashstyle="solid"/>
            </v:line>
            <v:line style="position:absolute" from="2256,1176" to="3795,1176" stroked="true" strokeweight=".1pt" strokecolor="#000000">
              <v:stroke dashstyle="solid"/>
            </v:line>
            <v:line style="position:absolute" from="2256,4" to="2256,1176" stroked="true" strokeweight=".1pt" strokecolor="#000000">
              <v:stroke dashstyle="solid"/>
            </v:line>
            <v:line style="position:absolute" from="0,1364" to="532,1364" stroked="true" strokeweight=".349pt" strokecolor="#000000">
              <v:stroke dashstyle="solid"/>
            </v:line>
            <v:line style="position:absolute" from="532,1364" to="532,6" stroked="true" strokeweight=".349pt" strokecolor="#000000">
              <v:stroke dashstyle="solid"/>
            </v:line>
            <v:shape style="position:absolute;left:3794;top:3;width:475;height:1361" coordorigin="3795,4" coordsize="475,1361" path="m3795,4l3795,1364,4269,1364e" filled="false" stroked="true" strokeweight=".349pt" strokecolor="#000000">
              <v:path arrowok="t"/>
              <v:stroke dashstyle="solid"/>
            </v:shape>
          </v:group>
        </w:pict>
      </w:r>
      <w:r>
        <w:rPr/>
      </w:r>
    </w:p>
    <w:p>
      <w:pPr>
        <w:spacing w:before="50"/>
        <w:ind w:left="1108" w:right="0" w:firstLine="0"/>
        <w:jc w:val="left"/>
        <w:rPr>
          <w:b/>
          <w:sz w:val="18"/>
        </w:rPr>
      </w:pPr>
      <w:r>
        <w:rPr>
          <w:b/>
          <w:sz w:val="18"/>
        </w:rPr>
        <w:t>Figura 3.5 Ejemplos de conductos para la ventilación específica adicional de las cocinas</w:t>
      </w:r>
    </w:p>
    <w:p>
      <w:pPr>
        <w:pStyle w:val="BodyText"/>
        <w:spacing w:before="7"/>
        <w:rPr>
          <w:b/>
          <w:sz w:val="17"/>
        </w:rPr>
      </w:pPr>
    </w:p>
    <w:p>
      <w:pPr>
        <w:pStyle w:val="Heading6"/>
        <w:numPr>
          <w:ilvl w:val="2"/>
          <w:numId w:val="128"/>
        </w:numPr>
        <w:tabs>
          <w:tab w:pos="938" w:val="left" w:leader="none"/>
          <w:tab w:pos="939" w:val="left" w:leader="none"/>
        </w:tabs>
        <w:spacing w:line="240" w:lineRule="auto" w:before="0" w:after="0"/>
        <w:ind w:left="938" w:right="0" w:hanging="721"/>
        <w:jc w:val="left"/>
        <w:rPr>
          <w:i/>
        </w:rPr>
      </w:pPr>
      <w:r>
        <w:rPr>
          <w:i/>
        </w:rPr>
        <w:t>Aspiradores híbridos</w:t>
      </w:r>
      <w:r>
        <w:rPr>
          <w:i w:val="0"/>
        </w:rPr>
        <w:t>, </w:t>
      </w:r>
      <w:r>
        <w:rPr>
          <w:i/>
        </w:rPr>
        <w:t>aspiradores mecánicos </w:t>
      </w:r>
      <w:r>
        <w:rPr>
          <w:i w:val="0"/>
        </w:rPr>
        <w:t>y</w:t>
      </w:r>
      <w:r>
        <w:rPr>
          <w:i w:val="0"/>
          <w:spacing w:val="-9"/>
        </w:rPr>
        <w:t> </w:t>
      </w:r>
      <w:r>
        <w:rPr>
          <w:i/>
        </w:rPr>
        <w:t>extractores</w:t>
      </w:r>
    </w:p>
    <w:p>
      <w:pPr>
        <w:pStyle w:val="ListParagraph"/>
        <w:numPr>
          <w:ilvl w:val="0"/>
          <w:numId w:val="133"/>
        </w:numPr>
        <w:tabs>
          <w:tab w:pos="578" w:val="left" w:leader="none"/>
          <w:tab w:pos="579" w:val="left" w:leader="none"/>
        </w:tabs>
        <w:spacing w:line="240" w:lineRule="auto" w:before="97" w:after="0"/>
        <w:ind w:left="575" w:right="391" w:hanging="358"/>
        <w:jc w:val="left"/>
        <w:rPr>
          <w:sz w:val="20"/>
        </w:rPr>
      </w:pPr>
      <w:r>
        <w:rPr>
          <w:sz w:val="20"/>
        </w:rPr>
        <w:t>Los </w:t>
      </w:r>
      <w:r>
        <w:rPr>
          <w:i/>
          <w:sz w:val="20"/>
        </w:rPr>
        <w:t>aspiradores mecánicos </w:t>
      </w:r>
      <w:r>
        <w:rPr>
          <w:sz w:val="20"/>
        </w:rPr>
        <w:t>y los </w:t>
      </w:r>
      <w:r>
        <w:rPr>
          <w:i/>
          <w:sz w:val="20"/>
        </w:rPr>
        <w:t>aspiradores híbridos </w:t>
      </w:r>
      <w:r>
        <w:rPr>
          <w:sz w:val="20"/>
        </w:rPr>
        <w:t>deben disponerse en un lugar accesible para realizar su</w:t>
      </w:r>
      <w:r>
        <w:rPr>
          <w:spacing w:val="-1"/>
          <w:sz w:val="20"/>
        </w:rPr>
        <w:t> </w:t>
      </w:r>
      <w:r>
        <w:rPr>
          <w:sz w:val="20"/>
        </w:rPr>
        <w:t>limpieza.</w:t>
      </w:r>
    </w:p>
    <w:p>
      <w:pPr>
        <w:pStyle w:val="BodyText"/>
        <w:rPr>
          <w:sz w:val="22"/>
        </w:rPr>
      </w:pPr>
    </w:p>
    <w:p>
      <w:pPr>
        <w:spacing w:before="158"/>
        <w:ind w:left="2870" w:right="337" w:firstLine="0"/>
        <w:jc w:val="both"/>
        <w:rPr>
          <w:sz w:val="16"/>
        </w:rPr>
      </w:pPr>
      <w:r>
        <w:rPr/>
        <w:pict>
          <v:line style="position:absolute;mso-position-horizontal-relative:page;mso-position-vertical-relative:paragraph;z-index:251911168" from="198.119995pt,5.02451pt" to="198.119995pt,47.86451pt" stroked="true" strokeweight=".48pt" strokecolor="#000000">
            <v:stroke dashstyle="solid"/>
            <w10:wrap type="none"/>
          </v:line>
        </w:pict>
      </w:r>
      <w:r>
        <w:rPr>
          <w:sz w:val="16"/>
        </w:rPr>
        <w:t>El funcionamiento de los aspiradores debe ser continuo, pero esto no quiere decir que funcio- ne en régimen mecánico siempre, esto solo ocurrirá si el extractor es mecánico. En el caso de un extractor híbrido, funcionará en régimen natural cuando las condiciones atmosféricas sean favorables y en régimen mecánico cuando sean adversas.</w:t>
      </w:r>
    </w:p>
    <w:p>
      <w:pPr>
        <w:pStyle w:val="BodyText"/>
        <w:spacing w:before="3"/>
        <w:rPr>
          <w:sz w:val="22"/>
        </w:rPr>
      </w:pPr>
    </w:p>
    <w:p>
      <w:pPr>
        <w:pStyle w:val="ListParagraph"/>
        <w:numPr>
          <w:ilvl w:val="0"/>
          <w:numId w:val="133"/>
        </w:numPr>
        <w:tabs>
          <w:tab w:pos="579" w:val="left" w:leader="none"/>
        </w:tabs>
        <w:spacing w:line="240" w:lineRule="auto" w:before="94" w:after="0"/>
        <w:ind w:left="575" w:right="392" w:hanging="358"/>
        <w:jc w:val="both"/>
        <w:rPr>
          <w:sz w:val="20"/>
        </w:rPr>
      </w:pPr>
      <w:r>
        <w:rPr>
          <w:sz w:val="20"/>
        </w:rPr>
        <w:t>Previo a los </w:t>
      </w:r>
      <w:r>
        <w:rPr>
          <w:i/>
          <w:sz w:val="20"/>
        </w:rPr>
        <w:t>extractores </w:t>
      </w:r>
      <w:r>
        <w:rPr>
          <w:sz w:val="20"/>
        </w:rPr>
        <w:t>de las cocinas debe disponerse un filtro de grasas y aceites dotado de un dispositivo que indique cuando debe reemplazarse o limpiarse dicho</w:t>
      </w:r>
      <w:r>
        <w:rPr>
          <w:spacing w:val="-12"/>
          <w:sz w:val="20"/>
        </w:rPr>
        <w:t> </w:t>
      </w:r>
      <w:r>
        <w:rPr>
          <w:sz w:val="20"/>
        </w:rPr>
        <w:t>filtro.</w:t>
      </w:r>
    </w:p>
    <w:p>
      <w:pPr>
        <w:pStyle w:val="ListParagraph"/>
        <w:numPr>
          <w:ilvl w:val="0"/>
          <w:numId w:val="133"/>
        </w:numPr>
        <w:tabs>
          <w:tab w:pos="579" w:val="left" w:leader="none"/>
        </w:tabs>
        <w:spacing w:line="240" w:lineRule="auto" w:before="60" w:after="0"/>
        <w:ind w:left="575" w:right="389" w:hanging="358"/>
        <w:jc w:val="both"/>
        <w:rPr>
          <w:sz w:val="20"/>
        </w:rPr>
      </w:pPr>
      <w:r>
        <w:rPr>
          <w:sz w:val="20"/>
        </w:rPr>
        <w:t>Debe disponerse un sistema automático que actúe de tal forma que todos los </w:t>
      </w:r>
      <w:r>
        <w:rPr>
          <w:i/>
          <w:sz w:val="20"/>
        </w:rPr>
        <w:t>aspiradores híbridos </w:t>
      </w:r>
      <w:r>
        <w:rPr>
          <w:sz w:val="20"/>
        </w:rPr>
        <w:t>y </w:t>
      </w:r>
      <w:r>
        <w:rPr>
          <w:i/>
          <w:sz w:val="20"/>
        </w:rPr>
        <w:t>mecánicos </w:t>
      </w:r>
      <w:r>
        <w:rPr>
          <w:sz w:val="20"/>
        </w:rPr>
        <w:t>de cada vivienda funcionen simultáneamente o adoptar cualquier otra solución que impi- da la inversión del desplazamiento del aire en todos los</w:t>
      </w:r>
      <w:r>
        <w:rPr>
          <w:spacing w:val="-8"/>
          <w:sz w:val="20"/>
        </w:rPr>
        <w:t> </w:t>
      </w:r>
      <w:r>
        <w:rPr>
          <w:sz w:val="20"/>
        </w:rPr>
        <w:t>puntos.</w:t>
      </w:r>
    </w:p>
    <w:p>
      <w:pPr>
        <w:pStyle w:val="BodyText"/>
        <w:spacing w:before="9"/>
        <w:rPr>
          <w:sz w:val="22"/>
        </w:rPr>
      </w:pPr>
    </w:p>
    <w:p>
      <w:pPr>
        <w:pStyle w:val="Heading5"/>
        <w:numPr>
          <w:ilvl w:val="2"/>
          <w:numId w:val="128"/>
        </w:numPr>
        <w:tabs>
          <w:tab w:pos="939" w:val="left" w:leader="none"/>
        </w:tabs>
        <w:spacing w:line="240" w:lineRule="auto" w:before="0" w:after="0"/>
        <w:ind w:left="938" w:right="0" w:hanging="721"/>
        <w:jc w:val="both"/>
      </w:pPr>
      <w:r>
        <w:rPr/>
        <w:t>Ventanas y puertas</w:t>
      </w:r>
      <w:r>
        <w:rPr>
          <w:spacing w:val="-4"/>
        </w:rPr>
        <w:t> </w:t>
      </w:r>
      <w:r>
        <w:rPr/>
        <w:t>exteriores</w:t>
      </w:r>
    </w:p>
    <w:p>
      <w:pPr>
        <w:pStyle w:val="BodyText"/>
        <w:spacing w:before="98"/>
        <w:ind w:left="575" w:right="392" w:hanging="358"/>
        <w:jc w:val="both"/>
      </w:pPr>
      <w:r>
        <w:rPr/>
        <w:t>1 Las ventanas y puertas exteriores que se dispongan para la ventilación natural complementaria de-  ben estar en contacto con un espacio que tenga las mismas características que el exigido para las </w:t>
      </w:r>
      <w:r>
        <w:rPr>
          <w:i/>
        </w:rPr>
        <w:t>aberturas de</w:t>
      </w:r>
      <w:r>
        <w:rPr>
          <w:i/>
          <w:spacing w:val="-4"/>
        </w:rPr>
        <w:t> </w:t>
      </w:r>
      <w:r>
        <w:rPr>
          <w:i/>
        </w:rPr>
        <w:t>admisión</w:t>
      </w:r>
      <w:r>
        <w:rPr/>
        <w:t>.</w:t>
      </w:r>
    </w:p>
    <w:p>
      <w:pPr>
        <w:pStyle w:val="BodyText"/>
        <w:rPr>
          <w:sz w:val="22"/>
        </w:rPr>
      </w:pPr>
    </w:p>
    <w:p>
      <w:pPr>
        <w:pStyle w:val="BodyText"/>
        <w:spacing w:before="1"/>
        <w:rPr>
          <w:sz w:val="25"/>
        </w:rPr>
      </w:pPr>
    </w:p>
    <w:p>
      <w:pPr>
        <w:pStyle w:val="Heading2"/>
        <w:numPr>
          <w:ilvl w:val="0"/>
          <w:numId w:val="134"/>
        </w:numPr>
        <w:tabs>
          <w:tab w:pos="843" w:val="left" w:leader="none"/>
        </w:tabs>
        <w:spacing w:line="240" w:lineRule="auto" w:before="0" w:after="0"/>
        <w:ind w:left="842" w:right="0" w:hanging="625"/>
        <w:jc w:val="both"/>
      </w:pPr>
      <w:r>
        <w:rPr/>
        <w:t>Dimensionado</w:t>
      </w:r>
    </w:p>
    <w:p>
      <w:pPr>
        <w:pStyle w:val="BodyText"/>
        <w:spacing w:before="3"/>
        <w:rPr>
          <w:b/>
          <w:sz w:val="38"/>
        </w:rPr>
      </w:pPr>
    </w:p>
    <w:p>
      <w:pPr>
        <w:pStyle w:val="Heading3"/>
        <w:numPr>
          <w:ilvl w:val="1"/>
          <w:numId w:val="134"/>
        </w:numPr>
        <w:tabs>
          <w:tab w:pos="672" w:val="left" w:leader="none"/>
        </w:tabs>
        <w:spacing w:line="240" w:lineRule="auto" w:before="1" w:after="0"/>
        <w:ind w:left="671" w:right="0" w:hanging="454"/>
        <w:jc w:val="both"/>
      </w:pPr>
      <w:r>
        <w:rPr/>
        <w:t>Aberturas de</w:t>
      </w:r>
      <w:r>
        <w:rPr>
          <w:spacing w:val="-2"/>
        </w:rPr>
        <w:t> </w:t>
      </w:r>
      <w:r>
        <w:rPr/>
        <w:t>ventilación</w:t>
      </w:r>
    </w:p>
    <w:p>
      <w:pPr>
        <w:spacing w:before="97"/>
        <w:ind w:left="575" w:right="391" w:hanging="358"/>
        <w:jc w:val="both"/>
        <w:rPr>
          <w:sz w:val="20"/>
        </w:rPr>
      </w:pPr>
      <w:r>
        <w:rPr>
          <w:sz w:val="20"/>
        </w:rPr>
        <w:t>1   El </w:t>
      </w:r>
      <w:r>
        <w:rPr>
          <w:i/>
          <w:sz w:val="20"/>
        </w:rPr>
        <w:t>área efectiva </w:t>
      </w:r>
      <w:r>
        <w:rPr>
          <w:sz w:val="20"/>
        </w:rPr>
        <w:t>total de las </w:t>
      </w:r>
      <w:r>
        <w:rPr>
          <w:i/>
          <w:sz w:val="20"/>
        </w:rPr>
        <w:t>aberturas de ventilación </w:t>
      </w:r>
      <w:r>
        <w:rPr>
          <w:sz w:val="20"/>
        </w:rPr>
        <w:t>de cada </w:t>
      </w:r>
      <w:r>
        <w:rPr>
          <w:i/>
          <w:sz w:val="20"/>
        </w:rPr>
        <w:t>local </w:t>
      </w:r>
      <w:r>
        <w:rPr>
          <w:sz w:val="20"/>
        </w:rPr>
        <w:t>debe ser como mínimo la mayor   de las que se obtienen mediante las fórmulas que figuran en la tabla</w:t>
      </w:r>
      <w:r>
        <w:rPr>
          <w:spacing w:val="-19"/>
          <w:sz w:val="20"/>
        </w:rPr>
        <w:t> </w:t>
      </w:r>
      <w:r>
        <w:rPr>
          <w:sz w:val="20"/>
        </w:rPr>
        <w:t>4.1.</w:t>
      </w:r>
    </w:p>
    <w:p>
      <w:pPr>
        <w:pStyle w:val="BodyText"/>
        <w:rPr>
          <w:sz w:val="22"/>
        </w:rPr>
      </w:pPr>
    </w:p>
    <w:p>
      <w:pPr>
        <w:spacing w:before="157"/>
        <w:ind w:left="2870" w:right="340" w:firstLine="0"/>
        <w:jc w:val="both"/>
        <w:rPr>
          <w:sz w:val="16"/>
        </w:rPr>
      </w:pPr>
      <w:r>
        <w:rPr/>
        <w:pict>
          <v:line style="position:absolute;mso-position-horizontal-relative:page;mso-position-vertical-relative:paragraph;z-index:251912192" from="198.119995pt,4.974518pt" to="198.119995pt,38.574518pt" stroked="true" strokeweight=".48pt" strokecolor="#000000">
            <v:stroke dashstyle="solid"/>
            <w10:wrap type="none"/>
          </v:line>
        </w:pict>
      </w:r>
      <w:r>
        <w:rPr>
          <w:sz w:val="16"/>
        </w:rPr>
        <w:t>Las </w:t>
      </w:r>
      <w:r>
        <w:rPr>
          <w:i/>
          <w:sz w:val="16"/>
        </w:rPr>
        <w:t>aberturas de admisión </w:t>
      </w:r>
      <w:r>
        <w:rPr>
          <w:sz w:val="16"/>
        </w:rPr>
        <w:t>a las que se refiere este dimensionado son exclusivamente los aireadores, puesto que la aperturas de microventilación, de acuerdo a lo establecido en el apartado 3.1.1, vienen avaladas por su clasificación por el ensayo según UNE EN 12207:2000.</w:t>
      </w:r>
    </w:p>
    <w:p>
      <w:pPr>
        <w:pStyle w:val="BodyText"/>
        <w:spacing w:before="6"/>
        <w:rPr>
          <w:sz w:val="27"/>
        </w:rPr>
      </w:pPr>
    </w:p>
    <w:p>
      <w:pPr>
        <w:spacing w:before="94"/>
        <w:ind w:left="2870" w:right="335" w:firstLine="0"/>
        <w:jc w:val="both"/>
        <w:rPr>
          <w:sz w:val="16"/>
        </w:rPr>
      </w:pPr>
      <w:r>
        <w:rPr/>
        <w:pict>
          <v:line style="position:absolute;mso-position-horizontal-relative:page;mso-position-vertical-relative:paragraph;z-index:251913216" from="198.119995pt,1.824523pt" to="198.119995pt,56.844523pt" stroked="true" strokeweight=".48pt" strokecolor="#000000">
            <v:stroke dashstyle="solid"/>
            <w10:wrap type="none"/>
          </v:line>
        </w:pict>
      </w:r>
      <w:r>
        <w:rPr>
          <w:sz w:val="16"/>
        </w:rPr>
        <w:t>Se puede considerar que el área equivalente a la permeabilidad por opacos y a las </w:t>
      </w:r>
      <w:r>
        <w:rPr>
          <w:i/>
          <w:sz w:val="16"/>
        </w:rPr>
        <w:t>juntas de </w:t>
      </w:r>
      <w:r>
        <w:rPr>
          <w:i/>
          <w:sz w:val="16"/>
        </w:rPr>
        <w:t>apertura </w:t>
      </w:r>
      <w:r>
        <w:rPr>
          <w:sz w:val="16"/>
        </w:rPr>
        <w:t>de las carpinterías exteriores forma parte del </w:t>
      </w:r>
      <w:r>
        <w:rPr>
          <w:i/>
          <w:sz w:val="16"/>
        </w:rPr>
        <w:t>área efectiva </w:t>
      </w:r>
      <w:r>
        <w:rPr>
          <w:sz w:val="16"/>
        </w:rPr>
        <w:t>de las </w:t>
      </w:r>
      <w:r>
        <w:rPr>
          <w:i/>
          <w:sz w:val="16"/>
        </w:rPr>
        <w:t>aberturas de venti- </w:t>
      </w:r>
      <w:r>
        <w:rPr>
          <w:i/>
          <w:sz w:val="16"/>
        </w:rPr>
        <w:t>lación </w:t>
      </w:r>
      <w:r>
        <w:rPr>
          <w:sz w:val="16"/>
        </w:rPr>
        <w:t>de cada local seco.</w:t>
      </w:r>
    </w:p>
    <w:p>
      <w:pPr>
        <w:spacing w:before="120"/>
        <w:ind w:left="2870" w:right="339" w:firstLine="0"/>
        <w:jc w:val="both"/>
        <w:rPr>
          <w:sz w:val="16"/>
        </w:rPr>
      </w:pPr>
      <w:r>
        <w:rPr>
          <w:sz w:val="16"/>
        </w:rPr>
        <w:t>Por ello, para el dimensionado de las </w:t>
      </w:r>
      <w:r>
        <w:rPr>
          <w:i/>
          <w:sz w:val="16"/>
        </w:rPr>
        <w:t>aberturas de admisión</w:t>
      </w:r>
      <w:r>
        <w:rPr>
          <w:sz w:val="16"/>
        </w:rPr>
        <w:t>, el </w:t>
      </w:r>
      <w:r>
        <w:rPr>
          <w:i/>
          <w:sz w:val="16"/>
        </w:rPr>
        <w:t>área efectiva </w:t>
      </w:r>
      <w:r>
        <w:rPr>
          <w:sz w:val="16"/>
        </w:rPr>
        <w:t>correspondiente de la tabla 4.1 puede reducirse con las áreas equivalentes a la permeabilidad por opacos y a</w:t>
      </w:r>
    </w:p>
    <w:p>
      <w:pPr>
        <w:spacing w:after="0"/>
        <w:jc w:val="both"/>
        <w:rPr>
          <w:sz w:val="16"/>
        </w:rPr>
        <w:sectPr>
          <w:pgSz w:w="11910" w:h="16840"/>
          <w:pgMar w:header="724" w:footer="636" w:top="1320" w:bottom="820" w:left="1200" w:right="738"/>
        </w:sectPr>
      </w:pPr>
    </w:p>
    <w:p>
      <w:pPr>
        <w:spacing w:before="90"/>
        <w:ind w:left="2870" w:right="0" w:firstLine="0"/>
        <w:jc w:val="left"/>
        <w:rPr>
          <w:sz w:val="16"/>
        </w:rPr>
      </w:pPr>
      <w:r>
        <w:rPr/>
        <w:pict>
          <v:line style="position:absolute;mso-position-horizontal-relative:page;mso-position-vertical-relative:paragraph;z-index:251914240" from="198.119995pt,4.624224pt" to="198.119995pt,16.804224pt" stroked="true" strokeweight=".48pt" strokecolor="#000000">
            <v:stroke dashstyle="solid"/>
            <w10:wrap type="none"/>
          </v:line>
        </w:pict>
      </w:r>
      <w:r>
        <w:rPr>
          <w:sz w:val="16"/>
        </w:rPr>
        <w:t>las </w:t>
      </w:r>
      <w:r>
        <w:rPr>
          <w:i/>
          <w:sz w:val="16"/>
        </w:rPr>
        <w:t>juntas de apertura</w:t>
      </w:r>
      <w:r>
        <w:rPr>
          <w:sz w:val="16"/>
        </w:rPr>
        <w:t>, con la debida justificación de su estimación.</w:t>
      </w:r>
    </w:p>
    <w:p>
      <w:pPr>
        <w:pStyle w:val="BodyText"/>
        <w:spacing w:before="8"/>
        <w:rPr>
          <w:sz w:val="21"/>
        </w:rPr>
      </w:pPr>
    </w:p>
    <w:p>
      <w:pPr>
        <w:spacing w:before="96"/>
        <w:ind w:left="655" w:right="829" w:firstLine="0"/>
        <w:jc w:val="center"/>
        <w:rPr>
          <w:b/>
          <w:sz w:val="12"/>
        </w:rPr>
      </w:pPr>
      <w:r>
        <w:rPr>
          <w:b/>
          <w:sz w:val="18"/>
        </w:rPr>
        <w:t>Tabla 4.1 </w:t>
      </w:r>
      <w:r>
        <w:rPr>
          <w:b/>
          <w:i/>
          <w:sz w:val="18"/>
        </w:rPr>
        <w:t>Área efectiva </w:t>
      </w:r>
      <w:r>
        <w:rPr>
          <w:b/>
          <w:sz w:val="18"/>
        </w:rPr>
        <w:t>de las </w:t>
      </w:r>
      <w:r>
        <w:rPr>
          <w:b/>
          <w:i/>
          <w:sz w:val="18"/>
        </w:rPr>
        <w:t>aberturas de ventilación </w:t>
      </w:r>
      <w:r>
        <w:rPr>
          <w:b/>
          <w:sz w:val="18"/>
        </w:rPr>
        <w:t>de un local en cm</w:t>
      </w:r>
      <w:r>
        <w:rPr>
          <w:b/>
          <w:position w:val="6"/>
          <w:sz w:val="12"/>
        </w:rPr>
        <w:t>2</w:t>
      </w:r>
    </w:p>
    <w:tbl>
      <w:tblPr>
        <w:tblW w:w="0" w:type="auto"/>
        <w:jc w:val="left"/>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3072"/>
        <w:gridCol w:w="2183"/>
      </w:tblGrid>
      <w:tr>
        <w:trPr>
          <w:trHeight w:val="641" w:hRule="atLeast"/>
        </w:trPr>
        <w:tc>
          <w:tcPr>
            <w:tcW w:w="480" w:type="dxa"/>
            <w:vMerge w:val="restart"/>
            <w:tcBorders>
              <w:top w:val="nil"/>
              <w:left w:val="nil"/>
            </w:tcBorders>
            <w:textDirection w:val="btLr"/>
          </w:tcPr>
          <w:p>
            <w:pPr>
              <w:pStyle w:val="TableParagraph"/>
              <w:spacing w:before="76"/>
              <w:ind w:left="149"/>
              <w:jc w:val="left"/>
              <w:rPr>
                <w:b/>
                <w:i/>
                <w:sz w:val="18"/>
              </w:rPr>
            </w:pPr>
            <w:r>
              <w:rPr>
                <w:b/>
                <w:i/>
                <w:sz w:val="18"/>
              </w:rPr>
              <w:t>Aberturas de ventilación</w:t>
            </w:r>
          </w:p>
        </w:tc>
        <w:tc>
          <w:tcPr>
            <w:tcW w:w="3072" w:type="dxa"/>
            <w:tcBorders>
              <w:top w:val="nil"/>
            </w:tcBorders>
          </w:tcPr>
          <w:p>
            <w:pPr>
              <w:pStyle w:val="TableParagraph"/>
              <w:spacing w:before="8"/>
              <w:jc w:val="left"/>
              <w:rPr>
                <w:b/>
                <w:sz w:val="18"/>
              </w:rPr>
            </w:pPr>
          </w:p>
          <w:p>
            <w:pPr>
              <w:pStyle w:val="TableParagraph"/>
              <w:ind w:left="484" w:right="475"/>
              <w:rPr>
                <w:b/>
                <w:i/>
                <w:sz w:val="18"/>
              </w:rPr>
            </w:pPr>
            <w:r>
              <w:rPr>
                <w:b/>
                <w:i/>
                <w:sz w:val="18"/>
              </w:rPr>
              <w:t>Aberturas de admisión</w:t>
            </w:r>
          </w:p>
        </w:tc>
        <w:tc>
          <w:tcPr>
            <w:tcW w:w="2183" w:type="dxa"/>
            <w:tcBorders>
              <w:top w:val="nil"/>
              <w:right w:val="nil"/>
            </w:tcBorders>
          </w:tcPr>
          <w:p>
            <w:pPr>
              <w:pStyle w:val="TableParagraph"/>
              <w:spacing w:before="111"/>
              <w:ind w:left="736" w:right="731"/>
              <w:rPr>
                <w:sz w:val="12"/>
                <w:szCs w:val="12"/>
              </w:rPr>
            </w:pPr>
            <w:r>
              <w:rPr>
                <w:w w:val="90"/>
                <w:position w:val="1"/>
                <w:sz w:val="18"/>
                <w:szCs w:val="18"/>
              </w:rPr>
              <w:t>4ꞏq</w:t>
            </w:r>
            <w:r>
              <w:rPr>
                <w:w w:val="90"/>
                <w:sz w:val="12"/>
                <w:szCs w:val="12"/>
              </w:rPr>
              <w:t>v </w:t>
            </w:r>
            <w:r>
              <w:rPr>
                <w:w w:val="90"/>
                <w:position w:val="1"/>
                <w:sz w:val="18"/>
                <w:szCs w:val="18"/>
              </w:rPr>
              <w:t>ó </w:t>
            </w:r>
            <w:r>
              <w:rPr>
                <w:w w:val="85"/>
                <w:position w:val="1"/>
                <w:sz w:val="18"/>
                <w:szCs w:val="18"/>
              </w:rPr>
              <w:t>4ꞏq</w:t>
            </w:r>
            <w:r>
              <w:rPr>
                <w:w w:val="85"/>
                <w:sz w:val="12"/>
                <w:szCs w:val="12"/>
              </w:rPr>
              <w:t>va</w:t>
            </w:r>
          </w:p>
        </w:tc>
      </w:tr>
      <w:tr>
        <w:trPr>
          <w:trHeight w:val="641" w:hRule="atLeast"/>
        </w:trPr>
        <w:tc>
          <w:tcPr>
            <w:tcW w:w="480" w:type="dxa"/>
            <w:vMerge/>
            <w:tcBorders>
              <w:top w:val="nil"/>
              <w:left w:val="nil"/>
            </w:tcBorders>
            <w:textDirection w:val="btLr"/>
          </w:tcPr>
          <w:p>
            <w:pPr>
              <w:rPr>
                <w:sz w:val="2"/>
                <w:szCs w:val="2"/>
              </w:rPr>
            </w:pPr>
          </w:p>
        </w:tc>
        <w:tc>
          <w:tcPr>
            <w:tcW w:w="3072" w:type="dxa"/>
          </w:tcPr>
          <w:p>
            <w:pPr>
              <w:pStyle w:val="TableParagraph"/>
              <w:spacing w:before="7"/>
              <w:jc w:val="left"/>
              <w:rPr>
                <w:b/>
                <w:sz w:val="18"/>
              </w:rPr>
            </w:pPr>
          </w:p>
          <w:p>
            <w:pPr>
              <w:pStyle w:val="TableParagraph"/>
              <w:spacing w:before="1"/>
              <w:ind w:left="484" w:right="476"/>
              <w:rPr>
                <w:b/>
                <w:i/>
                <w:sz w:val="18"/>
              </w:rPr>
            </w:pPr>
            <w:r>
              <w:rPr>
                <w:b/>
                <w:i/>
                <w:sz w:val="18"/>
              </w:rPr>
              <w:t>Aberturas de extracción</w:t>
            </w:r>
          </w:p>
        </w:tc>
        <w:tc>
          <w:tcPr>
            <w:tcW w:w="2183" w:type="dxa"/>
            <w:tcBorders>
              <w:right w:val="nil"/>
            </w:tcBorders>
          </w:tcPr>
          <w:p>
            <w:pPr>
              <w:pStyle w:val="TableParagraph"/>
              <w:spacing w:before="111"/>
              <w:ind w:left="736" w:right="731"/>
              <w:rPr>
                <w:sz w:val="12"/>
                <w:szCs w:val="12"/>
              </w:rPr>
            </w:pPr>
            <w:r>
              <w:rPr>
                <w:w w:val="90"/>
                <w:position w:val="1"/>
                <w:sz w:val="18"/>
                <w:szCs w:val="18"/>
              </w:rPr>
              <w:t>4ꞏq</w:t>
            </w:r>
            <w:r>
              <w:rPr>
                <w:w w:val="90"/>
                <w:sz w:val="12"/>
                <w:szCs w:val="12"/>
              </w:rPr>
              <w:t>v </w:t>
            </w:r>
            <w:r>
              <w:rPr>
                <w:w w:val="90"/>
                <w:position w:val="1"/>
                <w:sz w:val="18"/>
                <w:szCs w:val="18"/>
              </w:rPr>
              <w:t>ó </w:t>
            </w:r>
            <w:r>
              <w:rPr>
                <w:w w:val="85"/>
                <w:position w:val="1"/>
                <w:sz w:val="18"/>
                <w:szCs w:val="18"/>
              </w:rPr>
              <w:t>4ꞏq</w:t>
            </w:r>
            <w:r>
              <w:rPr>
                <w:w w:val="85"/>
                <w:sz w:val="12"/>
                <w:szCs w:val="12"/>
              </w:rPr>
              <w:t>ve</w:t>
            </w:r>
          </w:p>
        </w:tc>
      </w:tr>
      <w:tr>
        <w:trPr>
          <w:trHeight w:val="560" w:hRule="atLeast"/>
        </w:trPr>
        <w:tc>
          <w:tcPr>
            <w:tcW w:w="480" w:type="dxa"/>
            <w:vMerge/>
            <w:tcBorders>
              <w:top w:val="nil"/>
              <w:left w:val="nil"/>
            </w:tcBorders>
            <w:textDirection w:val="btLr"/>
          </w:tcPr>
          <w:p>
            <w:pPr>
              <w:rPr>
                <w:sz w:val="2"/>
                <w:szCs w:val="2"/>
              </w:rPr>
            </w:pPr>
          </w:p>
        </w:tc>
        <w:tc>
          <w:tcPr>
            <w:tcW w:w="3072" w:type="dxa"/>
          </w:tcPr>
          <w:p>
            <w:pPr>
              <w:pStyle w:val="TableParagraph"/>
              <w:spacing w:before="174"/>
              <w:ind w:left="484" w:right="476"/>
              <w:rPr>
                <w:b/>
                <w:i/>
                <w:sz w:val="18"/>
              </w:rPr>
            </w:pPr>
            <w:r>
              <w:rPr>
                <w:b/>
                <w:i/>
                <w:sz w:val="18"/>
              </w:rPr>
              <w:t>Aberturas de paso</w:t>
            </w:r>
          </w:p>
        </w:tc>
        <w:tc>
          <w:tcPr>
            <w:tcW w:w="2183" w:type="dxa"/>
            <w:tcBorders>
              <w:right w:val="nil"/>
            </w:tcBorders>
          </w:tcPr>
          <w:p>
            <w:pPr>
              <w:pStyle w:val="TableParagraph"/>
              <w:spacing w:before="67"/>
              <w:ind w:left="736" w:right="732"/>
              <w:rPr>
                <w:sz w:val="12"/>
                <w:szCs w:val="12"/>
              </w:rPr>
            </w:pPr>
            <w:r>
              <w:rPr>
                <w:sz w:val="18"/>
                <w:szCs w:val="18"/>
              </w:rPr>
              <w:t>70 cm</w:t>
            </w:r>
            <w:r>
              <w:rPr>
                <w:position w:val="6"/>
                <w:sz w:val="12"/>
                <w:szCs w:val="12"/>
              </w:rPr>
              <w:t>2 </w:t>
            </w:r>
            <w:r>
              <w:rPr>
                <w:sz w:val="18"/>
                <w:szCs w:val="18"/>
              </w:rPr>
              <w:t>ó</w:t>
            </w:r>
            <w:r>
              <w:rPr>
                <w:position w:val="1"/>
                <w:sz w:val="18"/>
                <w:szCs w:val="18"/>
              </w:rPr>
              <w:t> 8ꞏq</w:t>
            </w:r>
            <w:r>
              <w:rPr>
                <w:sz w:val="12"/>
                <w:szCs w:val="12"/>
              </w:rPr>
              <w:t>vp</w:t>
            </w:r>
          </w:p>
        </w:tc>
      </w:tr>
      <w:tr>
        <w:trPr>
          <w:trHeight w:val="528" w:hRule="atLeast"/>
        </w:trPr>
        <w:tc>
          <w:tcPr>
            <w:tcW w:w="480" w:type="dxa"/>
            <w:vMerge/>
            <w:tcBorders>
              <w:top w:val="nil"/>
              <w:left w:val="nil"/>
            </w:tcBorders>
            <w:textDirection w:val="btLr"/>
          </w:tcPr>
          <w:p>
            <w:pPr>
              <w:rPr>
                <w:sz w:val="2"/>
                <w:szCs w:val="2"/>
              </w:rPr>
            </w:pPr>
          </w:p>
        </w:tc>
        <w:tc>
          <w:tcPr>
            <w:tcW w:w="3072" w:type="dxa"/>
          </w:tcPr>
          <w:p>
            <w:pPr>
              <w:pStyle w:val="TableParagraph"/>
              <w:spacing w:before="153"/>
              <w:ind w:left="482" w:right="476"/>
              <w:rPr>
                <w:b/>
                <w:sz w:val="12"/>
              </w:rPr>
            </w:pPr>
            <w:r>
              <w:rPr>
                <w:b/>
                <w:i/>
                <w:sz w:val="18"/>
              </w:rPr>
              <w:t>Aberturas mixtas </w:t>
            </w:r>
            <w:r>
              <w:rPr>
                <w:b/>
                <w:position w:val="6"/>
                <w:sz w:val="12"/>
              </w:rPr>
              <w:t>(1)</w:t>
            </w:r>
          </w:p>
        </w:tc>
        <w:tc>
          <w:tcPr>
            <w:tcW w:w="2183" w:type="dxa"/>
            <w:tcBorders>
              <w:right w:val="nil"/>
            </w:tcBorders>
          </w:tcPr>
          <w:p>
            <w:pPr>
              <w:pStyle w:val="TableParagraph"/>
              <w:spacing w:before="158"/>
              <w:ind w:left="733" w:right="732"/>
              <w:rPr>
                <w:sz w:val="12"/>
                <w:szCs w:val="12"/>
              </w:rPr>
            </w:pPr>
            <w:r>
              <w:rPr>
                <w:w w:val="95"/>
                <w:position w:val="1"/>
                <w:sz w:val="18"/>
                <w:szCs w:val="18"/>
              </w:rPr>
              <w:t>8ꞏq</w:t>
            </w:r>
            <w:r>
              <w:rPr>
                <w:w w:val="95"/>
                <w:sz w:val="12"/>
                <w:szCs w:val="12"/>
              </w:rPr>
              <w:t>v</w:t>
            </w:r>
          </w:p>
        </w:tc>
      </w:tr>
    </w:tbl>
    <w:p>
      <w:pPr>
        <w:pStyle w:val="BodyText"/>
        <w:spacing w:before="7"/>
        <w:rPr>
          <w:b/>
          <w:sz w:val="17"/>
        </w:rPr>
      </w:pPr>
    </w:p>
    <w:p>
      <w:pPr>
        <w:pStyle w:val="ListParagraph"/>
        <w:numPr>
          <w:ilvl w:val="0"/>
          <w:numId w:val="135"/>
        </w:numPr>
        <w:tabs>
          <w:tab w:pos="1088" w:val="left" w:leader="none"/>
        </w:tabs>
        <w:spacing w:line="240" w:lineRule="auto" w:before="0" w:after="0"/>
        <w:ind w:left="1088" w:right="391" w:hanging="360"/>
        <w:jc w:val="left"/>
        <w:rPr>
          <w:sz w:val="20"/>
        </w:rPr>
      </w:pPr>
      <w:r>
        <w:rPr>
          <w:sz w:val="20"/>
        </w:rPr>
        <w:t>El </w:t>
      </w:r>
      <w:r>
        <w:rPr>
          <w:i/>
          <w:sz w:val="20"/>
        </w:rPr>
        <w:t>área efectiva </w:t>
      </w:r>
      <w:r>
        <w:rPr>
          <w:sz w:val="20"/>
        </w:rPr>
        <w:t>total de las </w:t>
      </w:r>
      <w:r>
        <w:rPr>
          <w:i/>
          <w:sz w:val="20"/>
        </w:rPr>
        <w:t>aberturas mixtas </w:t>
      </w:r>
      <w:r>
        <w:rPr>
          <w:sz w:val="20"/>
        </w:rPr>
        <w:t>de cada zona opuesta de fachada y de la zona equidistante debe ser como mínimo el área total</w:t>
      </w:r>
      <w:r>
        <w:rPr>
          <w:spacing w:val="-8"/>
          <w:sz w:val="20"/>
        </w:rPr>
        <w:t> </w:t>
      </w:r>
      <w:r>
        <w:rPr>
          <w:sz w:val="20"/>
        </w:rPr>
        <w:t>exigida.</w:t>
      </w:r>
    </w:p>
    <w:p>
      <w:pPr>
        <w:pStyle w:val="BodyText"/>
        <w:spacing w:before="2"/>
        <w:rPr>
          <w:sz w:val="25"/>
        </w:rPr>
      </w:pPr>
    </w:p>
    <w:p>
      <w:pPr>
        <w:pStyle w:val="BodyText"/>
        <w:spacing w:before="1"/>
        <w:ind w:left="698"/>
      </w:pPr>
      <w:r>
        <w:rPr/>
        <w:t>siendo</w:t>
      </w:r>
    </w:p>
    <w:p>
      <w:pPr>
        <w:pStyle w:val="BodyText"/>
        <w:tabs>
          <w:tab w:pos="1493" w:val="left" w:leader="none"/>
        </w:tabs>
        <w:spacing w:before="58"/>
        <w:ind w:left="1494" w:right="418" w:hanging="850"/>
      </w:pPr>
      <w:r>
        <w:rPr>
          <w:position w:val="1"/>
        </w:rPr>
        <w:t>q</w:t>
      </w:r>
      <w:r>
        <w:rPr>
          <w:sz w:val="13"/>
        </w:rPr>
        <w:t>v</w:t>
      </w:r>
      <w:r>
        <w:rPr>
          <w:position w:val="1"/>
        </w:rPr>
        <w:t>:</w:t>
        <w:tab/>
        <w:t>caudal de ventilación mínimo exigido del local [l/s], obtenido de las tablas 2.1 o 2.2 o del </w:t>
      </w:r>
      <w:r>
        <w:rPr/>
        <w:t>cálculo realizado para cumplir la</w:t>
      </w:r>
      <w:r>
        <w:rPr>
          <w:spacing w:val="-2"/>
        </w:rPr>
        <w:t> </w:t>
      </w:r>
      <w:r>
        <w:rPr/>
        <w:t>exigencia.</w:t>
      </w:r>
    </w:p>
    <w:p>
      <w:pPr>
        <w:tabs>
          <w:tab w:pos="1466" w:val="left" w:leader="none"/>
        </w:tabs>
        <w:spacing w:before="61"/>
        <w:ind w:left="1466" w:right="391" w:hanging="850"/>
        <w:jc w:val="both"/>
        <w:rPr>
          <w:sz w:val="20"/>
        </w:rPr>
      </w:pPr>
      <w:r>
        <w:rPr>
          <w:position w:val="1"/>
          <w:sz w:val="20"/>
        </w:rPr>
        <w:t>q</w:t>
      </w:r>
      <w:r>
        <w:rPr>
          <w:sz w:val="13"/>
        </w:rPr>
        <w:t>va</w:t>
        <w:tab/>
      </w:r>
      <w:r>
        <w:rPr>
          <w:i/>
          <w:position w:val="1"/>
          <w:sz w:val="20"/>
        </w:rPr>
        <w:t>caudal de ventilación </w:t>
      </w:r>
      <w:r>
        <w:rPr>
          <w:position w:val="1"/>
          <w:sz w:val="20"/>
        </w:rPr>
        <w:t>correspondiente a cada </w:t>
      </w:r>
      <w:r>
        <w:rPr>
          <w:i/>
          <w:position w:val="1"/>
          <w:sz w:val="20"/>
        </w:rPr>
        <w:t>abertura de admisión </w:t>
      </w:r>
      <w:r>
        <w:rPr>
          <w:position w:val="1"/>
          <w:sz w:val="20"/>
        </w:rPr>
        <w:t>del local calculado por </w:t>
      </w:r>
      <w:r>
        <w:rPr>
          <w:sz w:val="20"/>
        </w:rPr>
        <w:t>un procedimiento de </w:t>
      </w:r>
      <w:r>
        <w:rPr>
          <w:i/>
          <w:sz w:val="20"/>
        </w:rPr>
        <w:t>equilibrado de caudales </w:t>
      </w:r>
      <w:r>
        <w:rPr>
          <w:sz w:val="20"/>
        </w:rPr>
        <w:t>de </w:t>
      </w:r>
      <w:r>
        <w:rPr>
          <w:i/>
          <w:sz w:val="20"/>
        </w:rPr>
        <w:t>admisión </w:t>
      </w:r>
      <w:r>
        <w:rPr>
          <w:sz w:val="20"/>
        </w:rPr>
        <w:t>y de </w:t>
      </w:r>
      <w:r>
        <w:rPr>
          <w:i/>
          <w:sz w:val="20"/>
        </w:rPr>
        <w:t>extracción </w:t>
      </w:r>
      <w:r>
        <w:rPr>
          <w:sz w:val="20"/>
        </w:rPr>
        <w:t>y con una hipó- tesis de circulación del aire según la distribución de los locales,</w:t>
      </w:r>
      <w:r>
        <w:rPr>
          <w:spacing w:val="-17"/>
          <w:sz w:val="20"/>
        </w:rPr>
        <w:t> </w:t>
      </w:r>
      <w:r>
        <w:rPr>
          <w:sz w:val="20"/>
        </w:rPr>
        <w:t>[l/s].</w:t>
      </w:r>
    </w:p>
    <w:p>
      <w:pPr>
        <w:tabs>
          <w:tab w:pos="1466" w:val="left" w:leader="none"/>
        </w:tabs>
        <w:spacing w:before="59"/>
        <w:ind w:left="1466" w:right="391" w:hanging="850"/>
        <w:jc w:val="both"/>
        <w:rPr>
          <w:sz w:val="20"/>
        </w:rPr>
      </w:pPr>
      <w:r>
        <w:rPr>
          <w:position w:val="1"/>
          <w:sz w:val="20"/>
        </w:rPr>
        <w:t>q</w:t>
      </w:r>
      <w:r>
        <w:rPr>
          <w:sz w:val="13"/>
        </w:rPr>
        <w:t>ve</w:t>
        <w:tab/>
      </w:r>
      <w:r>
        <w:rPr>
          <w:i/>
          <w:position w:val="1"/>
          <w:sz w:val="20"/>
        </w:rPr>
        <w:t>caudal de ventilación </w:t>
      </w:r>
      <w:r>
        <w:rPr>
          <w:position w:val="1"/>
          <w:sz w:val="20"/>
        </w:rPr>
        <w:t>correspondiente a cada </w:t>
      </w:r>
      <w:r>
        <w:rPr>
          <w:i/>
          <w:position w:val="1"/>
          <w:sz w:val="20"/>
        </w:rPr>
        <w:t>abertura de extracción </w:t>
      </w:r>
      <w:r>
        <w:rPr>
          <w:position w:val="1"/>
          <w:sz w:val="20"/>
        </w:rPr>
        <w:t>del local calculado por </w:t>
      </w:r>
      <w:r>
        <w:rPr>
          <w:sz w:val="20"/>
        </w:rPr>
        <w:t>un procedimiento de </w:t>
      </w:r>
      <w:r>
        <w:rPr>
          <w:i/>
          <w:sz w:val="20"/>
        </w:rPr>
        <w:t>equilibrado de caudales </w:t>
      </w:r>
      <w:r>
        <w:rPr>
          <w:sz w:val="20"/>
        </w:rPr>
        <w:t>de </w:t>
      </w:r>
      <w:r>
        <w:rPr>
          <w:i/>
          <w:sz w:val="20"/>
        </w:rPr>
        <w:t>admisión </w:t>
      </w:r>
      <w:r>
        <w:rPr>
          <w:sz w:val="20"/>
        </w:rPr>
        <w:t>y de </w:t>
      </w:r>
      <w:r>
        <w:rPr>
          <w:i/>
          <w:sz w:val="20"/>
        </w:rPr>
        <w:t>extracción </w:t>
      </w:r>
      <w:r>
        <w:rPr>
          <w:sz w:val="20"/>
        </w:rPr>
        <w:t>y con una hipó- tesis de circulación del aire según la distribución de los locales,</w:t>
      </w:r>
      <w:r>
        <w:rPr>
          <w:spacing w:val="-17"/>
          <w:sz w:val="20"/>
        </w:rPr>
        <w:t> </w:t>
      </w:r>
      <w:r>
        <w:rPr>
          <w:sz w:val="20"/>
        </w:rPr>
        <w:t>[l/s].</w:t>
      </w:r>
    </w:p>
    <w:p>
      <w:pPr>
        <w:tabs>
          <w:tab w:pos="1466" w:val="left" w:leader="none"/>
        </w:tabs>
        <w:spacing w:before="60"/>
        <w:ind w:left="1466" w:right="391" w:hanging="850"/>
        <w:jc w:val="both"/>
        <w:rPr>
          <w:sz w:val="20"/>
        </w:rPr>
      </w:pPr>
      <w:r>
        <w:rPr>
          <w:position w:val="1"/>
          <w:sz w:val="20"/>
        </w:rPr>
        <w:t>q</w:t>
      </w:r>
      <w:r>
        <w:rPr>
          <w:sz w:val="13"/>
        </w:rPr>
        <w:t>vp</w:t>
        <w:tab/>
      </w:r>
      <w:r>
        <w:rPr>
          <w:i/>
          <w:position w:val="1"/>
          <w:sz w:val="20"/>
        </w:rPr>
        <w:t>caudal de ventilación </w:t>
      </w:r>
      <w:r>
        <w:rPr>
          <w:position w:val="1"/>
          <w:sz w:val="20"/>
        </w:rPr>
        <w:t>correspondiente a cada </w:t>
      </w:r>
      <w:r>
        <w:rPr>
          <w:i/>
          <w:position w:val="1"/>
          <w:sz w:val="20"/>
        </w:rPr>
        <w:t>abertura de paso </w:t>
      </w:r>
      <w:r>
        <w:rPr>
          <w:position w:val="1"/>
          <w:sz w:val="20"/>
        </w:rPr>
        <w:t>del local calculado por un </w:t>
      </w:r>
      <w:r>
        <w:rPr>
          <w:sz w:val="20"/>
        </w:rPr>
        <w:t>procedimiento de </w:t>
      </w:r>
      <w:r>
        <w:rPr>
          <w:i/>
          <w:sz w:val="20"/>
        </w:rPr>
        <w:t>equilibrado de caudales </w:t>
      </w:r>
      <w:r>
        <w:rPr>
          <w:sz w:val="20"/>
        </w:rPr>
        <w:t>de </w:t>
      </w:r>
      <w:r>
        <w:rPr>
          <w:i/>
          <w:sz w:val="20"/>
        </w:rPr>
        <w:t>admisión </w:t>
      </w:r>
      <w:r>
        <w:rPr>
          <w:sz w:val="20"/>
        </w:rPr>
        <w:t>y de </w:t>
      </w:r>
      <w:r>
        <w:rPr>
          <w:i/>
          <w:sz w:val="20"/>
        </w:rPr>
        <w:t>extracción </w:t>
      </w:r>
      <w:r>
        <w:rPr>
          <w:sz w:val="20"/>
        </w:rPr>
        <w:t>y con una hipótesis de circulación del aire según la distribución de los locales,</w:t>
      </w:r>
      <w:r>
        <w:rPr>
          <w:spacing w:val="-11"/>
          <w:sz w:val="20"/>
        </w:rPr>
        <w:t> </w:t>
      </w:r>
      <w:r>
        <w:rPr>
          <w:sz w:val="20"/>
        </w:rPr>
        <w:t>[l/s].</w:t>
      </w:r>
    </w:p>
    <w:p>
      <w:pPr>
        <w:pStyle w:val="BodyText"/>
        <w:rPr>
          <w:sz w:val="22"/>
        </w:rPr>
      </w:pPr>
    </w:p>
    <w:p>
      <w:pPr>
        <w:spacing w:before="158"/>
        <w:ind w:left="1958" w:right="0" w:firstLine="0"/>
        <w:jc w:val="left"/>
        <w:rPr>
          <w:sz w:val="16"/>
        </w:rPr>
      </w:pPr>
      <w:r>
        <w:rPr/>
        <w:pict>
          <v:line style="position:absolute;mso-position-horizontal-relative:page;mso-position-vertical-relative:paragraph;z-index:251915264" from="152.520004pt,5.024202pt" to="152.520004pt,182.204202pt" stroked="true" strokeweight=".48pt" strokecolor="#000000">
            <v:stroke dashstyle="solid"/>
            <w10:wrap type="none"/>
          </v:line>
        </w:pict>
      </w:r>
      <w:r>
        <w:rPr>
          <w:sz w:val="16"/>
        </w:rPr>
        <w:t>Para el dimensionado se tienen en cuenta los siguientes criterios:</w:t>
      </w:r>
    </w:p>
    <w:p>
      <w:pPr>
        <w:pStyle w:val="ListParagraph"/>
        <w:numPr>
          <w:ilvl w:val="0"/>
          <w:numId w:val="136"/>
        </w:numPr>
        <w:tabs>
          <w:tab w:pos="2583" w:val="left" w:leader="none"/>
        </w:tabs>
        <w:spacing w:line="240" w:lineRule="auto" w:before="120" w:after="0"/>
        <w:ind w:left="2627" w:right="392" w:hanging="310"/>
        <w:jc w:val="both"/>
        <w:rPr>
          <w:sz w:val="16"/>
        </w:rPr>
      </w:pPr>
      <w:r>
        <w:rPr>
          <w:sz w:val="16"/>
        </w:rPr>
        <w:t>El caudal de ventilación total en cada vivienda es único. Por ello, para el dimensionado se toma el mayor de los dos totales que resultan de la aplicación de la tabla 2.1, es decir, el mayor resultan- te de sumar todos los caudales de admisión (Σq</w:t>
      </w:r>
      <w:r>
        <w:rPr>
          <w:sz w:val="16"/>
          <w:vertAlign w:val="subscript"/>
        </w:rPr>
        <w:t>v</w:t>
      </w:r>
      <w:r>
        <w:rPr>
          <w:sz w:val="16"/>
          <w:vertAlign w:val="baseline"/>
        </w:rPr>
        <w:t>) por un lado (caudal de admisión total) y todos los caudales de extracción (Σq</w:t>
      </w:r>
      <w:r>
        <w:rPr>
          <w:sz w:val="16"/>
          <w:vertAlign w:val="subscript"/>
        </w:rPr>
        <w:t>v</w:t>
      </w:r>
      <w:r>
        <w:rPr>
          <w:sz w:val="16"/>
          <w:vertAlign w:val="baseline"/>
        </w:rPr>
        <w:t>) por otro (caudal de extracción</w:t>
      </w:r>
      <w:r>
        <w:rPr>
          <w:spacing w:val="-2"/>
          <w:sz w:val="16"/>
          <w:vertAlign w:val="baseline"/>
        </w:rPr>
        <w:t> </w:t>
      </w:r>
      <w:r>
        <w:rPr>
          <w:sz w:val="16"/>
          <w:vertAlign w:val="baseline"/>
        </w:rPr>
        <w:t>total).</w:t>
      </w:r>
    </w:p>
    <w:p>
      <w:pPr>
        <w:pStyle w:val="ListParagraph"/>
        <w:numPr>
          <w:ilvl w:val="0"/>
          <w:numId w:val="136"/>
        </w:numPr>
        <w:tabs>
          <w:tab w:pos="2583" w:val="left" w:leader="none"/>
        </w:tabs>
        <w:spacing w:line="240" w:lineRule="auto" w:before="121" w:after="0"/>
        <w:ind w:left="2627" w:right="393" w:hanging="310"/>
        <w:jc w:val="both"/>
        <w:rPr>
          <w:sz w:val="16"/>
        </w:rPr>
      </w:pPr>
      <w:r>
        <w:rPr>
          <w:sz w:val="16"/>
        </w:rPr>
        <w:t>Si ha resultado mayor el caudal de extracción total, entonces los caudales de admisión obtenidos de la tabla se incrementan hasta obtener los caudales de admisión equilibrados (q</w:t>
      </w:r>
      <w:r>
        <w:rPr>
          <w:sz w:val="16"/>
          <w:vertAlign w:val="subscript"/>
        </w:rPr>
        <w:t>va</w:t>
      </w:r>
      <w:r>
        <w:rPr>
          <w:sz w:val="16"/>
          <w:vertAlign w:val="baseline"/>
        </w:rPr>
        <w:t>), mediante una hipótesis de circulación del aire. La suma de los caudales de admisión equilibrados (Σq</w:t>
      </w:r>
      <w:r>
        <w:rPr>
          <w:sz w:val="16"/>
          <w:vertAlign w:val="subscript"/>
        </w:rPr>
        <w:t>va</w:t>
      </w:r>
      <w:r>
        <w:rPr>
          <w:sz w:val="16"/>
          <w:vertAlign w:val="baseline"/>
        </w:rPr>
        <w:t>) es igual a la suma del caudal total de</w:t>
      </w:r>
      <w:r>
        <w:rPr>
          <w:spacing w:val="-1"/>
          <w:sz w:val="16"/>
          <w:vertAlign w:val="baseline"/>
        </w:rPr>
        <w:t> </w:t>
      </w:r>
      <w:r>
        <w:rPr>
          <w:sz w:val="16"/>
          <w:vertAlign w:val="baseline"/>
        </w:rPr>
        <w:t>extracción.</w:t>
      </w:r>
    </w:p>
    <w:p>
      <w:pPr>
        <w:pStyle w:val="ListParagraph"/>
        <w:numPr>
          <w:ilvl w:val="0"/>
          <w:numId w:val="136"/>
        </w:numPr>
        <w:tabs>
          <w:tab w:pos="2583" w:val="left" w:leader="none"/>
        </w:tabs>
        <w:spacing w:line="240" w:lineRule="auto" w:before="120" w:after="0"/>
        <w:ind w:left="2627" w:right="392" w:hanging="310"/>
        <w:jc w:val="both"/>
        <w:rPr>
          <w:sz w:val="16"/>
        </w:rPr>
      </w:pPr>
      <w:r>
        <w:rPr>
          <w:sz w:val="16"/>
        </w:rPr>
        <w:t>Si ha resultado mayor el caudal de admisión total, entonces los caudales de extracción obtenidos de la tabla se incrementan hasta obtener los caudales de extracción equilibrados (q</w:t>
      </w:r>
      <w:r>
        <w:rPr>
          <w:sz w:val="16"/>
          <w:vertAlign w:val="subscript"/>
        </w:rPr>
        <w:t>ve</w:t>
      </w:r>
      <w:r>
        <w:rPr>
          <w:sz w:val="16"/>
          <w:vertAlign w:val="baseline"/>
        </w:rPr>
        <w:t>), mediante una hipótesis de circulación del aire. La suma de los caudales de extracción equilibrados (Σq</w:t>
      </w:r>
      <w:r>
        <w:rPr>
          <w:sz w:val="16"/>
          <w:vertAlign w:val="subscript"/>
        </w:rPr>
        <w:t>ve</w:t>
      </w:r>
      <w:r>
        <w:rPr>
          <w:sz w:val="16"/>
          <w:vertAlign w:val="baseline"/>
        </w:rPr>
        <w:t>) es igual a la suma del caudal total de</w:t>
      </w:r>
      <w:r>
        <w:rPr>
          <w:spacing w:val="-1"/>
          <w:sz w:val="16"/>
          <w:vertAlign w:val="baseline"/>
        </w:rPr>
        <w:t> </w:t>
      </w:r>
      <w:r>
        <w:rPr>
          <w:sz w:val="16"/>
          <w:vertAlign w:val="baseline"/>
        </w:rPr>
        <w:t>admisión.</w:t>
      </w:r>
    </w:p>
    <w:p>
      <w:pPr>
        <w:pStyle w:val="ListParagraph"/>
        <w:numPr>
          <w:ilvl w:val="0"/>
          <w:numId w:val="136"/>
        </w:numPr>
        <w:tabs>
          <w:tab w:pos="2583" w:val="left" w:leader="none"/>
        </w:tabs>
        <w:spacing w:line="240" w:lineRule="auto" w:before="119" w:after="0"/>
        <w:ind w:left="2627" w:right="393" w:hanging="310"/>
        <w:jc w:val="both"/>
        <w:rPr>
          <w:sz w:val="16"/>
        </w:rPr>
      </w:pPr>
      <w:r>
        <w:rPr>
          <w:sz w:val="16"/>
        </w:rPr>
        <w:t>Para la hipótesis de circulación de aire se tiene en cuenta la distribución de la vivienda y puede hacerse de forma proporcional a los caudales obtenidos de la tabla 2.1, pero partiendo de la base de que nunca pueden ser menores que los de la tabla</w:t>
      </w:r>
      <w:r>
        <w:rPr>
          <w:spacing w:val="-1"/>
          <w:sz w:val="16"/>
        </w:rPr>
        <w:t> </w:t>
      </w:r>
      <w:r>
        <w:rPr>
          <w:sz w:val="16"/>
        </w:rPr>
        <w:t>2.1.</w:t>
      </w:r>
    </w:p>
    <w:p>
      <w:pPr>
        <w:pStyle w:val="BodyText"/>
      </w:pPr>
    </w:p>
    <w:p>
      <w:pPr>
        <w:pStyle w:val="BodyText"/>
        <w:spacing w:before="11"/>
        <w:rPr>
          <w:sz w:val="26"/>
        </w:rPr>
      </w:pPr>
    </w:p>
    <w:p>
      <w:pPr>
        <w:pStyle w:val="Heading4"/>
        <w:numPr>
          <w:ilvl w:val="1"/>
          <w:numId w:val="134"/>
        </w:numPr>
        <w:tabs>
          <w:tab w:pos="672" w:val="left" w:leader="none"/>
        </w:tabs>
        <w:spacing w:line="240" w:lineRule="auto" w:before="92" w:after="0"/>
        <w:ind w:left="672" w:right="0" w:hanging="454"/>
        <w:jc w:val="both"/>
        <w:rPr>
          <w:i/>
        </w:rPr>
      </w:pPr>
      <w:r>
        <w:rPr>
          <w:i/>
        </w:rPr>
        <w:t>Conductos de</w:t>
      </w:r>
      <w:r>
        <w:rPr>
          <w:i/>
          <w:spacing w:val="-1"/>
        </w:rPr>
        <w:t> </w:t>
      </w:r>
      <w:r>
        <w:rPr>
          <w:i/>
        </w:rPr>
        <w:t>extracción</w:t>
      </w:r>
    </w:p>
    <w:p>
      <w:pPr>
        <w:pStyle w:val="BodyText"/>
        <w:rPr>
          <w:b/>
          <w:i/>
          <w:sz w:val="26"/>
        </w:rPr>
      </w:pPr>
    </w:p>
    <w:p>
      <w:pPr>
        <w:pStyle w:val="ListParagraph"/>
        <w:numPr>
          <w:ilvl w:val="2"/>
          <w:numId w:val="134"/>
        </w:numPr>
        <w:tabs>
          <w:tab w:pos="939" w:val="left" w:leader="none"/>
        </w:tabs>
        <w:spacing w:line="240" w:lineRule="auto" w:before="0" w:after="0"/>
        <w:ind w:left="938" w:right="0" w:hanging="721"/>
        <w:jc w:val="both"/>
        <w:rPr>
          <w:b/>
          <w:sz w:val="20"/>
        </w:rPr>
      </w:pPr>
      <w:r>
        <w:rPr>
          <w:b/>
          <w:i/>
          <w:sz w:val="20"/>
        </w:rPr>
        <w:t>Conductos de extracción </w:t>
      </w:r>
      <w:r>
        <w:rPr>
          <w:b/>
          <w:sz w:val="20"/>
        </w:rPr>
        <w:t>para ventilación</w:t>
      </w:r>
      <w:r>
        <w:rPr>
          <w:b/>
          <w:spacing w:val="-6"/>
          <w:sz w:val="20"/>
        </w:rPr>
        <w:t> </w:t>
      </w:r>
      <w:r>
        <w:rPr>
          <w:b/>
          <w:sz w:val="20"/>
        </w:rPr>
        <w:t>híbrida</w:t>
      </w:r>
    </w:p>
    <w:p>
      <w:pPr>
        <w:pStyle w:val="ListParagraph"/>
        <w:numPr>
          <w:ilvl w:val="0"/>
          <w:numId w:val="137"/>
        </w:numPr>
        <w:tabs>
          <w:tab w:pos="579" w:val="left" w:leader="none"/>
        </w:tabs>
        <w:spacing w:line="240" w:lineRule="auto" w:before="99" w:after="0"/>
        <w:ind w:left="575" w:right="391" w:hanging="358"/>
        <w:jc w:val="both"/>
        <w:rPr>
          <w:sz w:val="20"/>
        </w:rPr>
      </w:pPr>
      <w:r>
        <w:rPr>
          <w:sz w:val="20"/>
        </w:rPr>
        <w:t>La sección de cada tramo de los </w:t>
      </w:r>
      <w:r>
        <w:rPr>
          <w:i/>
          <w:sz w:val="20"/>
        </w:rPr>
        <w:t>conductos de extracción </w:t>
      </w:r>
      <w:r>
        <w:rPr>
          <w:sz w:val="20"/>
        </w:rPr>
        <w:t>debe ser como mínimo la obtenida de la tabla 4.2 en función del caudal de aire en el tramo del conducto y de la clase del tiro que se determi- narán de la siguiente</w:t>
      </w:r>
      <w:r>
        <w:rPr>
          <w:spacing w:val="-4"/>
          <w:sz w:val="20"/>
        </w:rPr>
        <w:t> </w:t>
      </w:r>
      <w:r>
        <w:rPr>
          <w:sz w:val="20"/>
        </w:rPr>
        <w:t>forma:</w:t>
      </w:r>
    </w:p>
    <w:p>
      <w:pPr>
        <w:pStyle w:val="ListParagraph"/>
        <w:numPr>
          <w:ilvl w:val="1"/>
          <w:numId w:val="137"/>
        </w:numPr>
        <w:tabs>
          <w:tab w:pos="939" w:val="left" w:leader="none"/>
        </w:tabs>
        <w:spacing w:line="240" w:lineRule="auto" w:before="60" w:after="0"/>
        <w:ind w:left="938" w:right="392" w:hanging="363"/>
        <w:jc w:val="both"/>
        <w:rPr>
          <w:sz w:val="20"/>
        </w:rPr>
      </w:pPr>
      <w:r>
        <w:rPr>
          <w:position w:val="1"/>
          <w:sz w:val="20"/>
        </w:rPr>
        <w:t>el caudal de aire en el tramo del conducto [l/s], q</w:t>
      </w:r>
      <w:r>
        <w:rPr>
          <w:sz w:val="13"/>
        </w:rPr>
        <w:t>vt</w:t>
      </w:r>
      <w:r>
        <w:rPr>
          <w:position w:val="1"/>
          <w:sz w:val="20"/>
        </w:rPr>
        <w:t>, que es igual a la suma de todos los caudales</w:t>
      </w:r>
      <w:r>
        <w:rPr>
          <w:sz w:val="20"/>
        </w:rPr>
        <w:t> que pasan por las </w:t>
      </w:r>
      <w:r>
        <w:rPr>
          <w:i/>
          <w:sz w:val="20"/>
        </w:rPr>
        <w:t>aberturas de extracción </w:t>
      </w:r>
      <w:r>
        <w:rPr>
          <w:sz w:val="20"/>
        </w:rPr>
        <w:t>que vierten al</w:t>
      </w:r>
      <w:r>
        <w:rPr>
          <w:spacing w:val="-10"/>
          <w:sz w:val="20"/>
        </w:rPr>
        <w:t> </w:t>
      </w:r>
      <w:r>
        <w:rPr>
          <w:sz w:val="20"/>
        </w:rPr>
        <w:t>tramo;</w:t>
      </w:r>
    </w:p>
    <w:p>
      <w:pPr>
        <w:spacing w:after="0" w:line="240" w:lineRule="auto"/>
        <w:jc w:val="both"/>
        <w:rPr>
          <w:sz w:val="20"/>
        </w:rPr>
        <w:sectPr>
          <w:pgSz w:w="11910" w:h="16840"/>
          <w:pgMar w:header="724" w:footer="636" w:top="1320" w:bottom="820" w:left="1200" w:right="738"/>
        </w:sectPr>
      </w:pPr>
    </w:p>
    <w:p>
      <w:pPr>
        <w:pStyle w:val="ListParagraph"/>
        <w:numPr>
          <w:ilvl w:val="1"/>
          <w:numId w:val="137"/>
        </w:numPr>
        <w:tabs>
          <w:tab w:pos="939" w:val="left" w:leader="none"/>
        </w:tabs>
        <w:spacing w:line="240" w:lineRule="auto" w:before="89" w:after="0"/>
        <w:ind w:left="938" w:right="392" w:hanging="363"/>
        <w:jc w:val="both"/>
        <w:rPr>
          <w:sz w:val="20"/>
        </w:rPr>
      </w:pPr>
      <w:r>
        <w:rPr>
          <w:sz w:val="20"/>
        </w:rPr>
        <w:t>la clase del tiro se obtiene en la tabla 4.3 en función del número de plantas existentes entre la más baja que vierte al conducto y la última, ambas incluidas, y de la </w:t>
      </w:r>
      <w:r>
        <w:rPr>
          <w:i/>
          <w:sz w:val="20"/>
        </w:rPr>
        <w:t>zona térmica </w:t>
      </w:r>
      <w:r>
        <w:rPr>
          <w:sz w:val="20"/>
        </w:rPr>
        <w:t>en la que se sitúa el edificio de acuerdo con la tabla</w:t>
      </w:r>
      <w:r>
        <w:rPr>
          <w:spacing w:val="-5"/>
          <w:sz w:val="20"/>
        </w:rPr>
        <w:t> </w:t>
      </w:r>
      <w:r>
        <w:rPr>
          <w:sz w:val="20"/>
        </w:rPr>
        <w:t>4.4.</w:t>
      </w:r>
    </w:p>
    <w:p>
      <w:pPr>
        <w:pStyle w:val="BodyText"/>
        <w:rPr>
          <w:sz w:val="22"/>
        </w:rPr>
      </w:pPr>
    </w:p>
    <w:p>
      <w:pPr>
        <w:spacing w:before="157"/>
        <w:ind w:left="1958" w:right="392" w:firstLine="0"/>
        <w:jc w:val="both"/>
        <w:rPr>
          <w:sz w:val="16"/>
        </w:rPr>
      </w:pPr>
      <w:r>
        <w:rPr/>
        <w:pict>
          <v:line style="position:absolute;mso-position-horizontal-relative:page;mso-position-vertical-relative:paragraph;z-index:251918336" from="152.520004pt,4.974202pt" to="152.520004pt,47.814202pt" stroked="true" strokeweight=".48pt" strokecolor="#000000">
            <v:stroke dashstyle="solid"/>
            <w10:wrap type="none"/>
          </v:line>
        </w:pict>
      </w:r>
      <w:r>
        <w:rPr>
          <w:sz w:val="16"/>
        </w:rPr>
        <w:t>La dimensión de la sección del conducto influye en el tiempo en el que el sistema funciona en régimen natural. A menor sección, menor es el tiempo de funcionamiento en régimen natural. Si se pretende opti- mizar al máximo el funcionamiento en régimen natural del sistema, es recomendable aumentar las seccio- nes aquí obtenidas.</w:t>
      </w:r>
    </w:p>
    <w:p>
      <w:pPr>
        <w:pStyle w:val="BodyText"/>
        <w:spacing w:before="8"/>
        <w:rPr>
          <w:sz w:val="21"/>
        </w:rPr>
      </w:pPr>
    </w:p>
    <w:p>
      <w:pPr>
        <w:spacing w:before="96" w:after="4"/>
        <w:ind w:left="655" w:right="830" w:firstLine="0"/>
        <w:jc w:val="center"/>
        <w:rPr>
          <w:b/>
          <w:sz w:val="12"/>
        </w:rPr>
      </w:pPr>
      <w:r>
        <w:rPr>
          <w:b/>
          <w:sz w:val="18"/>
        </w:rPr>
        <w:t>Tabla 4.2 Secciones del </w:t>
      </w:r>
      <w:r>
        <w:rPr>
          <w:b/>
          <w:i/>
          <w:sz w:val="18"/>
        </w:rPr>
        <w:t>conducto de extracción </w:t>
      </w:r>
      <w:r>
        <w:rPr>
          <w:b/>
          <w:sz w:val="18"/>
        </w:rPr>
        <w:t>en cm</w:t>
      </w:r>
      <w:r>
        <w:rPr>
          <w:b/>
          <w:position w:val="6"/>
          <w:sz w:val="12"/>
        </w:rPr>
        <w:t>2</w:t>
      </w: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2"/>
        <w:gridCol w:w="1608"/>
        <w:gridCol w:w="1274"/>
        <w:gridCol w:w="1775"/>
        <w:gridCol w:w="1627"/>
        <w:gridCol w:w="1627"/>
      </w:tblGrid>
      <w:tr>
        <w:trPr>
          <w:trHeight w:val="396" w:hRule="atLeast"/>
        </w:trPr>
        <w:tc>
          <w:tcPr>
            <w:tcW w:w="2640" w:type="dxa"/>
            <w:gridSpan w:val="2"/>
            <w:vMerge w:val="restart"/>
            <w:tcBorders>
              <w:top w:val="nil"/>
              <w:left w:val="nil"/>
            </w:tcBorders>
          </w:tcPr>
          <w:p>
            <w:pPr>
              <w:pStyle w:val="TableParagraph"/>
              <w:jc w:val="left"/>
              <w:rPr>
                <w:rFonts w:ascii="Times New Roman"/>
                <w:sz w:val="16"/>
              </w:rPr>
            </w:pPr>
          </w:p>
        </w:tc>
        <w:tc>
          <w:tcPr>
            <w:tcW w:w="6303" w:type="dxa"/>
            <w:gridSpan w:val="4"/>
            <w:tcBorders>
              <w:right w:val="nil"/>
            </w:tcBorders>
          </w:tcPr>
          <w:p>
            <w:pPr>
              <w:pStyle w:val="TableParagraph"/>
              <w:spacing w:before="91"/>
              <w:ind w:left="2590" w:right="2587"/>
              <w:rPr>
                <w:b/>
                <w:sz w:val="18"/>
              </w:rPr>
            </w:pPr>
            <w:r>
              <w:rPr>
                <w:b/>
                <w:sz w:val="18"/>
              </w:rPr>
              <w:t>Clase de tiro</w:t>
            </w:r>
          </w:p>
        </w:tc>
      </w:tr>
      <w:tr>
        <w:trPr>
          <w:trHeight w:val="340" w:hRule="atLeast"/>
        </w:trPr>
        <w:tc>
          <w:tcPr>
            <w:tcW w:w="2640" w:type="dxa"/>
            <w:gridSpan w:val="2"/>
            <w:vMerge/>
            <w:tcBorders>
              <w:top w:val="nil"/>
              <w:left w:val="nil"/>
            </w:tcBorders>
          </w:tcPr>
          <w:p>
            <w:pPr>
              <w:rPr>
                <w:sz w:val="2"/>
                <w:szCs w:val="2"/>
              </w:rPr>
            </w:pPr>
          </w:p>
        </w:tc>
        <w:tc>
          <w:tcPr>
            <w:tcW w:w="1274" w:type="dxa"/>
            <w:tcBorders>
              <w:right w:val="nil"/>
            </w:tcBorders>
          </w:tcPr>
          <w:p>
            <w:pPr>
              <w:pStyle w:val="TableParagraph"/>
              <w:spacing w:before="63"/>
              <w:ind w:left="575"/>
              <w:jc w:val="left"/>
              <w:rPr>
                <w:b/>
                <w:sz w:val="18"/>
              </w:rPr>
            </w:pPr>
            <w:r>
              <w:rPr>
                <w:b/>
                <w:sz w:val="18"/>
              </w:rPr>
              <w:t>T-1</w:t>
            </w:r>
          </w:p>
        </w:tc>
        <w:tc>
          <w:tcPr>
            <w:tcW w:w="1775" w:type="dxa"/>
            <w:tcBorders>
              <w:left w:val="nil"/>
              <w:right w:val="nil"/>
            </w:tcBorders>
          </w:tcPr>
          <w:p>
            <w:pPr>
              <w:pStyle w:val="TableParagraph"/>
              <w:spacing w:before="63"/>
              <w:ind w:left="253" w:right="94"/>
              <w:rPr>
                <w:b/>
                <w:sz w:val="18"/>
              </w:rPr>
            </w:pPr>
            <w:r>
              <w:rPr>
                <w:b/>
                <w:sz w:val="18"/>
              </w:rPr>
              <w:t>T-2</w:t>
            </w:r>
          </w:p>
        </w:tc>
        <w:tc>
          <w:tcPr>
            <w:tcW w:w="1627" w:type="dxa"/>
            <w:tcBorders>
              <w:left w:val="nil"/>
              <w:right w:val="nil"/>
            </w:tcBorders>
          </w:tcPr>
          <w:p>
            <w:pPr>
              <w:pStyle w:val="TableParagraph"/>
              <w:spacing w:before="63"/>
              <w:ind w:left="100" w:right="95"/>
              <w:rPr>
                <w:b/>
                <w:sz w:val="18"/>
              </w:rPr>
            </w:pPr>
            <w:r>
              <w:rPr>
                <w:b/>
                <w:sz w:val="18"/>
              </w:rPr>
              <w:t>T-3</w:t>
            </w:r>
          </w:p>
        </w:tc>
        <w:tc>
          <w:tcPr>
            <w:tcW w:w="1627" w:type="dxa"/>
            <w:tcBorders>
              <w:left w:val="nil"/>
              <w:right w:val="nil"/>
            </w:tcBorders>
          </w:tcPr>
          <w:p>
            <w:pPr>
              <w:pStyle w:val="TableParagraph"/>
              <w:spacing w:before="63"/>
              <w:ind w:left="100" w:right="95"/>
              <w:rPr>
                <w:b/>
                <w:sz w:val="18"/>
              </w:rPr>
            </w:pPr>
            <w:r>
              <w:rPr>
                <w:b/>
                <w:sz w:val="18"/>
              </w:rPr>
              <w:t>T-4</w:t>
            </w:r>
          </w:p>
        </w:tc>
      </w:tr>
      <w:tr>
        <w:trPr>
          <w:trHeight w:val="1125" w:hRule="atLeast"/>
        </w:trPr>
        <w:tc>
          <w:tcPr>
            <w:tcW w:w="1032" w:type="dxa"/>
            <w:tcBorders>
              <w:left w:val="nil"/>
            </w:tcBorders>
            <w:textDirection w:val="btLr"/>
          </w:tcPr>
          <w:p>
            <w:pPr>
              <w:pStyle w:val="TableParagraph"/>
              <w:spacing w:line="247" w:lineRule="auto" w:before="35"/>
              <w:ind w:left="113" w:right="131"/>
              <w:jc w:val="left"/>
              <w:rPr>
                <w:b/>
                <w:sz w:val="18"/>
              </w:rPr>
            </w:pPr>
            <w:r>
              <w:rPr>
                <w:b/>
                <w:sz w:val="18"/>
              </w:rPr>
              <w:t>Caudal de aire en el tramo del conducto</w:t>
            </w:r>
          </w:p>
          <w:p>
            <w:pPr>
              <w:pStyle w:val="TableParagraph"/>
              <w:spacing w:line="119" w:lineRule="exact"/>
              <w:ind w:left="113"/>
              <w:jc w:val="left"/>
              <w:rPr>
                <w:b/>
                <w:sz w:val="16"/>
              </w:rPr>
            </w:pPr>
            <w:r>
              <w:rPr>
                <w:b/>
                <w:sz w:val="16"/>
              </w:rPr>
              <w:t>en l/s</w:t>
            </w:r>
          </w:p>
        </w:tc>
        <w:tc>
          <w:tcPr>
            <w:tcW w:w="1608" w:type="dxa"/>
          </w:tcPr>
          <w:p>
            <w:pPr>
              <w:pStyle w:val="TableParagraph"/>
              <w:spacing w:line="218" w:lineRule="exact"/>
              <w:ind w:left="444"/>
              <w:jc w:val="left"/>
              <w:rPr>
                <w:b/>
                <w:sz w:val="18"/>
              </w:rPr>
            </w:pPr>
            <w:r>
              <w:rPr>
                <w:b/>
                <w:position w:val="1"/>
                <w:sz w:val="18"/>
              </w:rPr>
              <w:t>q</w:t>
            </w:r>
            <w:r>
              <w:rPr>
                <w:b/>
                <w:sz w:val="12"/>
              </w:rPr>
              <w:t>vt </w:t>
            </w:r>
            <w:r>
              <w:rPr>
                <w:rFonts w:ascii="Symbol" w:hAnsi="Symbol"/>
                <w:b/>
                <w:position w:val="1"/>
                <w:sz w:val="18"/>
              </w:rPr>
              <w:t></w:t>
            </w:r>
            <w:r>
              <w:rPr>
                <w:rFonts w:ascii="Times New Roman" w:hAnsi="Times New Roman"/>
                <w:b/>
                <w:position w:val="1"/>
                <w:sz w:val="18"/>
              </w:rPr>
              <w:t> </w:t>
            </w:r>
            <w:r>
              <w:rPr>
                <w:b/>
                <w:position w:val="1"/>
                <w:sz w:val="18"/>
              </w:rPr>
              <w:t>100</w:t>
            </w:r>
          </w:p>
          <w:p>
            <w:pPr>
              <w:pStyle w:val="TableParagraph"/>
              <w:spacing w:before="6"/>
              <w:ind w:left="195"/>
              <w:jc w:val="left"/>
              <w:rPr>
                <w:b/>
                <w:sz w:val="18"/>
              </w:rPr>
            </w:pPr>
            <w:r>
              <w:rPr>
                <w:b/>
                <w:position w:val="1"/>
                <w:sz w:val="18"/>
              </w:rPr>
              <w:t>100 </w:t>
            </w:r>
            <w:r>
              <w:rPr>
                <w:rFonts w:ascii="Symbol" w:hAnsi="Symbol"/>
                <w:b/>
                <w:position w:val="1"/>
                <w:sz w:val="18"/>
              </w:rPr>
              <w:t></w:t>
            </w:r>
            <w:r>
              <w:rPr>
                <w:rFonts w:ascii="Times New Roman" w:hAnsi="Times New Roman"/>
                <w:b/>
                <w:position w:val="1"/>
                <w:sz w:val="18"/>
              </w:rPr>
              <w:t> </w:t>
            </w:r>
            <w:r>
              <w:rPr>
                <w:b/>
                <w:position w:val="1"/>
                <w:sz w:val="18"/>
              </w:rPr>
              <w:t>q</w:t>
            </w:r>
            <w:r>
              <w:rPr>
                <w:b/>
                <w:sz w:val="12"/>
              </w:rPr>
              <w:t>vt  </w:t>
            </w:r>
            <w:r>
              <w:rPr>
                <w:rFonts w:ascii="Symbol" w:hAnsi="Symbol"/>
                <w:b/>
                <w:position w:val="1"/>
                <w:sz w:val="18"/>
              </w:rPr>
              <w:t></w:t>
            </w:r>
            <w:r>
              <w:rPr>
                <w:rFonts w:ascii="Times New Roman" w:hAnsi="Times New Roman"/>
                <w:b/>
                <w:spacing w:val="-14"/>
                <w:position w:val="1"/>
                <w:sz w:val="18"/>
              </w:rPr>
              <w:t> </w:t>
            </w:r>
            <w:r>
              <w:rPr>
                <w:b/>
                <w:position w:val="1"/>
                <w:sz w:val="18"/>
              </w:rPr>
              <w:t>300</w:t>
            </w:r>
          </w:p>
          <w:p>
            <w:pPr>
              <w:pStyle w:val="TableParagraph"/>
              <w:spacing w:before="6"/>
              <w:ind w:left="195"/>
              <w:jc w:val="left"/>
              <w:rPr>
                <w:b/>
                <w:sz w:val="18"/>
              </w:rPr>
            </w:pPr>
            <w:r>
              <w:rPr>
                <w:b/>
                <w:position w:val="1"/>
                <w:sz w:val="18"/>
              </w:rPr>
              <w:t>300 </w:t>
            </w:r>
            <w:r>
              <w:rPr>
                <w:rFonts w:ascii="Symbol" w:hAnsi="Symbol"/>
                <w:b/>
                <w:position w:val="1"/>
                <w:sz w:val="18"/>
              </w:rPr>
              <w:t></w:t>
            </w:r>
            <w:r>
              <w:rPr>
                <w:rFonts w:ascii="Times New Roman" w:hAnsi="Times New Roman"/>
                <w:b/>
                <w:position w:val="1"/>
                <w:sz w:val="18"/>
              </w:rPr>
              <w:t> </w:t>
            </w:r>
            <w:r>
              <w:rPr>
                <w:b/>
                <w:position w:val="1"/>
                <w:sz w:val="18"/>
              </w:rPr>
              <w:t>q</w:t>
            </w:r>
            <w:r>
              <w:rPr>
                <w:b/>
                <w:sz w:val="12"/>
              </w:rPr>
              <w:t>vt  </w:t>
            </w:r>
            <w:r>
              <w:rPr>
                <w:rFonts w:ascii="Symbol" w:hAnsi="Symbol"/>
                <w:b/>
                <w:position w:val="1"/>
                <w:sz w:val="18"/>
              </w:rPr>
              <w:t></w:t>
            </w:r>
            <w:r>
              <w:rPr>
                <w:rFonts w:ascii="Times New Roman" w:hAnsi="Times New Roman"/>
                <w:b/>
                <w:spacing w:val="-14"/>
                <w:position w:val="1"/>
                <w:sz w:val="18"/>
              </w:rPr>
              <w:t> </w:t>
            </w:r>
            <w:r>
              <w:rPr>
                <w:b/>
                <w:position w:val="1"/>
                <w:sz w:val="18"/>
              </w:rPr>
              <w:t>500</w:t>
            </w:r>
          </w:p>
          <w:p>
            <w:pPr>
              <w:pStyle w:val="TableParagraph"/>
              <w:spacing w:before="7"/>
              <w:ind w:left="195"/>
              <w:jc w:val="left"/>
              <w:rPr>
                <w:b/>
                <w:sz w:val="18"/>
              </w:rPr>
            </w:pPr>
            <w:r>
              <w:rPr>
                <w:b/>
                <w:position w:val="1"/>
                <w:sz w:val="18"/>
              </w:rPr>
              <w:t>500 </w:t>
            </w:r>
            <w:r>
              <w:rPr>
                <w:rFonts w:ascii="Symbol" w:hAnsi="Symbol"/>
                <w:b/>
                <w:position w:val="1"/>
                <w:sz w:val="18"/>
              </w:rPr>
              <w:t></w:t>
            </w:r>
            <w:r>
              <w:rPr>
                <w:rFonts w:ascii="Times New Roman" w:hAnsi="Times New Roman"/>
                <w:b/>
                <w:position w:val="1"/>
                <w:sz w:val="18"/>
              </w:rPr>
              <w:t> </w:t>
            </w:r>
            <w:r>
              <w:rPr>
                <w:b/>
                <w:position w:val="1"/>
                <w:sz w:val="18"/>
              </w:rPr>
              <w:t>q</w:t>
            </w:r>
            <w:r>
              <w:rPr>
                <w:b/>
                <w:sz w:val="12"/>
              </w:rPr>
              <w:t>vt  </w:t>
            </w:r>
            <w:r>
              <w:rPr>
                <w:rFonts w:ascii="Symbol" w:hAnsi="Symbol"/>
                <w:b/>
                <w:position w:val="1"/>
                <w:sz w:val="18"/>
              </w:rPr>
              <w:t></w:t>
            </w:r>
            <w:r>
              <w:rPr>
                <w:rFonts w:ascii="Times New Roman" w:hAnsi="Times New Roman"/>
                <w:b/>
                <w:spacing w:val="-14"/>
                <w:position w:val="1"/>
                <w:sz w:val="18"/>
              </w:rPr>
              <w:t> </w:t>
            </w:r>
            <w:r>
              <w:rPr>
                <w:b/>
                <w:position w:val="1"/>
                <w:sz w:val="18"/>
              </w:rPr>
              <w:t>750</w:t>
            </w:r>
          </w:p>
          <w:p>
            <w:pPr>
              <w:pStyle w:val="TableParagraph"/>
              <w:spacing w:line="200" w:lineRule="exact" w:before="7"/>
              <w:ind w:left="119"/>
              <w:jc w:val="left"/>
              <w:rPr>
                <w:b/>
                <w:sz w:val="18"/>
              </w:rPr>
            </w:pPr>
            <w:r>
              <w:rPr>
                <w:b/>
                <w:position w:val="1"/>
                <w:sz w:val="18"/>
              </w:rPr>
              <w:t>750 </w:t>
            </w:r>
            <w:r>
              <w:rPr>
                <w:rFonts w:ascii="Symbol" w:hAnsi="Symbol"/>
                <w:b/>
                <w:position w:val="1"/>
                <w:sz w:val="18"/>
              </w:rPr>
              <w:t></w:t>
            </w:r>
            <w:r>
              <w:rPr>
                <w:rFonts w:ascii="Times New Roman" w:hAnsi="Times New Roman"/>
                <w:b/>
                <w:position w:val="1"/>
                <w:sz w:val="18"/>
              </w:rPr>
              <w:t> </w:t>
            </w:r>
            <w:r>
              <w:rPr>
                <w:b/>
                <w:position w:val="1"/>
                <w:sz w:val="18"/>
              </w:rPr>
              <w:t>q</w:t>
            </w:r>
            <w:r>
              <w:rPr>
                <w:b/>
                <w:sz w:val="12"/>
              </w:rPr>
              <w:t>vt </w:t>
            </w:r>
            <w:r>
              <w:rPr>
                <w:rFonts w:ascii="Symbol" w:hAnsi="Symbol"/>
                <w:b/>
                <w:position w:val="1"/>
                <w:sz w:val="18"/>
              </w:rPr>
              <w:t></w:t>
            </w:r>
            <w:r>
              <w:rPr>
                <w:rFonts w:ascii="Times New Roman" w:hAnsi="Times New Roman"/>
                <w:b/>
                <w:position w:val="1"/>
                <w:sz w:val="18"/>
              </w:rPr>
              <w:t> </w:t>
            </w:r>
            <w:r>
              <w:rPr>
                <w:b/>
                <w:position w:val="1"/>
                <w:sz w:val="18"/>
              </w:rPr>
              <w:t>1 000</w:t>
            </w:r>
          </w:p>
        </w:tc>
        <w:tc>
          <w:tcPr>
            <w:tcW w:w="1274" w:type="dxa"/>
            <w:tcBorders>
              <w:right w:val="nil"/>
            </w:tcBorders>
          </w:tcPr>
          <w:p>
            <w:pPr>
              <w:pStyle w:val="TableParagraph"/>
              <w:spacing w:before="2"/>
              <w:ind w:left="414"/>
              <w:jc w:val="left"/>
              <w:rPr>
                <w:sz w:val="18"/>
              </w:rPr>
            </w:pPr>
            <w:r>
              <w:rPr>
                <w:sz w:val="18"/>
              </w:rPr>
              <w:t>1 x</w:t>
            </w:r>
            <w:r>
              <w:rPr>
                <w:spacing w:val="-3"/>
                <w:sz w:val="18"/>
              </w:rPr>
              <w:t> </w:t>
            </w:r>
            <w:r>
              <w:rPr>
                <w:sz w:val="18"/>
              </w:rPr>
              <w:t>225</w:t>
            </w:r>
          </w:p>
          <w:p>
            <w:pPr>
              <w:pStyle w:val="TableParagraph"/>
              <w:spacing w:before="20"/>
              <w:ind w:left="414"/>
              <w:jc w:val="left"/>
              <w:rPr>
                <w:sz w:val="18"/>
              </w:rPr>
            </w:pPr>
            <w:r>
              <w:rPr>
                <w:sz w:val="18"/>
              </w:rPr>
              <w:t>1 x</w:t>
            </w:r>
            <w:r>
              <w:rPr>
                <w:spacing w:val="-3"/>
                <w:sz w:val="18"/>
              </w:rPr>
              <w:t> </w:t>
            </w:r>
            <w:r>
              <w:rPr>
                <w:sz w:val="18"/>
              </w:rPr>
              <w:t>400</w:t>
            </w:r>
          </w:p>
          <w:p>
            <w:pPr>
              <w:pStyle w:val="TableParagraph"/>
              <w:spacing w:before="20"/>
              <w:ind w:left="414"/>
              <w:jc w:val="left"/>
              <w:rPr>
                <w:sz w:val="18"/>
              </w:rPr>
            </w:pPr>
            <w:r>
              <w:rPr>
                <w:sz w:val="18"/>
              </w:rPr>
              <w:t>1 x</w:t>
            </w:r>
            <w:r>
              <w:rPr>
                <w:spacing w:val="-3"/>
                <w:sz w:val="18"/>
              </w:rPr>
              <w:t> </w:t>
            </w:r>
            <w:r>
              <w:rPr>
                <w:sz w:val="18"/>
              </w:rPr>
              <w:t>625</w:t>
            </w:r>
          </w:p>
          <w:p>
            <w:pPr>
              <w:pStyle w:val="TableParagraph"/>
              <w:spacing w:before="21"/>
              <w:ind w:left="414"/>
              <w:jc w:val="left"/>
              <w:rPr>
                <w:sz w:val="18"/>
              </w:rPr>
            </w:pPr>
            <w:r>
              <w:rPr>
                <w:sz w:val="18"/>
              </w:rPr>
              <w:t>1 x</w:t>
            </w:r>
            <w:r>
              <w:rPr>
                <w:spacing w:val="-3"/>
                <w:sz w:val="18"/>
              </w:rPr>
              <w:t> </w:t>
            </w:r>
            <w:r>
              <w:rPr>
                <w:sz w:val="18"/>
              </w:rPr>
              <w:t>625</w:t>
            </w:r>
          </w:p>
          <w:p>
            <w:pPr>
              <w:pStyle w:val="TableParagraph"/>
              <w:spacing w:line="194" w:lineRule="exact" w:before="20"/>
              <w:ind w:left="414"/>
              <w:jc w:val="left"/>
              <w:rPr>
                <w:sz w:val="18"/>
              </w:rPr>
            </w:pPr>
            <w:r>
              <w:rPr>
                <w:sz w:val="18"/>
              </w:rPr>
              <w:t>1 x</w:t>
            </w:r>
            <w:r>
              <w:rPr>
                <w:spacing w:val="-3"/>
                <w:sz w:val="18"/>
              </w:rPr>
              <w:t> </w:t>
            </w:r>
            <w:r>
              <w:rPr>
                <w:sz w:val="18"/>
              </w:rPr>
              <w:t>900</w:t>
            </w:r>
          </w:p>
        </w:tc>
        <w:tc>
          <w:tcPr>
            <w:tcW w:w="1775" w:type="dxa"/>
            <w:tcBorders>
              <w:left w:val="nil"/>
              <w:right w:val="nil"/>
            </w:tcBorders>
          </w:tcPr>
          <w:p>
            <w:pPr>
              <w:pStyle w:val="TableParagraph"/>
              <w:spacing w:before="2"/>
              <w:ind w:left="251" w:right="95"/>
              <w:rPr>
                <w:sz w:val="18"/>
              </w:rPr>
            </w:pPr>
            <w:r>
              <w:rPr>
                <w:sz w:val="18"/>
              </w:rPr>
              <w:t>1 x</w:t>
            </w:r>
            <w:r>
              <w:rPr>
                <w:spacing w:val="-3"/>
                <w:sz w:val="18"/>
              </w:rPr>
              <w:t> </w:t>
            </w:r>
            <w:r>
              <w:rPr>
                <w:sz w:val="18"/>
              </w:rPr>
              <w:t>400</w:t>
            </w:r>
          </w:p>
          <w:p>
            <w:pPr>
              <w:pStyle w:val="TableParagraph"/>
              <w:spacing w:before="20"/>
              <w:ind w:left="251" w:right="95"/>
              <w:rPr>
                <w:sz w:val="18"/>
              </w:rPr>
            </w:pPr>
            <w:r>
              <w:rPr>
                <w:sz w:val="18"/>
              </w:rPr>
              <w:t>1 x</w:t>
            </w:r>
            <w:r>
              <w:rPr>
                <w:spacing w:val="-3"/>
                <w:sz w:val="18"/>
              </w:rPr>
              <w:t> </w:t>
            </w:r>
            <w:r>
              <w:rPr>
                <w:sz w:val="18"/>
              </w:rPr>
              <w:t>625</w:t>
            </w:r>
          </w:p>
          <w:p>
            <w:pPr>
              <w:pStyle w:val="TableParagraph"/>
              <w:spacing w:before="20"/>
              <w:ind w:left="251" w:right="95"/>
              <w:rPr>
                <w:sz w:val="18"/>
              </w:rPr>
            </w:pPr>
            <w:r>
              <w:rPr>
                <w:sz w:val="18"/>
              </w:rPr>
              <w:t>1 x</w:t>
            </w:r>
            <w:r>
              <w:rPr>
                <w:spacing w:val="-3"/>
                <w:sz w:val="18"/>
              </w:rPr>
              <w:t> </w:t>
            </w:r>
            <w:r>
              <w:rPr>
                <w:sz w:val="18"/>
              </w:rPr>
              <w:t>900</w:t>
            </w:r>
          </w:p>
          <w:p>
            <w:pPr>
              <w:pStyle w:val="TableParagraph"/>
              <w:spacing w:before="21"/>
              <w:ind w:left="251" w:right="95"/>
              <w:rPr>
                <w:sz w:val="18"/>
              </w:rPr>
            </w:pPr>
            <w:r>
              <w:rPr>
                <w:sz w:val="18"/>
              </w:rPr>
              <w:t>1 x</w:t>
            </w:r>
            <w:r>
              <w:rPr>
                <w:spacing w:val="-3"/>
                <w:sz w:val="18"/>
              </w:rPr>
              <w:t> </w:t>
            </w:r>
            <w:r>
              <w:rPr>
                <w:sz w:val="18"/>
              </w:rPr>
              <w:t>900</w:t>
            </w:r>
          </w:p>
          <w:p>
            <w:pPr>
              <w:pStyle w:val="TableParagraph"/>
              <w:spacing w:line="194" w:lineRule="exact" w:before="20"/>
              <w:ind w:left="253" w:right="95"/>
              <w:rPr>
                <w:sz w:val="18"/>
              </w:rPr>
            </w:pPr>
            <w:r>
              <w:rPr>
                <w:sz w:val="18"/>
              </w:rPr>
              <w:t>1 x 900 + 1 x 625</w:t>
            </w:r>
          </w:p>
        </w:tc>
        <w:tc>
          <w:tcPr>
            <w:tcW w:w="1627" w:type="dxa"/>
            <w:tcBorders>
              <w:left w:val="nil"/>
              <w:right w:val="nil"/>
            </w:tcBorders>
          </w:tcPr>
          <w:p>
            <w:pPr>
              <w:pStyle w:val="TableParagraph"/>
              <w:spacing w:before="2"/>
              <w:ind w:left="104" w:right="95"/>
              <w:rPr>
                <w:sz w:val="18"/>
              </w:rPr>
            </w:pPr>
            <w:r>
              <w:rPr>
                <w:sz w:val="18"/>
              </w:rPr>
              <w:t>1 x</w:t>
            </w:r>
            <w:r>
              <w:rPr>
                <w:spacing w:val="-3"/>
                <w:sz w:val="18"/>
              </w:rPr>
              <w:t> </w:t>
            </w:r>
            <w:r>
              <w:rPr>
                <w:sz w:val="18"/>
              </w:rPr>
              <w:t>625</w:t>
            </w:r>
          </w:p>
          <w:p>
            <w:pPr>
              <w:pStyle w:val="TableParagraph"/>
              <w:spacing w:before="20"/>
              <w:ind w:left="104" w:right="95"/>
              <w:rPr>
                <w:sz w:val="18"/>
              </w:rPr>
            </w:pPr>
            <w:r>
              <w:rPr>
                <w:sz w:val="18"/>
              </w:rPr>
              <w:t>1 x</w:t>
            </w:r>
            <w:r>
              <w:rPr>
                <w:spacing w:val="-3"/>
                <w:sz w:val="18"/>
              </w:rPr>
              <w:t> </w:t>
            </w:r>
            <w:r>
              <w:rPr>
                <w:sz w:val="18"/>
              </w:rPr>
              <w:t>625</w:t>
            </w:r>
          </w:p>
          <w:p>
            <w:pPr>
              <w:pStyle w:val="TableParagraph"/>
              <w:spacing w:before="20"/>
              <w:ind w:left="104" w:right="95"/>
              <w:rPr>
                <w:sz w:val="18"/>
              </w:rPr>
            </w:pPr>
            <w:r>
              <w:rPr>
                <w:sz w:val="18"/>
              </w:rPr>
              <w:t>1 x</w:t>
            </w:r>
            <w:r>
              <w:rPr>
                <w:spacing w:val="-3"/>
                <w:sz w:val="18"/>
              </w:rPr>
              <w:t> </w:t>
            </w:r>
            <w:r>
              <w:rPr>
                <w:sz w:val="18"/>
              </w:rPr>
              <w:t>900</w:t>
            </w:r>
          </w:p>
          <w:p>
            <w:pPr>
              <w:pStyle w:val="TableParagraph"/>
              <w:spacing w:before="21"/>
              <w:ind w:left="105" w:right="95"/>
              <w:rPr>
                <w:sz w:val="18"/>
              </w:rPr>
            </w:pPr>
            <w:r>
              <w:rPr>
                <w:sz w:val="18"/>
              </w:rPr>
              <w:t>1 x 900 + 1 x 625</w:t>
            </w:r>
          </w:p>
          <w:p>
            <w:pPr>
              <w:pStyle w:val="TableParagraph"/>
              <w:spacing w:line="194" w:lineRule="exact" w:before="20"/>
              <w:ind w:left="104" w:right="95"/>
              <w:rPr>
                <w:sz w:val="18"/>
              </w:rPr>
            </w:pPr>
            <w:r>
              <w:rPr>
                <w:sz w:val="18"/>
              </w:rPr>
              <w:t>2 x 900</w:t>
            </w:r>
          </w:p>
        </w:tc>
        <w:tc>
          <w:tcPr>
            <w:tcW w:w="1627" w:type="dxa"/>
            <w:tcBorders>
              <w:left w:val="nil"/>
              <w:right w:val="nil"/>
            </w:tcBorders>
          </w:tcPr>
          <w:p>
            <w:pPr>
              <w:pStyle w:val="TableParagraph"/>
              <w:spacing w:before="2"/>
              <w:ind w:left="104" w:right="95"/>
              <w:rPr>
                <w:sz w:val="18"/>
              </w:rPr>
            </w:pPr>
            <w:r>
              <w:rPr>
                <w:sz w:val="18"/>
              </w:rPr>
              <w:t>1 x</w:t>
            </w:r>
            <w:r>
              <w:rPr>
                <w:spacing w:val="-3"/>
                <w:sz w:val="18"/>
              </w:rPr>
              <w:t> </w:t>
            </w:r>
            <w:r>
              <w:rPr>
                <w:sz w:val="18"/>
              </w:rPr>
              <w:t>625</w:t>
            </w:r>
          </w:p>
          <w:p>
            <w:pPr>
              <w:pStyle w:val="TableParagraph"/>
              <w:spacing w:before="20"/>
              <w:ind w:left="104" w:right="95"/>
              <w:rPr>
                <w:sz w:val="18"/>
              </w:rPr>
            </w:pPr>
            <w:r>
              <w:rPr>
                <w:sz w:val="18"/>
              </w:rPr>
              <w:t>1 x</w:t>
            </w:r>
            <w:r>
              <w:rPr>
                <w:spacing w:val="-3"/>
                <w:sz w:val="18"/>
              </w:rPr>
              <w:t> </w:t>
            </w:r>
            <w:r>
              <w:rPr>
                <w:sz w:val="18"/>
              </w:rPr>
              <w:t>900</w:t>
            </w:r>
          </w:p>
          <w:p>
            <w:pPr>
              <w:pStyle w:val="TableParagraph"/>
              <w:spacing w:before="20"/>
              <w:ind w:left="104" w:right="95"/>
              <w:rPr>
                <w:sz w:val="18"/>
              </w:rPr>
            </w:pPr>
            <w:r>
              <w:rPr>
                <w:sz w:val="18"/>
              </w:rPr>
              <w:t>2 x</w:t>
            </w:r>
            <w:r>
              <w:rPr>
                <w:spacing w:val="-3"/>
                <w:sz w:val="18"/>
              </w:rPr>
              <w:t> </w:t>
            </w:r>
            <w:r>
              <w:rPr>
                <w:sz w:val="18"/>
              </w:rPr>
              <w:t>900</w:t>
            </w:r>
          </w:p>
          <w:p>
            <w:pPr>
              <w:pStyle w:val="TableParagraph"/>
              <w:spacing w:before="21"/>
              <w:ind w:left="105" w:right="95"/>
              <w:rPr>
                <w:sz w:val="18"/>
              </w:rPr>
            </w:pPr>
            <w:r>
              <w:rPr>
                <w:sz w:val="18"/>
              </w:rPr>
              <w:t>3 x</w:t>
            </w:r>
            <w:r>
              <w:rPr>
                <w:spacing w:val="-3"/>
                <w:sz w:val="18"/>
              </w:rPr>
              <w:t> </w:t>
            </w:r>
            <w:r>
              <w:rPr>
                <w:sz w:val="18"/>
              </w:rPr>
              <w:t>900</w:t>
            </w:r>
          </w:p>
          <w:p>
            <w:pPr>
              <w:pStyle w:val="TableParagraph"/>
              <w:spacing w:line="194" w:lineRule="exact" w:before="20"/>
              <w:ind w:left="105" w:right="95"/>
              <w:rPr>
                <w:sz w:val="18"/>
              </w:rPr>
            </w:pPr>
            <w:r>
              <w:rPr>
                <w:sz w:val="18"/>
              </w:rPr>
              <w:t>3 x 900 + 1 x 625</w:t>
            </w:r>
          </w:p>
        </w:tc>
      </w:tr>
    </w:tbl>
    <w:p>
      <w:pPr>
        <w:pStyle w:val="BodyText"/>
        <w:spacing w:before="7"/>
        <w:rPr>
          <w:b/>
          <w:sz w:val="17"/>
        </w:rPr>
      </w:pPr>
    </w:p>
    <w:p>
      <w:pPr>
        <w:spacing w:before="0"/>
        <w:ind w:left="655" w:right="829" w:firstLine="0"/>
        <w:jc w:val="center"/>
        <w:rPr>
          <w:b/>
          <w:sz w:val="18"/>
        </w:rPr>
      </w:pPr>
      <w:r>
        <w:rPr/>
        <w:pict>
          <v:group style="position:absolute;margin-left:94.919998pt;margin-top:10.541904pt;width:447.2pt;height:122.5pt;mso-position-horizontal-relative:page;mso-position-vertical-relative:paragraph;z-index:-267046912" coordorigin="1898,211" coordsize="8944,2450">
            <v:shape style="position:absolute;left:4245;top:215;width:6597;height:396" coordorigin="4246,216" coordsize="6597,396" path="m4246,216l10842,216m4246,612l10842,612e" filled="false" stroked="true" strokeweight=".47998pt" strokecolor="#000000">
              <v:path arrowok="t"/>
              <v:stroke dashstyle="solid"/>
            </v:shape>
            <v:line style="position:absolute" from="1898,840" to="10842,840" stroked="true" strokeweight=".47998pt" strokecolor="#000000">
              <v:stroke dashstyle="solid"/>
            </v:line>
            <v:shape style="position:absolute;left:4245;top:844;width:4954;height:454" coordorigin="4246,844" coordsize="4954,454" path="m7547,844l7547,1071m4246,1066l5903,1066m7542,1066l9199,1066m5898,1062l5898,1298e" filled="false" stroked="true" strokeweight=".48001pt" strokecolor="#000000">
              <v:path arrowok="t"/>
              <v:stroke dashstyle="solid"/>
            </v:shape>
            <v:line style="position:absolute" from="9194,1071" to="9194,1298" stroked="true" strokeweight=".47998pt" strokecolor="#000000">
              <v:stroke dashstyle="solid"/>
            </v:line>
            <v:shape style="position:absolute;left:1898;top:1293;width:8944;height:1362" coordorigin="1898,1293" coordsize="8944,1362" path="m9190,1293l10842,1293m1898,2655l2590,2655e" filled="false" stroked="true" strokeweight=".47998pt" strokecolor="#000000">
              <v:path arrowok="t"/>
              <v:stroke dashstyle="solid"/>
            </v:shape>
            <v:line style="position:absolute" from="2594,844" to="2594,2660" stroked="true" strokeweight=".48001pt" strokecolor="#000000">
              <v:stroke dashstyle="solid"/>
            </v:line>
            <v:shape style="position:absolute;left:2599;top:210;width:8243;height:2450" coordorigin="2599,211" coordsize="8243,2450" path="m2599,2655l4246,2655m4250,211l4250,2660m4255,2655l10842,2655e" filled="false" stroked="true" strokeweight=".47998pt" strokecolor="#000000">
              <v:path arrowok="t"/>
              <v:stroke dashstyle="solid"/>
            </v:shape>
            <v:shape style="position:absolute;left:6985;top:314;width:1141;height:202" type="#_x0000_t202" filled="false" stroked="false">
              <v:textbox inset="0,0,0,0">
                <w:txbxContent>
                  <w:p>
                    <w:pPr>
                      <w:spacing w:line="201" w:lineRule="exact" w:before="0"/>
                      <w:ind w:left="0" w:right="0" w:firstLine="0"/>
                      <w:jc w:val="left"/>
                      <w:rPr>
                        <w:b/>
                        <w:i/>
                        <w:sz w:val="18"/>
                      </w:rPr>
                    </w:pPr>
                    <w:r>
                      <w:rPr>
                        <w:b/>
                        <w:i/>
                        <w:sz w:val="18"/>
                      </w:rPr>
                      <w:t>Zona térmica</w:t>
                    </w:r>
                  </w:p>
                </w:txbxContent>
              </v:textbox>
              <w10:wrap type="none"/>
            </v:shape>
            <v:shape style="position:absolute;left:4988;top:625;width:190;height:202" type="#_x0000_t202" filled="false" stroked="false">
              <v:textbox inset="0,0,0,0">
                <w:txbxContent>
                  <w:p>
                    <w:pPr>
                      <w:spacing w:line="201" w:lineRule="exact" w:before="0"/>
                      <w:ind w:left="0" w:right="0" w:firstLine="0"/>
                      <w:jc w:val="left"/>
                      <w:rPr>
                        <w:b/>
                        <w:sz w:val="18"/>
                      </w:rPr>
                    </w:pPr>
                    <w:r>
                      <w:rPr>
                        <w:b/>
                        <w:sz w:val="18"/>
                      </w:rPr>
                      <w:t>W</w:t>
                    </w:r>
                  </w:p>
                </w:txbxContent>
              </v:textbox>
              <w10:wrap type="none"/>
            </v:shape>
            <v:shape style="position:absolute;left:6661;top:625;width:141;height:202" type="#_x0000_t202" filled="false" stroked="false">
              <v:textbox inset="0,0,0,0">
                <w:txbxContent>
                  <w:p>
                    <w:pPr>
                      <w:spacing w:line="201" w:lineRule="exact" w:before="0"/>
                      <w:ind w:left="0" w:right="0" w:firstLine="0"/>
                      <w:jc w:val="left"/>
                      <w:rPr>
                        <w:b/>
                        <w:sz w:val="18"/>
                      </w:rPr>
                    </w:pPr>
                    <w:r>
                      <w:rPr>
                        <w:b/>
                        <w:sz w:val="18"/>
                      </w:rPr>
                      <w:t>X</w:t>
                    </w:r>
                  </w:p>
                </w:txbxContent>
              </v:textbox>
              <w10:wrap type="none"/>
            </v:shape>
            <v:shape style="position:absolute;left:8310;top:625;width:141;height:202" type="#_x0000_t202" filled="false" stroked="false">
              <v:textbox inset="0,0,0,0">
                <w:txbxContent>
                  <w:p>
                    <w:pPr>
                      <w:spacing w:line="201" w:lineRule="exact" w:before="0"/>
                      <w:ind w:left="0" w:right="0" w:firstLine="0"/>
                      <w:jc w:val="left"/>
                      <w:rPr>
                        <w:b/>
                        <w:sz w:val="18"/>
                      </w:rPr>
                    </w:pPr>
                    <w:r>
                      <w:rPr>
                        <w:b/>
                        <w:sz w:val="18"/>
                      </w:rPr>
                      <w:t>Y</w:t>
                    </w:r>
                  </w:p>
                </w:txbxContent>
              </v:textbox>
              <w10:wrap type="none"/>
            </v:shape>
            <v:shape style="position:absolute;left:3366;top:849;width:132;height:451" type="#_x0000_t202" filled="false" stroked="false">
              <v:textbox inset="0,0,0,0">
                <w:txbxContent>
                  <w:p>
                    <w:pPr>
                      <w:spacing w:line="222" w:lineRule="exact" w:before="0"/>
                      <w:ind w:left="0" w:right="0" w:firstLine="0"/>
                      <w:jc w:val="left"/>
                      <w:rPr>
                        <w:b/>
                        <w:sz w:val="20"/>
                      </w:rPr>
                    </w:pPr>
                    <w:r>
                      <w:rPr>
                        <w:b/>
                        <w:w w:val="100"/>
                        <w:sz w:val="20"/>
                      </w:rPr>
                      <w:t>1</w:t>
                    </w:r>
                  </w:p>
                  <w:p>
                    <w:pPr>
                      <w:spacing w:line="228" w:lineRule="exact" w:before="0"/>
                      <w:ind w:left="0" w:right="0" w:firstLine="0"/>
                      <w:jc w:val="left"/>
                      <w:rPr>
                        <w:b/>
                        <w:sz w:val="20"/>
                      </w:rPr>
                    </w:pPr>
                    <w:r>
                      <w:rPr>
                        <w:b/>
                        <w:w w:val="100"/>
                        <w:sz w:val="20"/>
                      </w:rPr>
                      <w:t>2</w:t>
                    </w:r>
                  </w:p>
                </w:txbxContent>
              </v:textbox>
              <w10:wrap type="none"/>
            </v:shape>
            <v:shape style="position:absolute;left:9867;top:625;width:322;height:554" type="#_x0000_t202" filled="false" stroked="false">
              <v:textbox inset="0,0,0,0">
                <w:txbxContent>
                  <w:p>
                    <w:pPr>
                      <w:spacing w:line="201" w:lineRule="exact" w:before="0"/>
                      <w:ind w:left="94" w:right="0" w:firstLine="0"/>
                      <w:jc w:val="left"/>
                      <w:rPr>
                        <w:b/>
                        <w:sz w:val="18"/>
                      </w:rPr>
                    </w:pPr>
                    <w:r>
                      <w:rPr>
                        <w:b/>
                        <w:sz w:val="18"/>
                      </w:rPr>
                      <w:t>Z</w:t>
                    </w:r>
                  </w:p>
                  <w:p>
                    <w:pPr>
                      <w:spacing w:before="122"/>
                      <w:ind w:left="0" w:right="0" w:firstLine="0"/>
                      <w:jc w:val="left"/>
                      <w:rPr>
                        <w:sz w:val="20"/>
                      </w:rPr>
                    </w:pPr>
                    <w:r>
                      <w:rPr>
                        <w:sz w:val="20"/>
                      </w:rPr>
                      <w:t>T-4</w:t>
                    </w:r>
                  </w:p>
                </w:txbxContent>
              </v:textbox>
              <w10:wrap type="none"/>
            </v:shape>
            <w10:wrap type="none"/>
          </v:group>
        </w:pict>
      </w:r>
      <w:r>
        <w:rPr>
          <w:b/>
          <w:sz w:val="18"/>
        </w:rPr>
        <w:t>Tabla 4.3 Clases de tiro</w:t>
      </w:r>
    </w:p>
    <w:p>
      <w:pPr>
        <w:pStyle w:val="BodyText"/>
        <w:rPr>
          <w:b/>
        </w:rPr>
      </w:pPr>
    </w:p>
    <w:p>
      <w:pPr>
        <w:pStyle w:val="BodyText"/>
        <w:rPr>
          <w:b/>
        </w:rPr>
      </w:pPr>
    </w:p>
    <w:p>
      <w:pPr>
        <w:pStyle w:val="BodyText"/>
        <w:rPr>
          <w:b/>
        </w:rPr>
      </w:pPr>
    </w:p>
    <w:p>
      <w:pPr>
        <w:pStyle w:val="BodyText"/>
        <w:rPr>
          <w:b/>
        </w:rPr>
      </w:pPr>
    </w:p>
    <w:p>
      <w:pPr>
        <w:pStyle w:val="BodyText"/>
        <w:spacing w:before="6"/>
        <w:rPr>
          <w:b/>
          <w:sz w:val="14"/>
        </w:rPr>
      </w:pPr>
    </w:p>
    <w:tbl>
      <w:tblPr>
        <w:tblW w:w="0" w:type="auto"/>
        <w:jc w:val="left"/>
        <w:tblInd w:w="2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9"/>
        <w:gridCol w:w="1648"/>
        <w:gridCol w:w="1649"/>
        <w:gridCol w:w="1648"/>
        <w:gridCol w:w="1025"/>
      </w:tblGrid>
      <w:tr>
        <w:trPr>
          <w:trHeight w:val="233" w:hRule="atLeast"/>
        </w:trPr>
        <w:tc>
          <w:tcPr>
            <w:tcW w:w="989" w:type="dxa"/>
          </w:tcPr>
          <w:p>
            <w:pPr>
              <w:pStyle w:val="TableParagraph"/>
              <w:spacing w:line="210" w:lineRule="exact" w:before="3"/>
              <w:ind w:left="105"/>
              <w:jc w:val="left"/>
              <w:rPr>
                <w:b/>
                <w:sz w:val="20"/>
              </w:rPr>
            </w:pPr>
            <w:r>
              <w:rPr>
                <w:b/>
                <w:w w:val="100"/>
                <w:sz w:val="20"/>
              </w:rPr>
              <w:t>3</w:t>
            </w:r>
          </w:p>
        </w:tc>
        <w:tc>
          <w:tcPr>
            <w:tcW w:w="1648" w:type="dxa"/>
          </w:tcPr>
          <w:p>
            <w:pPr>
              <w:pStyle w:val="TableParagraph"/>
              <w:jc w:val="left"/>
              <w:rPr>
                <w:rFonts w:ascii="Times New Roman"/>
                <w:sz w:val="16"/>
              </w:rPr>
            </w:pPr>
          </w:p>
        </w:tc>
        <w:tc>
          <w:tcPr>
            <w:tcW w:w="1649" w:type="dxa"/>
            <w:tcBorders>
              <w:right w:val="single" w:sz="4" w:space="0" w:color="000000"/>
            </w:tcBorders>
          </w:tcPr>
          <w:p>
            <w:pPr>
              <w:pStyle w:val="TableParagraph"/>
              <w:spacing w:line="20" w:lineRule="exact"/>
              <w:ind w:left="-10" w:right="-87"/>
              <w:jc w:val="left"/>
              <w:rPr>
                <w:sz w:val="2"/>
              </w:rPr>
            </w:pPr>
            <w:r>
              <w:rPr>
                <w:sz w:val="2"/>
              </w:rPr>
              <w:pict>
                <v:group style="width:82.95pt;height:.5pt;mso-position-horizontal-relative:char;mso-position-vertical-relative:line" coordorigin="0,0" coordsize="1659,10">
                  <v:line style="position:absolute" from="0,5" to="1658,5" stroked="true" strokeweight=".47998pt" strokecolor="#000000">
                    <v:stroke dashstyle="solid"/>
                  </v:line>
                </v:group>
              </w:pict>
            </w:r>
            <w:r>
              <w:rPr>
                <w:sz w:val="2"/>
              </w:rPr>
            </w:r>
          </w:p>
        </w:tc>
        <w:tc>
          <w:tcPr>
            <w:tcW w:w="1648" w:type="dxa"/>
            <w:tcBorders>
              <w:left w:val="single" w:sz="4" w:space="0" w:color="000000"/>
            </w:tcBorders>
          </w:tcPr>
          <w:p>
            <w:pPr>
              <w:pStyle w:val="TableParagraph"/>
              <w:spacing w:line="134" w:lineRule="exact"/>
              <w:ind w:left="497"/>
              <w:jc w:val="left"/>
              <w:rPr>
                <w:sz w:val="20"/>
              </w:rPr>
            </w:pPr>
            <w:r>
              <w:rPr>
                <w:sz w:val="20"/>
              </w:rPr>
              <w:t>T-3</w:t>
            </w:r>
          </w:p>
        </w:tc>
        <w:tc>
          <w:tcPr>
            <w:tcW w:w="1025" w:type="dxa"/>
            <w:vMerge w:val="restart"/>
          </w:tcPr>
          <w:p>
            <w:pPr>
              <w:pStyle w:val="TableParagraph"/>
              <w:jc w:val="left"/>
              <w:rPr>
                <w:rFonts w:ascii="Times New Roman"/>
                <w:sz w:val="16"/>
              </w:rPr>
            </w:pPr>
          </w:p>
        </w:tc>
      </w:tr>
      <w:tr>
        <w:trPr>
          <w:trHeight w:val="222" w:hRule="atLeast"/>
        </w:trPr>
        <w:tc>
          <w:tcPr>
            <w:tcW w:w="989" w:type="dxa"/>
          </w:tcPr>
          <w:p>
            <w:pPr>
              <w:pStyle w:val="TableParagraph"/>
              <w:spacing w:line="195" w:lineRule="exact"/>
              <w:ind w:left="105"/>
              <w:jc w:val="left"/>
              <w:rPr>
                <w:b/>
                <w:sz w:val="20"/>
              </w:rPr>
            </w:pPr>
            <w:r>
              <w:rPr>
                <w:b/>
                <w:w w:val="100"/>
                <w:sz w:val="20"/>
              </w:rPr>
              <w:t>4</w:t>
            </w:r>
          </w:p>
        </w:tc>
        <w:tc>
          <w:tcPr>
            <w:tcW w:w="1648" w:type="dxa"/>
            <w:tcBorders>
              <w:bottom w:val="single" w:sz="4" w:space="0" w:color="000000"/>
            </w:tcBorders>
          </w:tcPr>
          <w:p>
            <w:pPr>
              <w:pStyle w:val="TableParagraph"/>
              <w:jc w:val="left"/>
              <w:rPr>
                <w:rFonts w:ascii="Times New Roman"/>
                <w:sz w:val="14"/>
              </w:rPr>
            </w:pPr>
          </w:p>
        </w:tc>
        <w:tc>
          <w:tcPr>
            <w:tcW w:w="1649" w:type="dxa"/>
          </w:tcPr>
          <w:p>
            <w:pPr>
              <w:pStyle w:val="TableParagraph"/>
              <w:spacing w:line="195" w:lineRule="exact"/>
              <w:ind w:left="654" w:right="654"/>
              <w:rPr>
                <w:sz w:val="20"/>
              </w:rPr>
            </w:pPr>
            <w:r>
              <w:rPr>
                <w:sz w:val="20"/>
              </w:rPr>
              <w:t>T-2</w:t>
            </w:r>
          </w:p>
        </w:tc>
        <w:tc>
          <w:tcPr>
            <w:tcW w:w="1648" w:type="dxa"/>
            <w:tcBorders>
              <w:right w:val="single" w:sz="4" w:space="0" w:color="000000"/>
            </w:tcBorders>
          </w:tcPr>
          <w:p>
            <w:pPr>
              <w:pStyle w:val="TableParagraph"/>
              <w:spacing w:line="20" w:lineRule="exact"/>
              <w:ind w:left="-10" w:right="-87"/>
              <w:jc w:val="left"/>
              <w:rPr>
                <w:sz w:val="2"/>
              </w:rPr>
            </w:pPr>
            <w:r>
              <w:rPr>
                <w:sz w:val="2"/>
              </w:rPr>
              <w:pict>
                <v:group style="width:82.9pt;height:.5pt;mso-position-horizontal-relative:char;mso-position-vertical-relative:line" coordorigin="0,0" coordsize="1658,10">
                  <v:line style="position:absolute" from="0,5" to="1657,5" stroked="true" strokeweight=".48001pt" strokecolor="#000000">
                    <v:stroke dashstyle="solid"/>
                  </v:line>
                </v:group>
              </w:pict>
            </w:r>
            <w:r>
              <w:rPr>
                <w:sz w:val="2"/>
              </w:rPr>
            </w:r>
          </w:p>
        </w:tc>
        <w:tc>
          <w:tcPr>
            <w:tcW w:w="1025" w:type="dxa"/>
            <w:vMerge/>
            <w:tcBorders>
              <w:top w:val="nil"/>
            </w:tcBorders>
          </w:tcPr>
          <w:p>
            <w:pPr>
              <w:rPr>
                <w:sz w:val="2"/>
                <w:szCs w:val="2"/>
              </w:rPr>
            </w:pPr>
          </w:p>
        </w:tc>
      </w:tr>
      <w:tr>
        <w:trPr>
          <w:trHeight w:val="216" w:hRule="atLeast"/>
        </w:trPr>
        <w:tc>
          <w:tcPr>
            <w:tcW w:w="989" w:type="dxa"/>
          </w:tcPr>
          <w:p>
            <w:pPr>
              <w:pStyle w:val="TableParagraph"/>
              <w:spacing w:line="198" w:lineRule="exact"/>
              <w:ind w:left="105"/>
              <w:jc w:val="left"/>
              <w:rPr>
                <w:b/>
                <w:sz w:val="20"/>
              </w:rPr>
            </w:pPr>
            <w:r>
              <w:rPr>
                <w:b/>
                <w:w w:val="100"/>
                <w:sz w:val="20"/>
              </w:rPr>
              <w:t>5</w:t>
            </w:r>
          </w:p>
        </w:tc>
        <w:tc>
          <w:tcPr>
            <w:tcW w:w="1648" w:type="dxa"/>
            <w:tcBorders>
              <w:top w:val="single" w:sz="4" w:space="0" w:color="000000"/>
              <w:right w:val="single" w:sz="4" w:space="0" w:color="000000"/>
            </w:tcBorders>
          </w:tcPr>
          <w:p>
            <w:pPr>
              <w:pStyle w:val="TableParagraph"/>
              <w:jc w:val="left"/>
              <w:rPr>
                <w:rFonts w:ascii="Times New Roman"/>
                <w:sz w:val="14"/>
              </w:rPr>
            </w:pPr>
          </w:p>
        </w:tc>
        <w:tc>
          <w:tcPr>
            <w:tcW w:w="1649" w:type="dxa"/>
            <w:tcBorders>
              <w:left w:val="single" w:sz="4" w:space="0" w:color="000000"/>
              <w:bottom w:val="single" w:sz="4" w:space="0" w:color="000000"/>
            </w:tcBorders>
          </w:tcPr>
          <w:p>
            <w:pPr>
              <w:pStyle w:val="TableParagraph"/>
              <w:jc w:val="left"/>
              <w:rPr>
                <w:rFonts w:ascii="Times New Roman"/>
                <w:sz w:val="14"/>
              </w:rPr>
            </w:pPr>
          </w:p>
        </w:tc>
        <w:tc>
          <w:tcPr>
            <w:tcW w:w="1648" w:type="dxa"/>
            <w:tcBorders>
              <w:right w:val="single" w:sz="4" w:space="0" w:color="000000"/>
            </w:tcBorders>
          </w:tcPr>
          <w:p>
            <w:pPr>
              <w:pStyle w:val="TableParagraph"/>
              <w:jc w:val="left"/>
              <w:rPr>
                <w:rFonts w:ascii="Times New Roman"/>
                <w:sz w:val="14"/>
              </w:rPr>
            </w:pPr>
          </w:p>
        </w:tc>
        <w:tc>
          <w:tcPr>
            <w:tcW w:w="1025" w:type="dxa"/>
            <w:vMerge/>
            <w:tcBorders>
              <w:top w:val="nil"/>
            </w:tcBorders>
          </w:tcPr>
          <w:p>
            <w:pPr>
              <w:rPr>
                <w:sz w:val="2"/>
                <w:szCs w:val="2"/>
              </w:rPr>
            </w:pPr>
          </w:p>
        </w:tc>
      </w:tr>
      <w:tr>
        <w:trPr>
          <w:trHeight w:val="221" w:hRule="atLeast"/>
        </w:trPr>
        <w:tc>
          <w:tcPr>
            <w:tcW w:w="989" w:type="dxa"/>
          </w:tcPr>
          <w:p>
            <w:pPr>
              <w:pStyle w:val="TableParagraph"/>
              <w:spacing w:line="208" w:lineRule="exact"/>
              <w:ind w:left="105"/>
              <w:jc w:val="left"/>
              <w:rPr>
                <w:b/>
                <w:sz w:val="20"/>
              </w:rPr>
            </w:pPr>
            <w:r>
              <w:rPr>
                <w:b/>
                <w:w w:val="100"/>
                <w:sz w:val="20"/>
              </w:rPr>
              <w:t>6</w:t>
            </w:r>
          </w:p>
        </w:tc>
        <w:tc>
          <w:tcPr>
            <w:tcW w:w="1648" w:type="dxa"/>
          </w:tcPr>
          <w:p>
            <w:pPr>
              <w:pStyle w:val="TableParagraph"/>
              <w:jc w:val="left"/>
              <w:rPr>
                <w:rFonts w:ascii="Times New Roman"/>
                <w:sz w:val="16"/>
              </w:rPr>
            </w:pPr>
          </w:p>
        </w:tc>
        <w:tc>
          <w:tcPr>
            <w:tcW w:w="1649" w:type="dxa"/>
            <w:tcBorders>
              <w:top w:val="single" w:sz="4" w:space="0" w:color="000000"/>
              <w:right w:val="single" w:sz="4" w:space="0" w:color="000000"/>
            </w:tcBorders>
          </w:tcPr>
          <w:p>
            <w:pPr>
              <w:pStyle w:val="TableParagraph"/>
              <w:jc w:val="left"/>
              <w:rPr>
                <w:rFonts w:ascii="Times New Roman"/>
                <w:sz w:val="16"/>
              </w:rPr>
            </w:pPr>
          </w:p>
        </w:tc>
        <w:tc>
          <w:tcPr>
            <w:tcW w:w="1648" w:type="dxa"/>
            <w:tcBorders>
              <w:left w:val="single" w:sz="4" w:space="0" w:color="000000"/>
              <w:right w:val="single" w:sz="4" w:space="0" w:color="000000"/>
            </w:tcBorders>
          </w:tcPr>
          <w:p>
            <w:pPr>
              <w:pStyle w:val="TableParagraph"/>
              <w:jc w:val="left"/>
              <w:rPr>
                <w:rFonts w:ascii="Times New Roman"/>
                <w:sz w:val="16"/>
              </w:rPr>
            </w:pPr>
          </w:p>
        </w:tc>
        <w:tc>
          <w:tcPr>
            <w:tcW w:w="1025" w:type="dxa"/>
            <w:vMerge/>
            <w:tcBorders>
              <w:top w:val="nil"/>
            </w:tcBorders>
          </w:tcPr>
          <w:p>
            <w:pPr>
              <w:rPr>
                <w:sz w:val="2"/>
                <w:szCs w:val="2"/>
              </w:rPr>
            </w:pPr>
          </w:p>
        </w:tc>
      </w:tr>
      <w:tr>
        <w:trPr>
          <w:trHeight w:val="226" w:hRule="atLeast"/>
        </w:trPr>
        <w:tc>
          <w:tcPr>
            <w:tcW w:w="989" w:type="dxa"/>
          </w:tcPr>
          <w:p>
            <w:pPr>
              <w:pStyle w:val="TableParagraph"/>
              <w:spacing w:line="207" w:lineRule="exact"/>
              <w:ind w:left="105"/>
              <w:jc w:val="left"/>
              <w:rPr>
                <w:b/>
                <w:sz w:val="20"/>
              </w:rPr>
            </w:pPr>
            <w:r>
              <w:rPr>
                <w:b/>
                <w:w w:val="100"/>
                <w:sz w:val="20"/>
              </w:rPr>
              <w:t>7</w:t>
            </w:r>
          </w:p>
        </w:tc>
        <w:tc>
          <w:tcPr>
            <w:tcW w:w="1648" w:type="dxa"/>
          </w:tcPr>
          <w:p>
            <w:pPr>
              <w:pStyle w:val="TableParagraph"/>
              <w:jc w:val="left"/>
              <w:rPr>
                <w:rFonts w:ascii="Times New Roman"/>
                <w:sz w:val="16"/>
              </w:rPr>
            </w:pPr>
          </w:p>
        </w:tc>
        <w:tc>
          <w:tcPr>
            <w:tcW w:w="1649" w:type="dxa"/>
          </w:tcPr>
          <w:p>
            <w:pPr>
              <w:pStyle w:val="TableParagraph"/>
              <w:spacing w:line="207" w:lineRule="exact"/>
              <w:ind w:left="654" w:right="654"/>
              <w:rPr>
                <w:sz w:val="20"/>
              </w:rPr>
            </w:pPr>
            <w:r>
              <w:rPr>
                <w:sz w:val="20"/>
              </w:rPr>
              <w:t>T-1</w:t>
            </w:r>
          </w:p>
        </w:tc>
        <w:tc>
          <w:tcPr>
            <w:tcW w:w="1648" w:type="dxa"/>
            <w:tcBorders>
              <w:right w:val="single" w:sz="4" w:space="0" w:color="000000"/>
            </w:tcBorders>
          </w:tcPr>
          <w:p>
            <w:pPr>
              <w:pStyle w:val="TableParagraph"/>
              <w:jc w:val="left"/>
              <w:rPr>
                <w:rFonts w:ascii="Times New Roman"/>
                <w:sz w:val="16"/>
              </w:rPr>
            </w:pPr>
          </w:p>
        </w:tc>
        <w:tc>
          <w:tcPr>
            <w:tcW w:w="1025" w:type="dxa"/>
            <w:tcBorders>
              <w:left w:val="single" w:sz="4" w:space="0" w:color="000000"/>
            </w:tcBorders>
          </w:tcPr>
          <w:p>
            <w:pPr>
              <w:pStyle w:val="TableParagraph"/>
              <w:spacing w:line="207" w:lineRule="exact"/>
              <w:ind w:left="668"/>
              <w:jc w:val="left"/>
              <w:rPr>
                <w:sz w:val="20"/>
              </w:rPr>
            </w:pPr>
            <w:r>
              <w:rPr>
                <w:sz w:val="20"/>
              </w:rPr>
              <w:t>T-2</w:t>
            </w:r>
          </w:p>
        </w:tc>
      </w:tr>
      <w:tr>
        <w:trPr>
          <w:trHeight w:val="220" w:hRule="atLeast"/>
        </w:trPr>
        <w:tc>
          <w:tcPr>
            <w:tcW w:w="989" w:type="dxa"/>
          </w:tcPr>
          <w:p>
            <w:pPr>
              <w:pStyle w:val="TableParagraph"/>
              <w:spacing w:line="200" w:lineRule="exact"/>
              <w:ind w:left="50"/>
              <w:jc w:val="left"/>
              <w:rPr>
                <w:b/>
                <w:sz w:val="20"/>
              </w:rPr>
            </w:pPr>
            <w:r>
              <w:rPr>
                <w:b/>
                <w:sz w:val="20"/>
              </w:rPr>
              <w:t>≥8</w:t>
            </w:r>
          </w:p>
        </w:tc>
        <w:tc>
          <w:tcPr>
            <w:tcW w:w="1648" w:type="dxa"/>
          </w:tcPr>
          <w:p>
            <w:pPr>
              <w:pStyle w:val="TableParagraph"/>
              <w:jc w:val="left"/>
              <w:rPr>
                <w:rFonts w:ascii="Times New Roman"/>
                <w:sz w:val="14"/>
              </w:rPr>
            </w:pPr>
          </w:p>
        </w:tc>
        <w:tc>
          <w:tcPr>
            <w:tcW w:w="1649" w:type="dxa"/>
          </w:tcPr>
          <w:p>
            <w:pPr>
              <w:pStyle w:val="TableParagraph"/>
              <w:jc w:val="left"/>
              <w:rPr>
                <w:rFonts w:ascii="Times New Roman"/>
                <w:sz w:val="14"/>
              </w:rPr>
            </w:pPr>
          </w:p>
        </w:tc>
        <w:tc>
          <w:tcPr>
            <w:tcW w:w="1648" w:type="dxa"/>
          </w:tcPr>
          <w:p>
            <w:pPr>
              <w:pStyle w:val="TableParagraph"/>
              <w:jc w:val="left"/>
              <w:rPr>
                <w:rFonts w:ascii="Times New Roman"/>
                <w:sz w:val="14"/>
              </w:rPr>
            </w:pPr>
          </w:p>
        </w:tc>
        <w:tc>
          <w:tcPr>
            <w:tcW w:w="1025" w:type="dxa"/>
          </w:tcPr>
          <w:p>
            <w:pPr>
              <w:pStyle w:val="TableParagraph"/>
              <w:jc w:val="left"/>
              <w:rPr>
                <w:rFonts w:ascii="Times New Roman"/>
                <w:sz w:val="14"/>
              </w:rPr>
            </w:pPr>
          </w:p>
        </w:tc>
      </w:tr>
    </w:tbl>
    <w:p>
      <w:pPr>
        <w:pStyle w:val="BodyText"/>
        <w:rPr>
          <w:b/>
          <w:sz w:val="10"/>
        </w:rPr>
      </w:pPr>
    </w:p>
    <w:p>
      <w:pPr>
        <w:spacing w:before="94" w:after="3"/>
        <w:ind w:left="655" w:right="830" w:firstLine="0"/>
        <w:jc w:val="center"/>
        <w:rPr>
          <w:b/>
          <w:i/>
          <w:sz w:val="18"/>
        </w:rPr>
      </w:pPr>
      <w:r>
        <w:rPr/>
        <w:pict>
          <v:line style="position:absolute;mso-position-horizontal-relative:page;mso-position-vertical-relative:paragraph;z-index:-267045888" from="377.100006pt,-28.437511pt" to="542.100006pt,-28.437511pt" stroked="true" strokeweight=".48001pt" strokecolor="#000000">
            <v:stroke dashstyle="solid"/>
            <w10:wrap type="none"/>
          </v:line>
        </w:pict>
      </w:r>
      <w:r>
        <w:rPr/>
        <w:pict>
          <v:line style="position:absolute;mso-position-horizontal-relative:page;mso-position-vertical-relative:paragraph;z-index:-267044864" from="459.480011pt,-17.097511pt" to="542.100011pt,-17.097511pt" stroked="true" strokeweight=".48001pt" strokecolor="#000000">
            <v:stroke dashstyle="solid"/>
            <w10:wrap type="none"/>
          </v:line>
        </w:pict>
      </w:r>
      <w:r>
        <w:rPr/>
        <w:pict>
          <v:shape style="position:absolute;margin-left:107.972542pt;margin-top:-80.579597pt;width:12.1pt;height:58.85pt;mso-position-horizontal-relative:page;mso-position-vertical-relative:paragraph;z-index:251928576" type="#_x0000_t202" filled="false" stroked="false">
            <v:textbox inset="0,0,0,0" style="layout-flow:vertical;mso-layout-flow-alt:bottom-to-top">
              <w:txbxContent>
                <w:p>
                  <w:pPr>
                    <w:spacing w:before="14"/>
                    <w:ind w:left="20" w:right="0" w:firstLine="0"/>
                    <w:jc w:val="left"/>
                    <w:rPr>
                      <w:b/>
                      <w:sz w:val="18"/>
                    </w:rPr>
                  </w:pPr>
                  <w:r>
                    <w:rPr>
                      <w:b/>
                      <w:sz w:val="18"/>
                    </w:rPr>
                    <w:t>Nº de plantas</w:t>
                  </w:r>
                </w:p>
              </w:txbxContent>
            </v:textbox>
            <w10:wrap type="none"/>
          </v:shape>
        </w:pict>
      </w:r>
      <w:r>
        <w:rPr>
          <w:b/>
          <w:sz w:val="18"/>
        </w:rPr>
        <w:t>Tabla 4.4 </w:t>
      </w:r>
      <w:r>
        <w:rPr>
          <w:b/>
          <w:i/>
          <w:sz w:val="18"/>
        </w:rPr>
        <w:t>Zonas térmicas</w:t>
      </w:r>
    </w:p>
    <w:tbl>
      <w:tblPr>
        <w:tblW w:w="0" w:type="auto"/>
        <w:jc w:val="left"/>
        <w:tblInd w:w="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5"/>
        <w:gridCol w:w="882"/>
        <w:gridCol w:w="641"/>
        <w:gridCol w:w="792"/>
        <w:gridCol w:w="2496"/>
        <w:gridCol w:w="832"/>
        <w:gridCol w:w="592"/>
        <w:gridCol w:w="713"/>
      </w:tblGrid>
      <w:tr>
        <w:trPr>
          <w:trHeight w:val="678" w:hRule="atLeast"/>
        </w:trPr>
        <w:tc>
          <w:tcPr>
            <w:tcW w:w="2025" w:type="dxa"/>
            <w:tcBorders>
              <w:top w:val="single" w:sz="4" w:space="0" w:color="000000"/>
              <w:bottom w:val="single" w:sz="4" w:space="0" w:color="000000"/>
            </w:tcBorders>
          </w:tcPr>
          <w:p>
            <w:pPr>
              <w:pStyle w:val="TableParagraph"/>
              <w:spacing w:before="104"/>
              <w:ind w:left="519" w:right="423"/>
              <w:rPr>
                <w:b/>
                <w:sz w:val="18"/>
              </w:rPr>
            </w:pPr>
            <w:r>
              <w:rPr>
                <w:b/>
                <w:sz w:val="18"/>
              </w:rPr>
              <w:t>Provincia</w:t>
            </w:r>
          </w:p>
        </w:tc>
        <w:tc>
          <w:tcPr>
            <w:tcW w:w="882" w:type="dxa"/>
            <w:tcBorders>
              <w:top w:val="single" w:sz="4" w:space="0" w:color="000000"/>
              <w:bottom w:val="single" w:sz="4" w:space="0" w:color="000000"/>
            </w:tcBorders>
          </w:tcPr>
          <w:p>
            <w:pPr>
              <w:pStyle w:val="TableParagraph"/>
              <w:jc w:val="left"/>
              <w:rPr>
                <w:b/>
                <w:i/>
                <w:sz w:val="22"/>
              </w:rPr>
            </w:pPr>
          </w:p>
          <w:p>
            <w:pPr>
              <w:pStyle w:val="TableParagraph"/>
              <w:spacing w:before="185"/>
              <w:ind w:left="434" w:right="7"/>
              <w:rPr>
                <w:b/>
                <w:sz w:val="18"/>
              </w:rPr>
            </w:pPr>
            <w:r>
              <w:rPr>
                <w:rFonts w:ascii="Symbol" w:hAnsi="Symbol"/>
                <w:b/>
                <w:sz w:val="18"/>
              </w:rPr>
              <w:t></w:t>
            </w:r>
            <w:r>
              <w:rPr>
                <w:b/>
                <w:sz w:val="18"/>
              </w:rPr>
              <w:t>800</w:t>
            </w:r>
          </w:p>
        </w:tc>
        <w:tc>
          <w:tcPr>
            <w:tcW w:w="641" w:type="dxa"/>
            <w:tcBorders>
              <w:top w:val="single" w:sz="4" w:space="0" w:color="000000"/>
              <w:bottom w:val="single" w:sz="4" w:space="0" w:color="000000"/>
            </w:tcBorders>
          </w:tcPr>
          <w:p>
            <w:pPr>
              <w:pStyle w:val="TableParagraph"/>
              <w:spacing w:before="1"/>
              <w:ind w:left="115" w:right="12" w:hanging="76"/>
              <w:jc w:val="left"/>
              <w:rPr>
                <w:b/>
                <w:sz w:val="18"/>
              </w:rPr>
            </w:pPr>
            <w:r>
              <w:rPr>
                <w:b/>
                <w:sz w:val="18"/>
              </w:rPr>
              <w:t>Altitud en m</w:t>
            </w:r>
          </w:p>
        </w:tc>
        <w:tc>
          <w:tcPr>
            <w:tcW w:w="792" w:type="dxa"/>
            <w:tcBorders>
              <w:top w:val="single" w:sz="4" w:space="0" w:color="000000"/>
              <w:bottom w:val="single" w:sz="4" w:space="0" w:color="000000"/>
              <w:right w:val="single" w:sz="4" w:space="0" w:color="000000"/>
            </w:tcBorders>
          </w:tcPr>
          <w:p>
            <w:pPr>
              <w:pStyle w:val="TableParagraph"/>
              <w:jc w:val="left"/>
              <w:rPr>
                <w:b/>
                <w:i/>
                <w:sz w:val="20"/>
              </w:rPr>
            </w:pPr>
          </w:p>
          <w:p>
            <w:pPr>
              <w:pStyle w:val="TableParagraph"/>
              <w:spacing w:before="6"/>
              <w:jc w:val="left"/>
              <w:rPr>
                <w:b/>
                <w:i/>
                <w:sz w:val="18"/>
              </w:rPr>
            </w:pPr>
          </w:p>
          <w:p>
            <w:pPr>
              <w:pStyle w:val="TableParagraph"/>
              <w:ind w:left="45"/>
              <w:jc w:val="left"/>
              <w:rPr>
                <w:b/>
                <w:sz w:val="18"/>
              </w:rPr>
            </w:pPr>
            <w:r>
              <w:rPr>
                <w:b/>
                <w:sz w:val="18"/>
              </w:rPr>
              <w:t>&gt;800</w:t>
            </w:r>
          </w:p>
        </w:tc>
        <w:tc>
          <w:tcPr>
            <w:tcW w:w="2496" w:type="dxa"/>
            <w:tcBorders>
              <w:top w:val="single" w:sz="4" w:space="0" w:color="000000"/>
              <w:left w:val="single" w:sz="4" w:space="0" w:color="000000"/>
              <w:bottom w:val="single" w:sz="4" w:space="0" w:color="000000"/>
            </w:tcBorders>
          </w:tcPr>
          <w:p>
            <w:pPr>
              <w:pStyle w:val="TableParagraph"/>
              <w:spacing w:before="104"/>
              <w:ind w:left="520" w:right="398"/>
              <w:rPr>
                <w:b/>
                <w:sz w:val="18"/>
              </w:rPr>
            </w:pPr>
            <w:r>
              <w:rPr>
                <w:b/>
                <w:sz w:val="18"/>
              </w:rPr>
              <w:t>Provincia</w:t>
            </w:r>
          </w:p>
        </w:tc>
        <w:tc>
          <w:tcPr>
            <w:tcW w:w="832" w:type="dxa"/>
            <w:tcBorders>
              <w:top w:val="single" w:sz="4" w:space="0" w:color="000000"/>
              <w:bottom w:val="single" w:sz="4" w:space="0" w:color="000000"/>
            </w:tcBorders>
          </w:tcPr>
          <w:p>
            <w:pPr>
              <w:pStyle w:val="TableParagraph"/>
              <w:jc w:val="left"/>
              <w:rPr>
                <w:b/>
                <w:i/>
                <w:sz w:val="22"/>
              </w:rPr>
            </w:pPr>
          </w:p>
          <w:p>
            <w:pPr>
              <w:pStyle w:val="TableParagraph"/>
              <w:spacing w:before="185"/>
              <w:ind w:left="440" w:right="-15"/>
              <w:rPr>
                <w:b/>
                <w:sz w:val="18"/>
              </w:rPr>
            </w:pPr>
            <w:r>
              <w:rPr>
                <w:rFonts w:ascii="Symbol" w:hAnsi="Symbol"/>
                <w:b/>
                <w:sz w:val="18"/>
              </w:rPr>
              <w:t></w:t>
            </w:r>
            <w:r>
              <w:rPr>
                <w:b/>
                <w:sz w:val="18"/>
              </w:rPr>
              <w:t>800</w:t>
            </w:r>
          </w:p>
        </w:tc>
        <w:tc>
          <w:tcPr>
            <w:tcW w:w="592" w:type="dxa"/>
            <w:tcBorders>
              <w:top w:val="single" w:sz="4" w:space="0" w:color="000000"/>
              <w:bottom w:val="single" w:sz="4" w:space="0" w:color="000000"/>
            </w:tcBorders>
          </w:tcPr>
          <w:p>
            <w:pPr>
              <w:pStyle w:val="TableParagraph"/>
              <w:spacing w:before="1"/>
              <w:ind w:left="91" w:right="-13" w:hanging="76"/>
              <w:jc w:val="left"/>
              <w:rPr>
                <w:b/>
                <w:sz w:val="18"/>
              </w:rPr>
            </w:pPr>
            <w:r>
              <w:rPr>
                <w:b/>
                <w:sz w:val="18"/>
              </w:rPr>
              <w:t>Altitud en m</w:t>
            </w:r>
          </w:p>
        </w:tc>
        <w:tc>
          <w:tcPr>
            <w:tcW w:w="713" w:type="dxa"/>
            <w:tcBorders>
              <w:top w:val="single" w:sz="4" w:space="0" w:color="000000"/>
              <w:bottom w:val="single" w:sz="4" w:space="0" w:color="000000"/>
            </w:tcBorders>
          </w:tcPr>
          <w:p>
            <w:pPr>
              <w:pStyle w:val="TableParagraph"/>
              <w:jc w:val="left"/>
              <w:rPr>
                <w:b/>
                <w:i/>
                <w:sz w:val="20"/>
              </w:rPr>
            </w:pPr>
          </w:p>
          <w:p>
            <w:pPr>
              <w:pStyle w:val="TableParagraph"/>
              <w:spacing w:before="6"/>
              <w:jc w:val="left"/>
              <w:rPr>
                <w:b/>
                <w:i/>
                <w:sz w:val="18"/>
              </w:rPr>
            </w:pPr>
          </w:p>
          <w:p>
            <w:pPr>
              <w:pStyle w:val="TableParagraph"/>
              <w:ind w:left="31"/>
              <w:jc w:val="left"/>
              <w:rPr>
                <w:b/>
                <w:sz w:val="18"/>
              </w:rPr>
            </w:pPr>
            <w:r>
              <w:rPr>
                <w:b/>
                <w:sz w:val="18"/>
              </w:rPr>
              <w:t>&gt;800</w:t>
            </w:r>
          </w:p>
        </w:tc>
      </w:tr>
      <w:tr>
        <w:trPr>
          <w:trHeight w:val="226" w:hRule="atLeast"/>
        </w:trPr>
        <w:tc>
          <w:tcPr>
            <w:tcW w:w="2025" w:type="dxa"/>
            <w:tcBorders>
              <w:top w:val="single" w:sz="4" w:space="0" w:color="000000"/>
            </w:tcBorders>
          </w:tcPr>
          <w:p>
            <w:pPr>
              <w:pStyle w:val="TableParagraph"/>
              <w:spacing w:line="200" w:lineRule="exact" w:before="6"/>
              <w:ind w:left="519" w:right="424"/>
              <w:rPr>
                <w:b/>
                <w:sz w:val="18"/>
              </w:rPr>
            </w:pPr>
            <w:r>
              <w:rPr>
                <w:b/>
                <w:sz w:val="18"/>
              </w:rPr>
              <w:t>Álava</w:t>
            </w:r>
          </w:p>
        </w:tc>
        <w:tc>
          <w:tcPr>
            <w:tcW w:w="882" w:type="dxa"/>
            <w:tcBorders>
              <w:top w:val="single" w:sz="4" w:space="0" w:color="000000"/>
            </w:tcBorders>
          </w:tcPr>
          <w:p>
            <w:pPr>
              <w:pStyle w:val="TableParagraph"/>
              <w:spacing w:line="199" w:lineRule="exact" w:before="7"/>
              <w:ind w:left="429"/>
              <w:rPr>
                <w:sz w:val="18"/>
              </w:rPr>
            </w:pPr>
            <w:r>
              <w:rPr>
                <w:sz w:val="18"/>
              </w:rPr>
              <w:t>W</w:t>
            </w:r>
          </w:p>
        </w:tc>
        <w:tc>
          <w:tcPr>
            <w:tcW w:w="1433" w:type="dxa"/>
            <w:gridSpan w:val="2"/>
            <w:tcBorders>
              <w:top w:val="single" w:sz="4" w:space="0" w:color="000000"/>
              <w:right w:val="single" w:sz="4" w:space="0" w:color="000000"/>
            </w:tcBorders>
          </w:tcPr>
          <w:p>
            <w:pPr>
              <w:pStyle w:val="TableParagraph"/>
              <w:spacing w:line="199" w:lineRule="exact" w:before="7"/>
              <w:ind w:left="804"/>
              <w:jc w:val="left"/>
              <w:rPr>
                <w:sz w:val="18"/>
              </w:rPr>
            </w:pPr>
            <w:r>
              <w:rPr>
                <w:sz w:val="18"/>
              </w:rPr>
              <w:t>W</w:t>
            </w:r>
          </w:p>
        </w:tc>
        <w:tc>
          <w:tcPr>
            <w:tcW w:w="2496" w:type="dxa"/>
            <w:tcBorders>
              <w:top w:val="single" w:sz="4" w:space="0" w:color="000000"/>
              <w:left w:val="single" w:sz="4" w:space="0" w:color="000000"/>
            </w:tcBorders>
          </w:tcPr>
          <w:p>
            <w:pPr>
              <w:pStyle w:val="TableParagraph"/>
              <w:spacing w:line="200" w:lineRule="exact" w:before="6"/>
              <w:ind w:left="519" w:right="399"/>
              <w:rPr>
                <w:b/>
                <w:sz w:val="18"/>
              </w:rPr>
            </w:pPr>
            <w:r>
              <w:rPr>
                <w:b/>
                <w:sz w:val="18"/>
              </w:rPr>
              <w:t>Las Palmas</w:t>
            </w:r>
          </w:p>
        </w:tc>
        <w:tc>
          <w:tcPr>
            <w:tcW w:w="832" w:type="dxa"/>
            <w:tcBorders>
              <w:top w:val="single" w:sz="4" w:space="0" w:color="000000"/>
            </w:tcBorders>
          </w:tcPr>
          <w:p>
            <w:pPr>
              <w:pStyle w:val="TableParagraph"/>
              <w:spacing w:line="199" w:lineRule="exact" w:before="7"/>
              <w:ind w:left="449"/>
              <w:rPr>
                <w:sz w:val="18"/>
              </w:rPr>
            </w:pPr>
            <w:r>
              <w:rPr>
                <w:sz w:val="18"/>
              </w:rPr>
              <w:t>Z</w:t>
            </w:r>
          </w:p>
        </w:tc>
        <w:tc>
          <w:tcPr>
            <w:tcW w:w="1305" w:type="dxa"/>
            <w:gridSpan w:val="2"/>
            <w:tcBorders>
              <w:top w:val="single" w:sz="4" w:space="0" w:color="000000"/>
            </w:tcBorders>
          </w:tcPr>
          <w:p>
            <w:pPr>
              <w:pStyle w:val="TableParagraph"/>
              <w:spacing w:line="199" w:lineRule="exact" w:before="7"/>
              <w:ind w:left="766"/>
              <w:jc w:val="left"/>
              <w:rPr>
                <w:sz w:val="18"/>
              </w:rPr>
            </w:pPr>
            <w:r>
              <w:rPr>
                <w:sz w:val="18"/>
              </w:rPr>
              <w:t>Y</w:t>
            </w:r>
          </w:p>
        </w:tc>
      </w:tr>
      <w:tr>
        <w:trPr>
          <w:trHeight w:val="227" w:hRule="atLeast"/>
        </w:trPr>
        <w:tc>
          <w:tcPr>
            <w:tcW w:w="2025" w:type="dxa"/>
          </w:tcPr>
          <w:p>
            <w:pPr>
              <w:pStyle w:val="TableParagraph"/>
              <w:spacing w:line="201" w:lineRule="exact" w:before="6"/>
              <w:ind w:left="518" w:right="424"/>
              <w:rPr>
                <w:b/>
                <w:sz w:val="18"/>
              </w:rPr>
            </w:pPr>
            <w:r>
              <w:rPr>
                <w:b/>
                <w:sz w:val="18"/>
              </w:rPr>
              <w:t>Albacete</w:t>
            </w:r>
          </w:p>
        </w:tc>
        <w:tc>
          <w:tcPr>
            <w:tcW w:w="882" w:type="dxa"/>
          </w:tcPr>
          <w:p>
            <w:pPr>
              <w:pStyle w:val="TableParagraph"/>
              <w:spacing w:line="200" w:lineRule="exact" w:before="7"/>
              <w:ind w:left="429"/>
              <w:rPr>
                <w:sz w:val="18"/>
              </w:rPr>
            </w:pPr>
            <w:r>
              <w:rPr>
                <w:sz w:val="18"/>
              </w:rPr>
              <w:t>X</w:t>
            </w:r>
          </w:p>
        </w:tc>
        <w:tc>
          <w:tcPr>
            <w:tcW w:w="1433" w:type="dxa"/>
            <w:gridSpan w:val="2"/>
            <w:tcBorders>
              <w:right w:val="single" w:sz="4" w:space="0" w:color="000000"/>
            </w:tcBorders>
          </w:tcPr>
          <w:p>
            <w:pPr>
              <w:pStyle w:val="TableParagraph"/>
              <w:spacing w:line="200" w:lineRule="exact" w:before="7"/>
              <w:ind w:left="804"/>
              <w:jc w:val="left"/>
              <w:rPr>
                <w:sz w:val="18"/>
              </w:rPr>
            </w:pPr>
            <w:r>
              <w:rPr>
                <w:sz w:val="18"/>
              </w:rPr>
              <w:t>W</w:t>
            </w:r>
          </w:p>
        </w:tc>
        <w:tc>
          <w:tcPr>
            <w:tcW w:w="2496" w:type="dxa"/>
            <w:tcBorders>
              <w:left w:val="single" w:sz="4" w:space="0" w:color="000000"/>
            </w:tcBorders>
          </w:tcPr>
          <w:p>
            <w:pPr>
              <w:pStyle w:val="TableParagraph"/>
              <w:spacing w:line="201" w:lineRule="exact" w:before="6"/>
              <w:ind w:left="520" w:right="399"/>
              <w:rPr>
                <w:b/>
                <w:sz w:val="18"/>
              </w:rPr>
            </w:pPr>
            <w:r>
              <w:rPr>
                <w:b/>
                <w:sz w:val="18"/>
              </w:rPr>
              <w:t>León</w:t>
            </w:r>
          </w:p>
        </w:tc>
        <w:tc>
          <w:tcPr>
            <w:tcW w:w="832" w:type="dxa"/>
          </w:tcPr>
          <w:p>
            <w:pPr>
              <w:pStyle w:val="TableParagraph"/>
              <w:spacing w:line="200" w:lineRule="exact" w:before="7"/>
              <w:ind w:left="449"/>
              <w:rPr>
                <w:sz w:val="18"/>
              </w:rPr>
            </w:pPr>
            <w:r>
              <w:rPr>
                <w:sz w:val="18"/>
              </w:rPr>
              <w:t>W</w:t>
            </w:r>
          </w:p>
        </w:tc>
        <w:tc>
          <w:tcPr>
            <w:tcW w:w="1305" w:type="dxa"/>
            <w:gridSpan w:val="2"/>
          </w:tcPr>
          <w:p>
            <w:pPr>
              <w:pStyle w:val="TableParagraph"/>
              <w:spacing w:line="200" w:lineRule="exact" w:before="7"/>
              <w:ind w:left="741"/>
              <w:jc w:val="left"/>
              <w:rPr>
                <w:sz w:val="18"/>
              </w:rPr>
            </w:pPr>
            <w:r>
              <w:rPr>
                <w:sz w:val="18"/>
              </w:rPr>
              <w:t>W</w:t>
            </w:r>
          </w:p>
        </w:tc>
      </w:tr>
      <w:tr>
        <w:trPr>
          <w:trHeight w:val="227" w:hRule="atLeast"/>
        </w:trPr>
        <w:tc>
          <w:tcPr>
            <w:tcW w:w="2025" w:type="dxa"/>
          </w:tcPr>
          <w:p>
            <w:pPr>
              <w:pStyle w:val="TableParagraph"/>
              <w:spacing w:line="200" w:lineRule="exact" w:before="7"/>
              <w:ind w:left="519" w:right="424"/>
              <w:rPr>
                <w:b/>
                <w:sz w:val="18"/>
              </w:rPr>
            </w:pPr>
            <w:r>
              <w:rPr>
                <w:b/>
                <w:sz w:val="18"/>
              </w:rPr>
              <w:t>Alicante</w:t>
            </w:r>
          </w:p>
        </w:tc>
        <w:tc>
          <w:tcPr>
            <w:tcW w:w="882" w:type="dxa"/>
          </w:tcPr>
          <w:p>
            <w:pPr>
              <w:pStyle w:val="TableParagraph"/>
              <w:spacing w:line="199" w:lineRule="exact" w:before="8"/>
              <w:ind w:left="429"/>
              <w:rPr>
                <w:sz w:val="18"/>
              </w:rPr>
            </w:pPr>
            <w:r>
              <w:rPr>
                <w:sz w:val="18"/>
              </w:rPr>
              <w:t>Z</w:t>
            </w:r>
          </w:p>
        </w:tc>
        <w:tc>
          <w:tcPr>
            <w:tcW w:w="1433" w:type="dxa"/>
            <w:gridSpan w:val="2"/>
            <w:tcBorders>
              <w:right w:val="single" w:sz="4" w:space="0" w:color="000000"/>
            </w:tcBorders>
          </w:tcPr>
          <w:p>
            <w:pPr>
              <w:pStyle w:val="TableParagraph"/>
              <w:spacing w:line="199" w:lineRule="exact" w:before="8"/>
              <w:ind w:left="351"/>
              <w:rPr>
                <w:sz w:val="18"/>
              </w:rPr>
            </w:pPr>
            <w:r>
              <w:rPr>
                <w:sz w:val="18"/>
              </w:rPr>
              <w:t>Y</w:t>
            </w:r>
          </w:p>
        </w:tc>
        <w:tc>
          <w:tcPr>
            <w:tcW w:w="2496" w:type="dxa"/>
            <w:tcBorders>
              <w:left w:val="single" w:sz="4" w:space="0" w:color="000000"/>
            </w:tcBorders>
          </w:tcPr>
          <w:p>
            <w:pPr>
              <w:pStyle w:val="TableParagraph"/>
              <w:spacing w:line="200" w:lineRule="exact" w:before="7"/>
              <w:ind w:left="520" w:right="396"/>
              <w:rPr>
                <w:b/>
                <w:sz w:val="18"/>
              </w:rPr>
            </w:pPr>
            <w:r>
              <w:rPr>
                <w:b/>
                <w:sz w:val="18"/>
              </w:rPr>
              <w:t>Lleida</w:t>
            </w:r>
          </w:p>
        </w:tc>
        <w:tc>
          <w:tcPr>
            <w:tcW w:w="832" w:type="dxa"/>
          </w:tcPr>
          <w:p>
            <w:pPr>
              <w:pStyle w:val="TableParagraph"/>
              <w:spacing w:line="199" w:lineRule="exact" w:before="8"/>
              <w:ind w:left="450"/>
              <w:rPr>
                <w:sz w:val="18"/>
              </w:rPr>
            </w:pPr>
            <w:r>
              <w:rPr>
                <w:sz w:val="18"/>
              </w:rPr>
              <w:t>Y</w:t>
            </w:r>
          </w:p>
        </w:tc>
        <w:tc>
          <w:tcPr>
            <w:tcW w:w="1305" w:type="dxa"/>
            <w:gridSpan w:val="2"/>
          </w:tcPr>
          <w:p>
            <w:pPr>
              <w:pStyle w:val="TableParagraph"/>
              <w:spacing w:line="199" w:lineRule="exact" w:before="8"/>
              <w:ind w:left="766"/>
              <w:jc w:val="left"/>
              <w:rPr>
                <w:sz w:val="18"/>
              </w:rPr>
            </w:pPr>
            <w:r>
              <w:rPr>
                <w:sz w:val="18"/>
              </w:rPr>
              <w:t>X</w:t>
            </w:r>
          </w:p>
        </w:tc>
      </w:tr>
      <w:tr>
        <w:trPr>
          <w:trHeight w:val="226" w:hRule="atLeast"/>
        </w:trPr>
        <w:tc>
          <w:tcPr>
            <w:tcW w:w="2025" w:type="dxa"/>
          </w:tcPr>
          <w:p>
            <w:pPr>
              <w:pStyle w:val="TableParagraph"/>
              <w:spacing w:line="200" w:lineRule="exact" w:before="6"/>
              <w:ind w:left="519" w:right="424"/>
              <w:rPr>
                <w:b/>
                <w:sz w:val="18"/>
              </w:rPr>
            </w:pPr>
            <w:r>
              <w:rPr>
                <w:b/>
                <w:sz w:val="18"/>
              </w:rPr>
              <w:t>Almería</w:t>
            </w:r>
          </w:p>
        </w:tc>
        <w:tc>
          <w:tcPr>
            <w:tcW w:w="882" w:type="dxa"/>
          </w:tcPr>
          <w:p>
            <w:pPr>
              <w:pStyle w:val="TableParagraph"/>
              <w:spacing w:line="199" w:lineRule="exact" w:before="7"/>
              <w:ind w:left="429"/>
              <w:rPr>
                <w:sz w:val="18"/>
              </w:rPr>
            </w:pPr>
            <w:r>
              <w:rPr>
                <w:sz w:val="18"/>
              </w:rPr>
              <w:t>Z</w:t>
            </w:r>
          </w:p>
        </w:tc>
        <w:tc>
          <w:tcPr>
            <w:tcW w:w="1433" w:type="dxa"/>
            <w:gridSpan w:val="2"/>
            <w:tcBorders>
              <w:right w:val="single" w:sz="4" w:space="0" w:color="000000"/>
            </w:tcBorders>
          </w:tcPr>
          <w:p>
            <w:pPr>
              <w:pStyle w:val="TableParagraph"/>
              <w:spacing w:line="199" w:lineRule="exact" w:before="7"/>
              <w:ind w:left="351"/>
              <w:rPr>
                <w:sz w:val="18"/>
              </w:rPr>
            </w:pPr>
            <w:r>
              <w:rPr>
                <w:sz w:val="18"/>
              </w:rPr>
              <w:t>Y</w:t>
            </w:r>
          </w:p>
        </w:tc>
        <w:tc>
          <w:tcPr>
            <w:tcW w:w="2496" w:type="dxa"/>
            <w:tcBorders>
              <w:left w:val="single" w:sz="4" w:space="0" w:color="000000"/>
            </w:tcBorders>
          </w:tcPr>
          <w:p>
            <w:pPr>
              <w:pStyle w:val="TableParagraph"/>
              <w:spacing w:line="200" w:lineRule="exact" w:before="6"/>
              <w:ind w:left="519" w:right="399"/>
              <w:rPr>
                <w:b/>
                <w:sz w:val="18"/>
              </w:rPr>
            </w:pPr>
            <w:r>
              <w:rPr>
                <w:b/>
                <w:sz w:val="18"/>
              </w:rPr>
              <w:t>Lugo</w:t>
            </w:r>
          </w:p>
        </w:tc>
        <w:tc>
          <w:tcPr>
            <w:tcW w:w="832" w:type="dxa"/>
          </w:tcPr>
          <w:p>
            <w:pPr>
              <w:pStyle w:val="TableParagraph"/>
              <w:spacing w:line="199" w:lineRule="exact" w:before="7"/>
              <w:ind w:left="449"/>
              <w:rPr>
                <w:sz w:val="18"/>
              </w:rPr>
            </w:pPr>
            <w:r>
              <w:rPr>
                <w:sz w:val="18"/>
              </w:rPr>
              <w:t>W</w:t>
            </w:r>
          </w:p>
        </w:tc>
        <w:tc>
          <w:tcPr>
            <w:tcW w:w="1305" w:type="dxa"/>
            <w:gridSpan w:val="2"/>
          </w:tcPr>
          <w:p>
            <w:pPr>
              <w:pStyle w:val="TableParagraph"/>
              <w:spacing w:line="199" w:lineRule="exact" w:before="7"/>
              <w:ind w:left="741"/>
              <w:jc w:val="left"/>
              <w:rPr>
                <w:sz w:val="18"/>
              </w:rPr>
            </w:pPr>
            <w:r>
              <w:rPr>
                <w:sz w:val="18"/>
              </w:rPr>
              <w:t>W</w:t>
            </w:r>
          </w:p>
        </w:tc>
      </w:tr>
      <w:tr>
        <w:trPr>
          <w:trHeight w:val="226" w:hRule="atLeast"/>
        </w:trPr>
        <w:tc>
          <w:tcPr>
            <w:tcW w:w="2025" w:type="dxa"/>
          </w:tcPr>
          <w:p>
            <w:pPr>
              <w:pStyle w:val="TableParagraph"/>
              <w:spacing w:line="200" w:lineRule="exact" w:before="6"/>
              <w:ind w:left="519" w:right="424"/>
              <w:rPr>
                <w:b/>
                <w:sz w:val="18"/>
              </w:rPr>
            </w:pPr>
            <w:r>
              <w:rPr>
                <w:b/>
                <w:sz w:val="18"/>
              </w:rPr>
              <w:t>Asturias</w:t>
            </w:r>
          </w:p>
        </w:tc>
        <w:tc>
          <w:tcPr>
            <w:tcW w:w="882" w:type="dxa"/>
          </w:tcPr>
          <w:p>
            <w:pPr>
              <w:pStyle w:val="TableParagraph"/>
              <w:spacing w:line="199" w:lineRule="exact" w:before="7"/>
              <w:ind w:left="429"/>
              <w:rPr>
                <w:sz w:val="18"/>
              </w:rPr>
            </w:pPr>
            <w:r>
              <w:rPr>
                <w:sz w:val="18"/>
              </w:rPr>
              <w:t>X</w:t>
            </w:r>
          </w:p>
        </w:tc>
        <w:tc>
          <w:tcPr>
            <w:tcW w:w="1433" w:type="dxa"/>
            <w:gridSpan w:val="2"/>
            <w:tcBorders>
              <w:right w:val="single" w:sz="4" w:space="0" w:color="000000"/>
            </w:tcBorders>
          </w:tcPr>
          <w:p>
            <w:pPr>
              <w:pStyle w:val="TableParagraph"/>
              <w:spacing w:line="199" w:lineRule="exact" w:before="7"/>
              <w:ind w:left="804"/>
              <w:jc w:val="left"/>
              <w:rPr>
                <w:sz w:val="18"/>
              </w:rPr>
            </w:pPr>
            <w:r>
              <w:rPr>
                <w:sz w:val="18"/>
              </w:rPr>
              <w:t>W</w:t>
            </w:r>
          </w:p>
        </w:tc>
        <w:tc>
          <w:tcPr>
            <w:tcW w:w="2496" w:type="dxa"/>
            <w:tcBorders>
              <w:left w:val="single" w:sz="4" w:space="0" w:color="000000"/>
            </w:tcBorders>
          </w:tcPr>
          <w:p>
            <w:pPr>
              <w:pStyle w:val="TableParagraph"/>
              <w:spacing w:line="200" w:lineRule="exact" w:before="6"/>
              <w:ind w:left="519" w:right="399"/>
              <w:rPr>
                <w:b/>
                <w:sz w:val="18"/>
              </w:rPr>
            </w:pPr>
            <w:r>
              <w:rPr>
                <w:b/>
                <w:sz w:val="18"/>
              </w:rPr>
              <w:t>Madrid</w:t>
            </w:r>
          </w:p>
        </w:tc>
        <w:tc>
          <w:tcPr>
            <w:tcW w:w="832" w:type="dxa"/>
          </w:tcPr>
          <w:p>
            <w:pPr>
              <w:pStyle w:val="TableParagraph"/>
              <w:spacing w:line="199" w:lineRule="exact" w:before="7"/>
              <w:ind w:left="450"/>
              <w:rPr>
                <w:sz w:val="18"/>
              </w:rPr>
            </w:pPr>
            <w:r>
              <w:rPr>
                <w:sz w:val="18"/>
              </w:rPr>
              <w:t>X</w:t>
            </w:r>
          </w:p>
        </w:tc>
        <w:tc>
          <w:tcPr>
            <w:tcW w:w="1305" w:type="dxa"/>
            <w:gridSpan w:val="2"/>
          </w:tcPr>
          <w:p>
            <w:pPr>
              <w:pStyle w:val="TableParagraph"/>
              <w:spacing w:line="199" w:lineRule="exact" w:before="7"/>
              <w:ind w:left="741"/>
              <w:jc w:val="left"/>
              <w:rPr>
                <w:sz w:val="18"/>
              </w:rPr>
            </w:pPr>
            <w:r>
              <w:rPr>
                <w:sz w:val="18"/>
              </w:rPr>
              <w:t>W</w:t>
            </w:r>
          </w:p>
        </w:tc>
      </w:tr>
      <w:tr>
        <w:trPr>
          <w:trHeight w:val="226" w:hRule="atLeast"/>
        </w:trPr>
        <w:tc>
          <w:tcPr>
            <w:tcW w:w="2025" w:type="dxa"/>
          </w:tcPr>
          <w:p>
            <w:pPr>
              <w:pStyle w:val="TableParagraph"/>
              <w:spacing w:line="200" w:lineRule="exact" w:before="6"/>
              <w:ind w:left="518" w:right="424"/>
              <w:rPr>
                <w:b/>
                <w:sz w:val="18"/>
              </w:rPr>
            </w:pPr>
            <w:r>
              <w:rPr>
                <w:b/>
                <w:sz w:val="18"/>
              </w:rPr>
              <w:t>Ávila</w:t>
            </w:r>
          </w:p>
        </w:tc>
        <w:tc>
          <w:tcPr>
            <w:tcW w:w="882" w:type="dxa"/>
          </w:tcPr>
          <w:p>
            <w:pPr>
              <w:pStyle w:val="TableParagraph"/>
              <w:spacing w:line="199" w:lineRule="exact" w:before="7"/>
              <w:ind w:left="429"/>
              <w:rPr>
                <w:sz w:val="18"/>
              </w:rPr>
            </w:pPr>
            <w:r>
              <w:rPr>
                <w:sz w:val="18"/>
              </w:rPr>
              <w:t>W</w:t>
            </w:r>
          </w:p>
        </w:tc>
        <w:tc>
          <w:tcPr>
            <w:tcW w:w="1433" w:type="dxa"/>
            <w:gridSpan w:val="2"/>
            <w:tcBorders>
              <w:right w:val="single" w:sz="4" w:space="0" w:color="000000"/>
            </w:tcBorders>
          </w:tcPr>
          <w:p>
            <w:pPr>
              <w:pStyle w:val="TableParagraph"/>
              <w:spacing w:line="199" w:lineRule="exact" w:before="7"/>
              <w:ind w:left="804"/>
              <w:jc w:val="left"/>
              <w:rPr>
                <w:sz w:val="18"/>
              </w:rPr>
            </w:pPr>
            <w:r>
              <w:rPr>
                <w:sz w:val="18"/>
              </w:rPr>
              <w:t>W</w:t>
            </w:r>
          </w:p>
        </w:tc>
        <w:tc>
          <w:tcPr>
            <w:tcW w:w="2496" w:type="dxa"/>
            <w:tcBorders>
              <w:left w:val="single" w:sz="4" w:space="0" w:color="000000"/>
            </w:tcBorders>
          </w:tcPr>
          <w:p>
            <w:pPr>
              <w:pStyle w:val="TableParagraph"/>
              <w:spacing w:line="200" w:lineRule="exact" w:before="6"/>
              <w:ind w:left="520" w:right="399"/>
              <w:rPr>
                <w:b/>
                <w:sz w:val="18"/>
              </w:rPr>
            </w:pPr>
            <w:r>
              <w:rPr>
                <w:b/>
                <w:sz w:val="18"/>
              </w:rPr>
              <w:t>Málaga</w:t>
            </w:r>
          </w:p>
        </w:tc>
        <w:tc>
          <w:tcPr>
            <w:tcW w:w="832" w:type="dxa"/>
          </w:tcPr>
          <w:p>
            <w:pPr>
              <w:pStyle w:val="TableParagraph"/>
              <w:spacing w:line="199" w:lineRule="exact" w:before="7"/>
              <w:ind w:left="449"/>
              <w:rPr>
                <w:sz w:val="18"/>
              </w:rPr>
            </w:pPr>
            <w:r>
              <w:rPr>
                <w:sz w:val="18"/>
              </w:rPr>
              <w:t>Z</w:t>
            </w:r>
          </w:p>
        </w:tc>
        <w:tc>
          <w:tcPr>
            <w:tcW w:w="1305" w:type="dxa"/>
            <w:gridSpan w:val="2"/>
          </w:tcPr>
          <w:p>
            <w:pPr>
              <w:pStyle w:val="TableParagraph"/>
              <w:spacing w:line="199" w:lineRule="exact" w:before="7"/>
              <w:ind w:left="766"/>
              <w:jc w:val="left"/>
              <w:rPr>
                <w:sz w:val="18"/>
              </w:rPr>
            </w:pPr>
            <w:r>
              <w:rPr>
                <w:sz w:val="18"/>
              </w:rPr>
              <w:t>Y</w:t>
            </w:r>
          </w:p>
        </w:tc>
      </w:tr>
      <w:tr>
        <w:trPr>
          <w:trHeight w:val="227" w:hRule="atLeast"/>
        </w:trPr>
        <w:tc>
          <w:tcPr>
            <w:tcW w:w="2025" w:type="dxa"/>
          </w:tcPr>
          <w:p>
            <w:pPr>
              <w:pStyle w:val="TableParagraph"/>
              <w:spacing w:line="201" w:lineRule="exact" w:before="6"/>
              <w:ind w:left="518" w:right="424"/>
              <w:rPr>
                <w:b/>
                <w:sz w:val="18"/>
              </w:rPr>
            </w:pPr>
            <w:r>
              <w:rPr>
                <w:b/>
                <w:sz w:val="18"/>
              </w:rPr>
              <w:t>Badajoz</w:t>
            </w:r>
          </w:p>
        </w:tc>
        <w:tc>
          <w:tcPr>
            <w:tcW w:w="882" w:type="dxa"/>
          </w:tcPr>
          <w:p>
            <w:pPr>
              <w:pStyle w:val="TableParagraph"/>
              <w:spacing w:line="200" w:lineRule="exact" w:before="7"/>
              <w:ind w:left="429"/>
              <w:rPr>
                <w:sz w:val="18"/>
              </w:rPr>
            </w:pPr>
            <w:r>
              <w:rPr>
                <w:sz w:val="18"/>
              </w:rPr>
              <w:t>Z</w:t>
            </w:r>
          </w:p>
        </w:tc>
        <w:tc>
          <w:tcPr>
            <w:tcW w:w="1433" w:type="dxa"/>
            <w:gridSpan w:val="2"/>
            <w:tcBorders>
              <w:right w:val="single" w:sz="4" w:space="0" w:color="000000"/>
            </w:tcBorders>
          </w:tcPr>
          <w:p>
            <w:pPr>
              <w:pStyle w:val="TableParagraph"/>
              <w:spacing w:line="200" w:lineRule="exact" w:before="7"/>
              <w:ind w:left="351"/>
              <w:rPr>
                <w:sz w:val="18"/>
              </w:rPr>
            </w:pPr>
            <w:r>
              <w:rPr>
                <w:sz w:val="18"/>
              </w:rPr>
              <w:t>Y</w:t>
            </w:r>
          </w:p>
        </w:tc>
        <w:tc>
          <w:tcPr>
            <w:tcW w:w="2496" w:type="dxa"/>
            <w:tcBorders>
              <w:left w:val="single" w:sz="4" w:space="0" w:color="000000"/>
            </w:tcBorders>
          </w:tcPr>
          <w:p>
            <w:pPr>
              <w:pStyle w:val="TableParagraph"/>
              <w:spacing w:line="201" w:lineRule="exact" w:before="6"/>
              <w:ind w:left="520" w:right="398"/>
              <w:rPr>
                <w:b/>
                <w:sz w:val="18"/>
              </w:rPr>
            </w:pPr>
            <w:r>
              <w:rPr>
                <w:b/>
                <w:sz w:val="18"/>
              </w:rPr>
              <w:t>Melilla</w:t>
            </w:r>
          </w:p>
        </w:tc>
        <w:tc>
          <w:tcPr>
            <w:tcW w:w="832" w:type="dxa"/>
          </w:tcPr>
          <w:p>
            <w:pPr>
              <w:pStyle w:val="TableParagraph"/>
              <w:spacing w:line="200" w:lineRule="exact" w:before="7"/>
              <w:ind w:left="449"/>
              <w:rPr>
                <w:sz w:val="18"/>
              </w:rPr>
            </w:pPr>
            <w:r>
              <w:rPr>
                <w:sz w:val="18"/>
              </w:rPr>
              <w:t>Z</w:t>
            </w:r>
          </w:p>
        </w:tc>
        <w:tc>
          <w:tcPr>
            <w:tcW w:w="1305" w:type="dxa"/>
            <w:gridSpan w:val="2"/>
          </w:tcPr>
          <w:p>
            <w:pPr>
              <w:pStyle w:val="TableParagraph"/>
              <w:spacing w:line="200" w:lineRule="exact" w:before="7"/>
              <w:ind w:left="348"/>
              <w:rPr>
                <w:sz w:val="18"/>
              </w:rPr>
            </w:pPr>
            <w:r>
              <w:rPr>
                <w:sz w:val="18"/>
              </w:rPr>
              <w:t>-</w:t>
            </w:r>
          </w:p>
        </w:tc>
      </w:tr>
      <w:tr>
        <w:trPr>
          <w:trHeight w:val="227" w:hRule="atLeast"/>
        </w:trPr>
        <w:tc>
          <w:tcPr>
            <w:tcW w:w="2025" w:type="dxa"/>
          </w:tcPr>
          <w:p>
            <w:pPr>
              <w:pStyle w:val="TableParagraph"/>
              <w:spacing w:line="200" w:lineRule="exact" w:before="7"/>
              <w:ind w:left="517" w:right="424"/>
              <w:rPr>
                <w:b/>
                <w:sz w:val="18"/>
              </w:rPr>
            </w:pPr>
            <w:r>
              <w:rPr>
                <w:b/>
                <w:sz w:val="18"/>
              </w:rPr>
              <w:t>Baleares</w:t>
            </w:r>
          </w:p>
        </w:tc>
        <w:tc>
          <w:tcPr>
            <w:tcW w:w="882" w:type="dxa"/>
          </w:tcPr>
          <w:p>
            <w:pPr>
              <w:pStyle w:val="TableParagraph"/>
              <w:spacing w:line="199" w:lineRule="exact" w:before="8"/>
              <w:ind w:left="429"/>
              <w:rPr>
                <w:sz w:val="18"/>
              </w:rPr>
            </w:pPr>
            <w:r>
              <w:rPr>
                <w:sz w:val="18"/>
              </w:rPr>
              <w:t>Z</w:t>
            </w:r>
          </w:p>
        </w:tc>
        <w:tc>
          <w:tcPr>
            <w:tcW w:w="1433" w:type="dxa"/>
            <w:gridSpan w:val="2"/>
            <w:tcBorders>
              <w:right w:val="single" w:sz="4" w:space="0" w:color="000000"/>
            </w:tcBorders>
          </w:tcPr>
          <w:p>
            <w:pPr>
              <w:pStyle w:val="TableParagraph"/>
              <w:spacing w:line="199" w:lineRule="exact" w:before="8"/>
              <w:ind w:left="351"/>
              <w:rPr>
                <w:sz w:val="18"/>
              </w:rPr>
            </w:pPr>
            <w:r>
              <w:rPr>
                <w:sz w:val="18"/>
              </w:rPr>
              <w:t>Y</w:t>
            </w:r>
          </w:p>
        </w:tc>
        <w:tc>
          <w:tcPr>
            <w:tcW w:w="2496" w:type="dxa"/>
            <w:tcBorders>
              <w:left w:val="single" w:sz="4" w:space="0" w:color="000000"/>
            </w:tcBorders>
          </w:tcPr>
          <w:p>
            <w:pPr>
              <w:pStyle w:val="TableParagraph"/>
              <w:spacing w:line="200" w:lineRule="exact" w:before="7"/>
              <w:ind w:left="520" w:right="399"/>
              <w:rPr>
                <w:b/>
                <w:sz w:val="18"/>
              </w:rPr>
            </w:pPr>
            <w:r>
              <w:rPr>
                <w:b/>
                <w:sz w:val="18"/>
              </w:rPr>
              <w:t>Murcia</w:t>
            </w:r>
          </w:p>
        </w:tc>
        <w:tc>
          <w:tcPr>
            <w:tcW w:w="832" w:type="dxa"/>
          </w:tcPr>
          <w:p>
            <w:pPr>
              <w:pStyle w:val="TableParagraph"/>
              <w:spacing w:line="199" w:lineRule="exact" w:before="8"/>
              <w:ind w:left="449"/>
              <w:rPr>
                <w:sz w:val="18"/>
              </w:rPr>
            </w:pPr>
            <w:r>
              <w:rPr>
                <w:sz w:val="18"/>
              </w:rPr>
              <w:t>Z</w:t>
            </w:r>
          </w:p>
        </w:tc>
        <w:tc>
          <w:tcPr>
            <w:tcW w:w="1305" w:type="dxa"/>
            <w:gridSpan w:val="2"/>
          </w:tcPr>
          <w:p>
            <w:pPr>
              <w:pStyle w:val="TableParagraph"/>
              <w:spacing w:line="199" w:lineRule="exact" w:before="8"/>
              <w:ind w:left="766"/>
              <w:jc w:val="left"/>
              <w:rPr>
                <w:sz w:val="18"/>
              </w:rPr>
            </w:pPr>
            <w:r>
              <w:rPr>
                <w:sz w:val="18"/>
              </w:rPr>
              <w:t>Y</w:t>
            </w:r>
          </w:p>
        </w:tc>
      </w:tr>
      <w:tr>
        <w:trPr>
          <w:trHeight w:val="226" w:hRule="atLeast"/>
        </w:trPr>
        <w:tc>
          <w:tcPr>
            <w:tcW w:w="2025" w:type="dxa"/>
          </w:tcPr>
          <w:p>
            <w:pPr>
              <w:pStyle w:val="TableParagraph"/>
              <w:spacing w:line="200" w:lineRule="exact" w:before="6"/>
              <w:ind w:left="519" w:right="424"/>
              <w:rPr>
                <w:b/>
                <w:sz w:val="18"/>
              </w:rPr>
            </w:pPr>
            <w:r>
              <w:rPr>
                <w:b/>
                <w:sz w:val="18"/>
              </w:rPr>
              <w:t>Barcelona</w:t>
            </w:r>
          </w:p>
        </w:tc>
        <w:tc>
          <w:tcPr>
            <w:tcW w:w="882" w:type="dxa"/>
          </w:tcPr>
          <w:p>
            <w:pPr>
              <w:pStyle w:val="TableParagraph"/>
              <w:spacing w:line="199" w:lineRule="exact" w:before="7"/>
              <w:ind w:left="429"/>
              <w:rPr>
                <w:sz w:val="18"/>
              </w:rPr>
            </w:pPr>
            <w:r>
              <w:rPr>
                <w:sz w:val="18"/>
              </w:rPr>
              <w:t>Z</w:t>
            </w:r>
          </w:p>
        </w:tc>
        <w:tc>
          <w:tcPr>
            <w:tcW w:w="1433" w:type="dxa"/>
            <w:gridSpan w:val="2"/>
            <w:tcBorders>
              <w:right w:val="single" w:sz="4" w:space="0" w:color="000000"/>
            </w:tcBorders>
          </w:tcPr>
          <w:p>
            <w:pPr>
              <w:pStyle w:val="TableParagraph"/>
              <w:spacing w:line="199" w:lineRule="exact" w:before="7"/>
              <w:ind w:left="351"/>
              <w:rPr>
                <w:sz w:val="18"/>
              </w:rPr>
            </w:pPr>
            <w:r>
              <w:rPr>
                <w:sz w:val="18"/>
              </w:rPr>
              <w:t>Y</w:t>
            </w:r>
          </w:p>
        </w:tc>
        <w:tc>
          <w:tcPr>
            <w:tcW w:w="2496" w:type="dxa"/>
            <w:tcBorders>
              <w:left w:val="single" w:sz="4" w:space="0" w:color="000000"/>
            </w:tcBorders>
          </w:tcPr>
          <w:p>
            <w:pPr>
              <w:pStyle w:val="TableParagraph"/>
              <w:spacing w:line="200" w:lineRule="exact" w:before="6"/>
              <w:ind w:left="519" w:right="399"/>
              <w:rPr>
                <w:b/>
                <w:sz w:val="18"/>
              </w:rPr>
            </w:pPr>
            <w:r>
              <w:rPr>
                <w:b/>
                <w:sz w:val="18"/>
              </w:rPr>
              <w:t>Navarra</w:t>
            </w:r>
          </w:p>
        </w:tc>
        <w:tc>
          <w:tcPr>
            <w:tcW w:w="832" w:type="dxa"/>
          </w:tcPr>
          <w:p>
            <w:pPr>
              <w:pStyle w:val="TableParagraph"/>
              <w:spacing w:line="199" w:lineRule="exact" w:before="7"/>
              <w:ind w:left="450"/>
              <w:rPr>
                <w:sz w:val="18"/>
              </w:rPr>
            </w:pPr>
            <w:r>
              <w:rPr>
                <w:sz w:val="18"/>
              </w:rPr>
              <w:t>X</w:t>
            </w:r>
          </w:p>
        </w:tc>
        <w:tc>
          <w:tcPr>
            <w:tcW w:w="1305" w:type="dxa"/>
            <w:gridSpan w:val="2"/>
          </w:tcPr>
          <w:p>
            <w:pPr>
              <w:pStyle w:val="TableParagraph"/>
              <w:spacing w:line="199" w:lineRule="exact" w:before="7"/>
              <w:ind w:left="741"/>
              <w:jc w:val="left"/>
              <w:rPr>
                <w:sz w:val="18"/>
              </w:rPr>
            </w:pPr>
            <w:r>
              <w:rPr>
                <w:sz w:val="18"/>
              </w:rPr>
              <w:t>W</w:t>
            </w:r>
          </w:p>
        </w:tc>
      </w:tr>
      <w:tr>
        <w:trPr>
          <w:trHeight w:val="226" w:hRule="atLeast"/>
        </w:trPr>
        <w:tc>
          <w:tcPr>
            <w:tcW w:w="2025" w:type="dxa"/>
          </w:tcPr>
          <w:p>
            <w:pPr>
              <w:pStyle w:val="TableParagraph"/>
              <w:spacing w:line="200" w:lineRule="exact" w:before="6"/>
              <w:ind w:left="519" w:right="423"/>
              <w:rPr>
                <w:b/>
                <w:sz w:val="18"/>
              </w:rPr>
            </w:pPr>
            <w:r>
              <w:rPr>
                <w:b/>
                <w:sz w:val="18"/>
              </w:rPr>
              <w:t>Burgos</w:t>
            </w:r>
          </w:p>
        </w:tc>
        <w:tc>
          <w:tcPr>
            <w:tcW w:w="882" w:type="dxa"/>
          </w:tcPr>
          <w:p>
            <w:pPr>
              <w:pStyle w:val="TableParagraph"/>
              <w:spacing w:line="199" w:lineRule="exact" w:before="7"/>
              <w:ind w:left="429"/>
              <w:rPr>
                <w:sz w:val="18"/>
              </w:rPr>
            </w:pPr>
            <w:r>
              <w:rPr>
                <w:sz w:val="18"/>
              </w:rPr>
              <w:t>W</w:t>
            </w:r>
          </w:p>
        </w:tc>
        <w:tc>
          <w:tcPr>
            <w:tcW w:w="1433" w:type="dxa"/>
            <w:gridSpan w:val="2"/>
            <w:tcBorders>
              <w:right w:val="single" w:sz="4" w:space="0" w:color="000000"/>
            </w:tcBorders>
          </w:tcPr>
          <w:p>
            <w:pPr>
              <w:pStyle w:val="TableParagraph"/>
              <w:spacing w:line="199" w:lineRule="exact" w:before="7"/>
              <w:ind w:left="804"/>
              <w:jc w:val="left"/>
              <w:rPr>
                <w:sz w:val="18"/>
              </w:rPr>
            </w:pPr>
            <w:r>
              <w:rPr>
                <w:sz w:val="18"/>
              </w:rPr>
              <w:t>W</w:t>
            </w:r>
          </w:p>
        </w:tc>
        <w:tc>
          <w:tcPr>
            <w:tcW w:w="2496" w:type="dxa"/>
            <w:tcBorders>
              <w:left w:val="single" w:sz="4" w:space="0" w:color="000000"/>
            </w:tcBorders>
          </w:tcPr>
          <w:p>
            <w:pPr>
              <w:pStyle w:val="TableParagraph"/>
              <w:spacing w:line="200" w:lineRule="exact" w:before="6"/>
              <w:ind w:left="520" w:right="398"/>
              <w:rPr>
                <w:b/>
                <w:sz w:val="18"/>
              </w:rPr>
            </w:pPr>
            <w:r>
              <w:rPr>
                <w:b/>
                <w:sz w:val="18"/>
              </w:rPr>
              <w:t>Ourense</w:t>
            </w:r>
          </w:p>
        </w:tc>
        <w:tc>
          <w:tcPr>
            <w:tcW w:w="832" w:type="dxa"/>
          </w:tcPr>
          <w:p>
            <w:pPr>
              <w:pStyle w:val="TableParagraph"/>
              <w:spacing w:line="199" w:lineRule="exact" w:before="7"/>
              <w:ind w:left="450"/>
              <w:rPr>
                <w:sz w:val="18"/>
              </w:rPr>
            </w:pPr>
            <w:r>
              <w:rPr>
                <w:sz w:val="18"/>
              </w:rPr>
              <w:t>X</w:t>
            </w:r>
          </w:p>
        </w:tc>
        <w:tc>
          <w:tcPr>
            <w:tcW w:w="1305" w:type="dxa"/>
            <w:gridSpan w:val="2"/>
          </w:tcPr>
          <w:p>
            <w:pPr>
              <w:pStyle w:val="TableParagraph"/>
              <w:spacing w:line="199" w:lineRule="exact" w:before="7"/>
              <w:ind w:left="741"/>
              <w:jc w:val="left"/>
              <w:rPr>
                <w:sz w:val="18"/>
              </w:rPr>
            </w:pPr>
            <w:r>
              <w:rPr>
                <w:sz w:val="18"/>
              </w:rPr>
              <w:t>W</w:t>
            </w:r>
          </w:p>
        </w:tc>
      </w:tr>
      <w:tr>
        <w:trPr>
          <w:trHeight w:val="226" w:hRule="atLeast"/>
        </w:trPr>
        <w:tc>
          <w:tcPr>
            <w:tcW w:w="2025" w:type="dxa"/>
          </w:tcPr>
          <w:p>
            <w:pPr>
              <w:pStyle w:val="TableParagraph"/>
              <w:spacing w:line="200" w:lineRule="exact" w:before="6"/>
              <w:ind w:left="519" w:right="423"/>
              <w:rPr>
                <w:b/>
                <w:sz w:val="18"/>
              </w:rPr>
            </w:pPr>
            <w:r>
              <w:rPr>
                <w:b/>
                <w:sz w:val="18"/>
              </w:rPr>
              <w:t>Cáceres</w:t>
            </w:r>
          </w:p>
        </w:tc>
        <w:tc>
          <w:tcPr>
            <w:tcW w:w="882" w:type="dxa"/>
          </w:tcPr>
          <w:p>
            <w:pPr>
              <w:pStyle w:val="TableParagraph"/>
              <w:spacing w:line="199" w:lineRule="exact" w:before="7"/>
              <w:ind w:left="429"/>
              <w:rPr>
                <w:sz w:val="18"/>
              </w:rPr>
            </w:pPr>
            <w:r>
              <w:rPr>
                <w:sz w:val="18"/>
              </w:rPr>
              <w:t>Z</w:t>
            </w:r>
          </w:p>
        </w:tc>
        <w:tc>
          <w:tcPr>
            <w:tcW w:w="1433" w:type="dxa"/>
            <w:gridSpan w:val="2"/>
            <w:tcBorders>
              <w:right w:val="single" w:sz="4" w:space="0" w:color="000000"/>
            </w:tcBorders>
          </w:tcPr>
          <w:p>
            <w:pPr>
              <w:pStyle w:val="TableParagraph"/>
              <w:spacing w:line="199" w:lineRule="exact" w:before="7"/>
              <w:ind w:left="351"/>
              <w:rPr>
                <w:sz w:val="18"/>
              </w:rPr>
            </w:pPr>
            <w:r>
              <w:rPr>
                <w:sz w:val="18"/>
              </w:rPr>
              <w:t>Y</w:t>
            </w:r>
          </w:p>
        </w:tc>
        <w:tc>
          <w:tcPr>
            <w:tcW w:w="2496" w:type="dxa"/>
            <w:tcBorders>
              <w:left w:val="single" w:sz="4" w:space="0" w:color="000000"/>
            </w:tcBorders>
          </w:tcPr>
          <w:p>
            <w:pPr>
              <w:pStyle w:val="TableParagraph"/>
              <w:spacing w:line="200" w:lineRule="exact" w:before="6"/>
              <w:ind w:left="520" w:right="399"/>
              <w:rPr>
                <w:b/>
                <w:sz w:val="18"/>
              </w:rPr>
            </w:pPr>
            <w:r>
              <w:rPr>
                <w:b/>
                <w:sz w:val="18"/>
              </w:rPr>
              <w:t>Palencia</w:t>
            </w:r>
          </w:p>
        </w:tc>
        <w:tc>
          <w:tcPr>
            <w:tcW w:w="832" w:type="dxa"/>
          </w:tcPr>
          <w:p>
            <w:pPr>
              <w:pStyle w:val="TableParagraph"/>
              <w:spacing w:line="199" w:lineRule="exact" w:before="7"/>
              <w:ind w:left="449"/>
              <w:rPr>
                <w:sz w:val="18"/>
              </w:rPr>
            </w:pPr>
            <w:r>
              <w:rPr>
                <w:sz w:val="18"/>
              </w:rPr>
              <w:t>W</w:t>
            </w:r>
          </w:p>
        </w:tc>
        <w:tc>
          <w:tcPr>
            <w:tcW w:w="1305" w:type="dxa"/>
            <w:gridSpan w:val="2"/>
          </w:tcPr>
          <w:p>
            <w:pPr>
              <w:pStyle w:val="TableParagraph"/>
              <w:spacing w:line="199" w:lineRule="exact" w:before="7"/>
              <w:ind w:left="741"/>
              <w:jc w:val="left"/>
              <w:rPr>
                <w:sz w:val="18"/>
              </w:rPr>
            </w:pPr>
            <w:r>
              <w:rPr>
                <w:sz w:val="18"/>
              </w:rPr>
              <w:t>W</w:t>
            </w:r>
          </w:p>
        </w:tc>
      </w:tr>
      <w:tr>
        <w:trPr>
          <w:trHeight w:val="226" w:hRule="atLeast"/>
        </w:trPr>
        <w:tc>
          <w:tcPr>
            <w:tcW w:w="2025" w:type="dxa"/>
          </w:tcPr>
          <w:p>
            <w:pPr>
              <w:pStyle w:val="TableParagraph"/>
              <w:spacing w:line="200" w:lineRule="exact" w:before="6"/>
              <w:ind w:left="519" w:right="423"/>
              <w:rPr>
                <w:b/>
                <w:sz w:val="18"/>
              </w:rPr>
            </w:pPr>
            <w:r>
              <w:rPr>
                <w:b/>
                <w:sz w:val="18"/>
              </w:rPr>
              <w:t>Cádiz</w:t>
            </w:r>
          </w:p>
        </w:tc>
        <w:tc>
          <w:tcPr>
            <w:tcW w:w="882" w:type="dxa"/>
          </w:tcPr>
          <w:p>
            <w:pPr>
              <w:pStyle w:val="TableParagraph"/>
              <w:spacing w:line="199" w:lineRule="exact" w:before="7"/>
              <w:ind w:left="429"/>
              <w:rPr>
                <w:sz w:val="18"/>
              </w:rPr>
            </w:pPr>
            <w:r>
              <w:rPr>
                <w:sz w:val="18"/>
              </w:rPr>
              <w:t>Z</w:t>
            </w:r>
          </w:p>
        </w:tc>
        <w:tc>
          <w:tcPr>
            <w:tcW w:w="1433" w:type="dxa"/>
            <w:gridSpan w:val="2"/>
            <w:tcBorders>
              <w:right w:val="single" w:sz="4" w:space="0" w:color="000000"/>
            </w:tcBorders>
          </w:tcPr>
          <w:p>
            <w:pPr>
              <w:pStyle w:val="TableParagraph"/>
              <w:spacing w:line="199" w:lineRule="exact" w:before="7"/>
              <w:ind w:left="351"/>
              <w:rPr>
                <w:sz w:val="18"/>
              </w:rPr>
            </w:pPr>
            <w:r>
              <w:rPr>
                <w:sz w:val="18"/>
              </w:rPr>
              <w:t>Y</w:t>
            </w:r>
          </w:p>
        </w:tc>
        <w:tc>
          <w:tcPr>
            <w:tcW w:w="2496" w:type="dxa"/>
            <w:tcBorders>
              <w:left w:val="single" w:sz="4" w:space="0" w:color="000000"/>
            </w:tcBorders>
          </w:tcPr>
          <w:p>
            <w:pPr>
              <w:pStyle w:val="TableParagraph"/>
              <w:spacing w:line="200" w:lineRule="exact" w:before="6"/>
              <w:ind w:left="520" w:right="399"/>
              <w:rPr>
                <w:b/>
                <w:sz w:val="18"/>
              </w:rPr>
            </w:pPr>
            <w:r>
              <w:rPr>
                <w:b/>
                <w:sz w:val="18"/>
              </w:rPr>
              <w:t>Pontevedra</w:t>
            </w:r>
          </w:p>
        </w:tc>
        <w:tc>
          <w:tcPr>
            <w:tcW w:w="832" w:type="dxa"/>
          </w:tcPr>
          <w:p>
            <w:pPr>
              <w:pStyle w:val="TableParagraph"/>
              <w:spacing w:line="199" w:lineRule="exact" w:before="7"/>
              <w:ind w:left="450"/>
              <w:rPr>
                <w:sz w:val="18"/>
              </w:rPr>
            </w:pPr>
            <w:r>
              <w:rPr>
                <w:sz w:val="18"/>
              </w:rPr>
              <w:t>Y</w:t>
            </w:r>
          </w:p>
        </w:tc>
        <w:tc>
          <w:tcPr>
            <w:tcW w:w="1305" w:type="dxa"/>
            <w:gridSpan w:val="2"/>
          </w:tcPr>
          <w:p>
            <w:pPr>
              <w:pStyle w:val="TableParagraph"/>
              <w:spacing w:line="199" w:lineRule="exact" w:before="7"/>
              <w:ind w:left="766"/>
              <w:jc w:val="left"/>
              <w:rPr>
                <w:sz w:val="18"/>
              </w:rPr>
            </w:pPr>
            <w:r>
              <w:rPr>
                <w:sz w:val="18"/>
              </w:rPr>
              <w:t>X</w:t>
            </w:r>
          </w:p>
        </w:tc>
      </w:tr>
      <w:tr>
        <w:trPr>
          <w:trHeight w:val="227" w:hRule="atLeast"/>
        </w:trPr>
        <w:tc>
          <w:tcPr>
            <w:tcW w:w="2025" w:type="dxa"/>
          </w:tcPr>
          <w:p>
            <w:pPr>
              <w:pStyle w:val="TableParagraph"/>
              <w:spacing w:line="201" w:lineRule="exact" w:before="6"/>
              <w:ind w:left="519" w:right="424"/>
              <w:rPr>
                <w:b/>
                <w:sz w:val="18"/>
              </w:rPr>
            </w:pPr>
            <w:r>
              <w:rPr>
                <w:b/>
                <w:sz w:val="18"/>
              </w:rPr>
              <w:t>Cantabria</w:t>
            </w:r>
          </w:p>
        </w:tc>
        <w:tc>
          <w:tcPr>
            <w:tcW w:w="882" w:type="dxa"/>
          </w:tcPr>
          <w:p>
            <w:pPr>
              <w:pStyle w:val="TableParagraph"/>
              <w:spacing w:line="200" w:lineRule="exact" w:before="7"/>
              <w:ind w:left="429"/>
              <w:rPr>
                <w:sz w:val="18"/>
              </w:rPr>
            </w:pPr>
            <w:r>
              <w:rPr>
                <w:sz w:val="18"/>
              </w:rPr>
              <w:t>X</w:t>
            </w:r>
          </w:p>
        </w:tc>
        <w:tc>
          <w:tcPr>
            <w:tcW w:w="1433" w:type="dxa"/>
            <w:gridSpan w:val="2"/>
            <w:tcBorders>
              <w:right w:val="single" w:sz="4" w:space="0" w:color="000000"/>
            </w:tcBorders>
          </w:tcPr>
          <w:p>
            <w:pPr>
              <w:pStyle w:val="TableParagraph"/>
              <w:spacing w:line="200" w:lineRule="exact" w:before="7"/>
              <w:ind w:left="804"/>
              <w:jc w:val="left"/>
              <w:rPr>
                <w:sz w:val="18"/>
              </w:rPr>
            </w:pPr>
            <w:r>
              <w:rPr>
                <w:sz w:val="18"/>
              </w:rPr>
              <w:t>W</w:t>
            </w:r>
          </w:p>
        </w:tc>
        <w:tc>
          <w:tcPr>
            <w:tcW w:w="2496" w:type="dxa"/>
            <w:tcBorders>
              <w:left w:val="single" w:sz="4" w:space="0" w:color="000000"/>
            </w:tcBorders>
          </w:tcPr>
          <w:p>
            <w:pPr>
              <w:pStyle w:val="TableParagraph"/>
              <w:spacing w:line="201" w:lineRule="exact" w:before="6"/>
              <w:ind w:left="520" w:right="397"/>
              <w:rPr>
                <w:b/>
                <w:sz w:val="18"/>
              </w:rPr>
            </w:pPr>
            <w:r>
              <w:rPr>
                <w:b/>
                <w:sz w:val="18"/>
              </w:rPr>
              <w:t>Rioja, La</w:t>
            </w:r>
          </w:p>
        </w:tc>
        <w:tc>
          <w:tcPr>
            <w:tcW w:w="832" w:type="dxa"/>
          </w:tcPr>
          <w:p>
            <w:pPr>
              <w:pStyle w:val="TableParagraph"/>
              <w:spacing w:line="200" w:lineRule="exact" w:before="7"/>
              <w:ind w:left="449"/>
              <w:rPr>
                <w:sz w:val="18"/>
              </w:rPr>
            </w:pPr>
            <w:r>
              <w:rPr>
                <w:sz w:val="18"/>
              </w:rPr>
              <w:t>Z</w:t>
            </w:r>
          </w:p>
        </w:tc>
        <w:tc>
          <w:tcPr>
            <w:tcW w:w="1305" w:type="dxa"/>
            <w:gridSpan w:val="2"/>
          </w:tcPr>
          <w:p>
            <w:pPr>
              <w:pStyle w:val="TableParagraph"/>
              <w:spacing w:line="200" w:lineRule="exact" w:before="7"/>
              <w:ind w:left="766"/>
              <w:jc w:val="left"/>
              <w:rPr>
                <w:sz w:val="18"/>
              </w:rPr>
            </w:pPr>
            <w:r>
              <w:rPr>
                <w:sz w:val="18"/>
              </w:rPr>
              <w:t>Y</w:t>
            </w:r>
          </w:p>
        </w:tc>
      </w:tr>
      <w:tr>
        <w:trPr>
          <w:trHeight w:val="227" w:hRule="atLeast"/>
        </w:trPr>
        <w:tc>
          <w:tcPr>
            <w:tcW w:w="2025" w:type="dxa"/>
          </w:tcPr>
          <w:p>
            <w:pPr>
              <w:pStyle w:val="TableParagraph"/>
              <w:spacing w:line="200" w:lineRule="exact" w:before="7"/>
              <w:ind w:left="519" w:right="424"/>
              <w:rPr>
                <w:b/>
                <w:sz w:val="18"/>
              </w:rPr>
            </w:pPr>
            <w:r>
              <w:rPr>
                <w:b/>
                <w:sz w:val="18"/>
              </w:rPr>
              <w:t>Castellón</w:t>
            </w:r>
          </w:p>
        </w:tc>
        <w:tc>
          <w:tcPr>
            <w:tcW w:w="882" w:type="dxa"/>
          </w:tcPr>
          <w:p>
            <w:pPr>
              <w:pStyle w:val="TableParagraph"/>
              <w:spacing w:line="199" w:lineRule="exact" w:before="8"/>
              <w:ind w:left="429"/>
              <w:rPr>
                <w:sz w:val="18"/>
              </w:rPr>
            </w:pPr>
            <w:r>
              <w:rPr>
                <w:sz w:val="18"/>
              </w:rPr>
              <w:t>Z</w:t>
            </w:r>
          </w:p>
        </w:tc>
        <w:tc>
          <w:tcPr>
            <w:tcW w:w="1433" w:type="dxa"/>
            <w:gridSpan w:val="2"/>
            <w:tcBorders>
              <w:right w:val="single" w:sz="4" w:space="0" w:color="000000"/>
            </w:tcBorders>
          </w:tcPr>
          <w:p>
            <w:pPr>
              <w:pStyle w:val="TableParagraph"/>
              <w:spacing w:line="199" w:lineRule="exact" w:before="8"/>
              <w:ind w:left="351"/>
              <w:rPr>
                <w:sz w:val="18"/>
              </w:rPr>
            </w:pPr>
            <w:r>
              <w:rPr>
                <w:sz w:val="18"/>
              </w:rPr>
              <w:t>Y</w:t>
            </w:r>
          </w:p>
        </w:tc>
        <w:tc>
          <w:tcPr>
            <w:tcW w:w="2496" w:type="dxa"/>
            <w:tcBorders>
              <w:left w:val="single" w:sz="4" w:space="0" w:color="000000"/>
            </w:tcBorders>
          </w:tcPr>
          <w:p>
            <w:pPr>
              <w:pStyle w:val="TableParagraph"/>
              <w:spacing w:line="200" w:lineRule="exact" w:before="7"/>
              <w:ind w:left="519" w:right="399"/>
              <w:rPr>
                <w:b/>
                <w:sz w:val="18"/>
              </w:rPr>
            </w:pPr>
            <w:r>
              <w:rPr>
                <w:b/>
                <w:sz w:val="18"/>
              </w:rPr>
              <w:t>Salamanca</w:t>
            </w:r>
          </w:p>
        </w:tc>
        <w:tc>
          <w:tcPr>
            <w:tcW w:w="832" w:type="dxa"/>
          </w:tcPr>
          <w:p>
            <w:pPr>
              <w:pStyle w:val="TableParagraph"/>
              <w:spacing w:line="199" w:lineRule="exact" w:before="8"/>
              <w:ind w:left="450"/>
              <w:rPr>
                <w:sz w:val="18"/>
              </w:rPr>
            </w:pPr>
            <w:r>
              <w:rPr>
                <w:sz w:val="18"/>
              </w:rPr>
              <w:t>Y</w:t>
            </w:r>
          </w:p>
        </w:tc>
        <w:tc>
          <w:tcPr>
            <w:tcW w:w="1305" w:type="dxa"/>
            <w:gridSpan w:val="2"/>
          </w:tcPr>
          <w:p>
            <w:pPr>
              <w:pStyle w:val="TableParagraph"/>
              <w:spacing w:line="199" w:lineRule="exact" w:before="8"/>
              <w:ind w:left="766"/>
              <w:jc w:val="left"/>
              <w:rPr>
                <w:sz w:val="18"/>
              </w:rPr>
            </w:pPr>
            <w:r>
              <w:rPr>
                <w:sz w:val="18"/>
              </w:rPr>
              <w:t>X</w:t>
            </w:r>
          </w:p>
        </w:tc>
      </w:tr>
      <w:tr>
        <w:trPr>
          <w:trHeight w:val="226" w:hRule="atLeast"/>
        </w:trPr>
        <w:tc>
          <w:tcPr>
            <w:tcW w:w="2025" w:type="dxa"/>
          </w:tcPr>
          <w:p>
            <w:pPr>
              <w:pStyle w:val="TableParagraph"/>
              <w:spacing w:line="200" w:lineRule="exact" w:before="6"/>
              <w:ind w:left="518" w:right="424"/>
              <w:rPr>
                <w:b/>
                <w:sz w:val="18"/>
              </w:rPr>
            </w:pPr>
            <w:r>
              <w:rPr>
                <w:b/>
                <w:sz w:val="18"/>
              </w:rPr>
              <w:t>Ceuta</w:t>
            </w:r>
          </w:p>
        </w:tc>
        <w:tc>
          <w:tcPr>
            <w:tcW w:w="882" w:type="dxa"/>
          </w:tcPr>
          <w:p>
            <w:pPr>
              <w:pStyle w:val="TableParagraph"/>
              <w:spacing w:line="199" w:lineRule="exact" w:before="7"/>
              <w:ind w:left="429"/>
              <w:rPr>
                <w:sz w:val="18"/>
              </w:rPr>
            </w:pPr>
            <w:r>
              <w:rPr>
                <w:sz w:val="18"/>
              </w:rPr>
              <w:t>Z</w:t>
            </w:r>
          </w:p>
        </w:tc>
        <w:tc>
          <w:tcPr>
            <w:tcW w:w="1433" w:type="dxa"/>
            <w:gridSpan w:val="2"/>
            <w:tcBorders>
              <w:right w:val="single" w:sz="4" w:space="0" w:color="000000"/>
            </w:tcBorders>
          </w:tcPr>
          <w:p>
            <w:pPr>
              <w:pStyle w:val="TableParagraph"/>
              <w:spacing w:line="199" w:lineRule="exact" w:before="7"/>
              <w:ind w:left="351"/>
              <w:rPr>
                <w:sz w:val="18"/>
              </w:rPr>
            </w:pPr>
            <w:r>
              <w:rPr>
                <w:sz w:val="18"/>
              </w:rPr>
              <w:t>-</w:t>
            </w:r>
          </w:p>
        </w:tc>
        <w:tc>
          <w:tcPr>
            <w:tcW w:w="2496" w:type="dxa"/>
            <w:tcBorders>
              <w:left w:val="single" w:sz="4" w:space="0" w:color="000000"/>
            </w:tcBorders>
          </w:tcPr>
          <w:p>
            <w:pPr>
              <w:pStyle w:val="TableParagraph"/>
              <w:spacing w:line="200" w:lineRule="exact" w:before="6"/>
              <w:ind w:left="520" w:right="399"/>
              <w:rPr>
                <w:b/>
                <w:sz w:val="18"/>
              </w:rPr>
            </w:pPr>
            <w:r>
              <w:rPr>
                <w:b/>
                <w:sz w:val="18"/>
              </w:rPr>
              <w:t>Sta. Cruz Tenerife</w:t>
            </w:r>
          </w:p>
        </w:tc>
        <w:tc>
          <w:tcPr>
            <w:tcW w:w="832" w:type="dxa"/>
          </w:tcPr>
          <w:p>
            <w:pPr>
              <w:pStyle w:val="TableParagraph"/>
              <w:spacing w:line="199" w:lineRule="exact" w:before="7"/>
              <w:ind w:left="450"/>
              <w:rPr>
                <w:sz w:val="18"/>
              </w:rPr>
            </w:pPr>
            <w:r>
              <w:rPr>
                <w:sz w:val="18"/>
              </w:rPr>
              <w:t>X</w:t>
            </w:r>
          </w:p>
        </w:tc>
        <w:tc>
          <w:tcPr>
            <w:tcW w:w="1305" w:type="dxa"/>
            <w:gridSpan w:val="2"/>
          </w:tcPr>
          <w:p>
            <w:pPr>
              <w:pStyle w:val="TableParagraph"/>
              <w:spacing w:line="199" w:lineRule="exact" w:before="7"/>
              <w:ind w:left="741"/>
              <w:jc w:val="left"/>
              <w:rPr>
                <w:sz w:val="18"/>
              </w:rPr>
            </w:pPr>
            <w:r>
              <w:rPr>
                <w:sz w:val="18"/>
              </w:rPr>
              <w:t>W</w:t>
            </w:r>
          </w:p>
        </w:tc>
      </w:tr>
      <w:tr>
        <w:trPr>
          <w:trHeight w:val="226" w:hRule="atLeast"/>
        </w:trPr>
        <w:tc>
          <w:tcPr>
            <w:tcW w:w="2025" w:type="dxa"/>
          </w:tcPr>
          <w:p>
            <w:pPr>
              <w:pStyle w:val="TableParagraph"/>
              <w:spacing w:line="200" w:lineRule="exact" w:before="6"/>
              <w:ind w:left="519" w:right="424"/>
              <w:rPr>
                <w:b/>
                <w:sz w:val="18"/>
              </w:rPr>
            </w:pPr>
            <w:r>
              <w:rPr>
                <w:b/>
                <w:sz w:val="18"/>
              </w:rPr>
              <w:t>Ciudad Real</w:t>
            </w:r>
          </w:p>
        </w:tc>
        <w:tc>
          <w:tcPr>
            <w:tcW w:w="882" w:type="dxa"/>
          </w:tcPr>
          <w:p>
            <w:pPr>
              <w:pStyle w:val="TableParagraph"/>
              <w:spacing w:line="199" w:lineRule="exact" w:before="7"/>
              <w:ind w:left="429"/>
              <w:rPr>
                <w:sz w:val="18"/>
              </w:rPr>
            </w:pPr>
            <w:r>
              <w:rPr>
                <w:sz w:val="18"/>
              </w:rPr>
              <w:t>Y</w:t>
            </w:r>
          </w:p>
        </w:tc>
        <w:tc>
          <w:tcPr>
            <w:tcW w:w="1433" w:type="dxa"/>
            <w:gridSpan w:val="2"/>
            <w:tcBorders>
              <w:right w:val="single" w:sz="4" w:space="0" w:color="000000"/>
            </w:tcBorders>
          </w:tcPr>
          <w:p>
            <w:pPr>
              <w:pStyle w:val="TableParagraph"/>
              <w:spacing w:line="199" w:lineRule="exact" w:before="7"/>
              <w:ind w:left="351"/>
              <w:rPr>
                <w:sz w:val="18"/>
              </w:rPr>
            </w:pPr>
            <w:r>
              <w:rPr>
                <w:sz w:val="18"/>
              </w:rPr>
              <w:t>X</w:t>
            </w:r>
          </w:p>
        </w:tc>
        <w:tc>
          <w:tcPr>
            <w:tcW w:w="2496" w:type="dxa"/>
            <w:tcBorders>
              <w:left w:val="single" w:sz="4" w:space="0" w:color="000000"/>
            </w:tcBorders>
          </w:tcPr>
          <w:p>
            <w:pPr>
              <w:pStyle w:val="TableParagraph"/>
              <w:spacing w:line="200" w:lineRule="exact" w:before="6"/>
              <w:ind w:left="520" w:right="398"/>
              <w:rPr>
                <w:b/>
                <w:sz w:val="18"/>
              </w:rPr>
            </w:pPr>
            <w:r>
              <w:rPr>
                <w:b/>
                <w:sz w:val="18"/>
              </w:rPr>
              <w:t>Segovia</w:t>
            </w:r>
          </w:p>
        </w:tc>
        <w:tc>
          <w:tcPr>
            <w:tcW w:w="832" w:type="dxa"/>
          </w:tcPr>
          <w:p>
            <w:pPr>
              <w:pStyle w:val="TableParagraph"/>
              <w:spacing w:line="199" w:lineRule="exact" w:before="7"/>
              <w:ind w:left="449"/>
              <w:rPr>
                <w:sz w:val="18"/>
              </w:rPr>
            </w:pPr>
            <w:r>
              <w:rPr>
                <w:sz w:val="18"/>
              </w:rPr>
              <w:t>W</w:t>
            </w:r>
          </w:p>
        </w:tc>
        <w:tc>
          <w:tcPr>
            <w:tcW w:w="1305" w:type="dxa"/>
            <w:gridSpan w:val="2"/>
          </w:tcPr>
          <w:p>
            <w:pPr>
              <w:pStyle w:val="TableParagraph"/>
              <w:spacing w:line="199" w:lineRule="exact" w:before="7"/>
              <w:ind w:left="741"/>
              <w:jc w:val="left"/>
              <w:rPr>
                <w:sz w:val="18"/>
              </w:rPr>
            </w:pPr>
            <w:r>
              <w:rPr>
                <w:sz w:val="18"/>
              </w:rPr>
              <w:t>W</w:t>
            </w:r>
          </w:p>
        </w:tc>
      </w:tr>
      <w:tr>
        <w:trPr>
          <w:trHeight w:val="226" w:hRule="atLeast"/>
        </w:trPr>
        <w:tc>
          <w:tcPr>
            <w:tcW w:w="2025" w:type="dxa"/>
          </w:tcPr>
          <w:p>
            <w:pPr>
              <w:pStyle w:val="TableParagraph"/>
              <w:spacing w:line="200" w:lineRule="exact" w:before="6"/>
              <w:ind w:left="519" w:right="423"/>
              <w:rPr>
                <w:b/>
                <w:sz w:val="18"/>
              </w:rPr>
            </w:pPr>
            <w:r>
              <w:rPr>
                <w:b/>
                <w:sz w:val="18"/>
              </w:rPr>
              <w:t>Córdoba</w:t>
            </w:r>
          </w:p>
        </w:tc>
        <w:tc>
          <w:tcPr>
            <w:tcW w:w="882" w:type="dxa"/>
          </w:tcPr>
          <w:p>
            <w:pPr>
              <w:pStyle w:val="TableParagraph"/>
              <w:spacing w:line="199" w:lineRule="exact" w:before="7"/>
              <w:ind w:left="429"/>
              <w:rPr>
                <w:sz w:val="18"/>
              </w:rPr>
            </w:pPr>
            <w:r>
              <w:rPr>
                <w:sz w:val="18"/>
              </w:rPr>
              <w:t>Z</w:t>
            </w:r>
          </w:p>
        </w:tc>
        <w:tc>
          <w:tcPr>
            <w:tcW w:w="1433" w:type="dxa"/>
            <w:gridSpan w:val="2"/>
            <w:tcBorders>
              <w:right w:val="single" w:sz="4" w:space="0" w:color="000000"/>
            </w:tcBorders>
          </w:tcPr>
          <w:p>
            <w:pPr>
              <w:pStyle w:val="TableParagraph"/>
              <w:spacing w:line="199" w:lineRule="exact" w:before="7"/>
              <w:ind w:left="351"/>
              <w:rPr>
                <w:sz w:val="18"/>
              </w:rPr>
            </w:pPr>
            <w:r>
              <w:rPr>
                <w:sz w:val="18"/>
              </w:rPr>
              <w:t>Y</w:t>
            </w:r>
          </w:p>
        </w:tc>
        <w:tc>
          <w:tcPr>
            <w:tcW w:w="2496" w:type="dxa"/>
            <w:tcBorders>
              <w:left w:val="single" w:sz="4" w:space="0" w:color="000000"/>
            </w:tcBorders>
          </w:tcPr>
          <w:p>
            <w:pPr>
              <w:pStyle w:val="TableParagraph"/>
              <w:spacing w:line="200" w:lineRule="exact" w:before="6"/>
              <w:ind w:left="520" w:right="399"/>
              <w:rPr>
                <w:b/>
                <w:sz w:val="18"/>
              </w:rPr>
            </w:pPr>
            <w:r>
              <w:rPr>
                <w:b/>
                <w:sz w:val="18"/>
              </w:rPr>
              <w:t>Sevilla</w:t>
            </w:r>
          </w:p>
        </w:tc>
        <w:tc>
          <w:tcPr>
            <w:tcW w:w="832" w:type="dxa"/>
          </w:tcPr>
          <w:p>
            <w:pPr>
              <w:pStyle w:val="TableParagraph"/>
              <w:spacing w:line="199" w:lineRule="exact" w:before="7"/>
              <w:ind w:left="449"/>
              <w:rPr>
                <w:sz w:val="18"/>
              </w:rPr>
            </w:pPr>
            <w:r>
              <w:rPr>
                <w:sz w:val="18"/>
              </w:rPr>
              <w:t>Z</w:t>
            </w:r>
          </w:p>
        </w:tc>
        <w:tc>
          <w:tcPr>
            <w:tcW w:w="1305" w:type="dxa"/>
            <w:gridSpan w:val="2"/>
          </w:tcPr>
          <w:p>
            <w:pPr>
              <w:pStyle w:val="TableParagraph"/>
              <w:spacing w:line="199" w:lineRule="exact" w:before="7"/>
              <w:ind w:left="766"/>
              <w:jc w:val="left"/>
              <w:rPr>
                <w:sz w:val="18"/>
              </w:rPr>
            </w:pPr>
            <w:r>
              <w:rPr>
                <w:sz w:val="18"/>
              </w:rPr>
              <w:t>Y</w:t>
            </w:r>
          </w:p>
        </w:tc>
      </w:tr>
      <w:tr>
        <w:trPr>
          <w:trHeight w:val="226" w:hRule="atLeast"/>
        </w:trPr>
        <w:tc>
          <w:tcPr>
            <w:tcW w:w="2025" w:type="dxa"/>
          </w:tcPr>
          <w:p>
            <w:pPr>
              <w:pStyle w:val="TableParagraph"/>
              <w:spacing w:line="200" w:lineRule="exact" w:before="6"/>
              <w:ind w:left="519" w:right="421"/>
              <w:rPr>
                <w:b/>
                <w:sz w:val="18"/>
              </w:rPr>
            </w:pPr>
            <w:r>
              <w:rPr>
                <w:b/>
                <w:sz w:val="18"/>
              </w:rPr>
              <w:t>Coruña, A</w:t>
            </w:r>
          </w:p>
        </w:tc>
        <w:tc>
          <w:tcPr>
            <w:tcW w:w="882" w:type="dxa"/>
          </w:tcPr>
          <w:p>
            <w:pPr>
              <w:pStyle w:val="TableParagraph"/>
              <w:spacing w:line="199" w:lineRule="exact" w:before="7"/>
              <w:ind w:left="429"/>
              <w:rPr>
                <w:sz w:val="18"/>
              </w:rPr>
            </w:pPr>
            <w:r>
              <w:rPr>
                <w:sz w:val="18"/>
              </w:rPr>
              <w:t>X</w:t>
            </w:r>
          </w:p>
        </w:tc>
        <w:tc>
          <w:tcPr>
            <w:tcW w:w="1433" w:type="dxa"/>
            <w:gridSpan w:val="2"/>
            <w:tcBorders>
              <w:right w:val="single" w:sz="4" w:space="0" w:color="000000"/>
            </w:tcBorders>
          </w:tcPr>
          <w:p>
            <w:pPr>
              <w:pStyle w:val="TableParagraph"/>
              <w:spacing w:line="199" w:lineRule="exact" w:before="7"/>
              <w:ind w:left="804"/>
              <w:jc w:val="left"/>
              <w:rPr>
                <w:sz w:val="18"/>
              </w:rPr>
            </w:pPr>
            <w:r>
              <w:rPr>
                <w:sz w:val="18"/>
              </w:rPr>
              <w:t>W</w:t>
            </w:r>
          </w:p>
        </w:tc>
        <w:tc>
          <w:tcPr>
            <w:tcW w:w="2496" w:type="dxa"/>
            <w:tcBorders>
              <w:left w:val="single" w:sz="4" w:space="0" w:color="000000"/>
            </w:tcBorders>
          </w:tcPr>
          <w:p>
            <w:pPr>
              <w:pStyle w:val="TableParagraph"/>
              <w:spacing w:line="200" w:lineRule="exact" w:before="6"/>
              <w:ind w:left="520" w:right="399"/>
              <w:rPr>
                <w:b/>
                <w:sz w:val="18"/>
              </w:rPr>
            </w:pPr>
            <w:r>
              <w:rPr>
                <w:b/>
                <w:sz w:val="18"/>
              </w:rPr>
              <w:t>Soria</w:t>
            </w:r>
          </w:p>
        </w:tc>
        <w:tc>
          <w:tcPr>
            <w:tcW w:w="832" w:type="dxa"/>
          </w:tcPr>
          <w:p>
            <w:pPr>
              <w:pStyle w:val="TableParagraph"/>
              <w:spacing w:line="199" w:lineRule="exact" w:before="7"/>
              <w:ind w:left="449"/>
              <w:rPr>
                <w:sz w:val="18"/>
              </w:rPr>
            </w:pPr>
            <w:r>
              <w:rPr>
                <w:sz w:val="18"/>
              </w:rPr>
              <w:t>W</w:t>
            </w:r>
          </w:p>
        </w:tc>
        <w:tc>
          <w:tcPr>
            <w:tcW w:w="1305" w:type="dxa"/>
            <w:gridSpan w:val="2"/>
          </w:tcPr>
          <w:p>
            <w:pPr>
              <w:pStyle w:val="TableParagraph"/>
              <w:spacing w:line="199" w:lineRule="exact" w:before="7"/>
              <w:ind w:left="741"/>
              <w:jc w:val="left"/>
              <w:rPr>
                <w:sz w:val="18"/>
              </w:rPr>
            </w:pPr>
            <w:r>
              <w:rPr>
                <w:sz w:val="18"/>
              </w:rPr>
              <w:t>W</w:t>
            </w:r>
          </w:p>
        </w:tc>
      </w:tr>
      <w:tr>
        <w:trPr>
          <w:trHeight w:val="227" w:hRule="atLeast"/>
        </w:trPr>
        <w:tc>
          <w:tcPr>
            <w:tcW w:w="2025" w:type="dxa"/>
          </w:tcPr>
          <w:p>
            <w:pPr>
              <w:pStyle w:val="TableParagraph"/>
              <w:spacing w:line="201" w:lineRule="exact" w:before="6"/>
              <w:ind w:left="519" w:right="424"/>
              <w:rPr>
                <w:b/>
                <w:sz w:val="18"/>
              </w:rPr>
            </w:pPr>
            <w:r>
              <w:rPr>
                <w:b/>
                <w:sz w:val="18"/>
              </w:rPr>
              <w:t>Cuenca</w:t>
            </w:r>
          </w:p>
        </w:tc>
        <w:tc>
          <w:tcPr>
            <w:tcW w:w="882" w:type="dxa"/>
          </w:tcPr>
          <w:p>
            <w:pPr>
              <w:pStyle w:val="TableParagraph"/>
              <w:spacing w:line="200" w:lineRule="exact" w:before="7"/>
              <w:ind w:left="429"/>
              <w:rPr>
                <w:sz w:val="18"/>
              </w:rPr>
            </w:pPr>
            <w:r>
              <w:rPr>
                <w:sz w:val="18"/>
              </w:rPr>
              <w:t>W</w:t>
            </w:r>
          </w:p>
        </w:tc>
        <w:tc>
          <w:tcPr>
            <w:tcW w:w="1433" w:type="dxa"/>
            <w:gridSpan w:val="2"/>
            <w:tcBorders>
              <w:right w:val="single" w:sz="4" w:space="0" w:color="000000"/>
            </w:tcBorders>
          </w:tcPr>
          <w:p>
            <w:pPr>
              <w:pStyle w:val="TableParagraph"/>
              <w:spacing w:line="200" w:lineRule="exact" w:before="7"/>
              <w:ind w:left="804"/>
              <w:jc w:val="left"/>
              <w:rPr>
                <w:sz w:val="18"/>
              </w:rPr>
            </w:pPr>
            <w:r>
              <w:rPr>
                <w:sz w:val="18"/>
              </w:rPr>
              <w:t>W</w:t>
            </w:r>
          </w:p>
        </w:tc>
        <w:tc>
          <w:tcPr>
            <w:tcW w:w="2496" w:type="dxa"/>
            <w:tcBorders>
              <w:left w:val="single" w:sz="4" w:space="0" w:color="000000"/>
            </w:tcBorders>
          </w:tcPr>
          <w:p>
            <w:pPr>
              <w:pStyle w:val="TableParagraph"/>
              <w:spacing w:line="201" w:lineRule="exact" w:before="6"/>
              <w:ind w:left="520" w:right="398"/>
              <w:rPr>
                <w:b/>
                <w:sz w:val="18"/>
              </w:rPr>
            </w:pPr>
            <w:r>
              <w:rPr>
                <w:b/>
                <w:sz w:val="18"/>
              </w:rPr>
              <w:t>Tarragona</w:t>
            </w:r>
          </w:p>
        </w:tc>
        <w:tc>
          <w:tcPr>
            <w:tcW w:w="832" w:type="dxa"/>
          </w:tcPr>
          <w:p>
            <w:pPr>
              <w:pStyle w:val="TableParagraph"/>
              <w:spacing w:line="200" w:lineRule="exact" w:before="7"/>
              <w:ind w:left="450"/>
              <w:rPr>
                <w:sz w:val="18"/>
              </w:rPr>
            </w:pPr>
            <w:r>
              <w:rPr>
                <w:sz w:val="18"/>
              </w:rPr>
              <w:t>Y</w:t>
            </w:r>
          </w:p>
        </w:tc>
        <w:tc>
          <w:tcPr>
            <w:tcW w:w="1305" w:type="dxa"/>
            <w:gridSpan w:val="2"/>
          </w:tcPr>
          <w:p>
            <w:pPr>
              <w:pStyle w:val="TableParagraph"/>
              <w:spacing w:line="200" w:lineRule="exact" w:before="7"/>
              <w:ind w:left="766"/>
              <w:jc w:val="left"/>
              <w:rPr>
                <w:sz w:val="18"/>
              </w:rPr>
            </w:pPr>
            <w:r>
              <w:rPr>
                <w:sz w:val="18"/>
              </w:rPr>
              <w:t>X</w:t>
            </w:r>
          </w:p>
        </w:tc>
      </w:tr>
      <w:tr>
        <w:trPr>
          <w:trHeight w:val="227" w:hRule="atLeast"/>
        </w:trPr>
        <w:tc>
          <w:tcPr>
            <w:tcW w:w="2025" w:type="dxa"/>
          </w:tcPr>
          <w:p>
            <w:pPr>
              <w:pStyle w:val="TableParagraph"/>
              <w:spacing w:line="200" w:lineRule="exact" w:before="7"/>
              <w:ind w:left="519" w:right="422"/>
              <w:rPr>
                <w:b/>
                <w:sz w:val="18"/>
              </w:rPr>
            </w:pPr>
            <w:r>
              <w:rPr>
                <w:b/>
                <w:sz w:val="18"/>
              </w:rPr>
              <w:t>Girona</w:t>
            </w:r>
          </w:p>
        </w:tc>
        <w:tc>
          <w:tcPr>
            <w:tcW w:w="882" w:type="dxa"/>
          </w:tcPr>
          <w:p>
            <w:pPr>
              <w:pStyle w:val="TableParagraph"/>
              <w:spacing w:line="199" w:lineRule="exact" w:before="8"/>
              <w:ind w:left="429"/>
              <w:rPr>
                <w:sz w:val="18"/>
              </w:rPr>
            </w:pPr>
            <w:r>
              <w:rPr>
                <w:sz w:val="18"/>
              </w:rPr>
              <w:t>Y</w:t>
            </w:r>
          </w:p>
        </w:tc>
        <w:tc>
          <w:tcPr>
            <w:tcW w:w="1433" w:type="dxa"/>
            <w:gridSpan w:val="2"/>
            <w:tcBorders>
              <w:right w:val="single" w:sz="4" w:space="0" w:color="000000"/>
            </w:tcBorders>
          </w:tcPr>
          <w:p>
            <w:pPr>
              <w:pStyle w:val="TableParagraph"/>
              <w:spacing w:line="199" w:lineRule="exact" w:before="8"/>
              <w:ind w:left="351"/>
              <w:rPr>
                <w:sz w:val="18"/>
              </w:rPr>
            </w:pPr>
            <w:r>
              <w:rPr>
                <w:sz w:val="18"/>
              </w:rPr>
              <w:t>X</w:t>
            </w:r>
          </w:p>
        </w:tc>
        <w:tc>
          <w:tcPr>
            <w:tcW w:w="2496" w:type="dxa"/>
            <w:tcBorders>
              <w:left w:val="single" w:sz="4" w:space="0" w:color="000000"/>
            </w:tcBorders>
          </w:tcPr>
          <w:p>
            <w:pPr>
              <w:pStyle w:val="TableParagraph"/>
              <w:spacing w:line="200" w:lineRule="exact" w:before="7"/>
              <w:ind w:left="519" w:right="399"/>
              <w:rPr>
                <w:b/>
                <w:sz w:val="18"/>
              </w:rPr>
            </w:pPr>
            <w:r>
              <w:rPr>
                <w:b/>
                <w:sz w:val="18"/>
              </w:rPr>
              <w:t>Teruel</w:t>
            </w:r>
          </w:p>
        </w:tc>
        <w:tc>
          <w:tcPr>
            <w:tcW w:w="832" w:type="dxa"/>
          </w:tcPr>
          <w:p>
            <w:pPr>
              <w:pStyle w:val="TableParagraph"/>
              <w:spacing w:line="199" w:lineRule="exact" w:before="8"/>
              <w:ind w:left="449"/>
              <w:rPr>
                <w:sz w:val="18"/>
              </w:rPr>
            </w:pPr>
            <w:r>
              <w:rPr>
                <w:sz w:val="18"/>
              </w:rPr>
              <w:t>W</w:t>
            </w:r>
          </w:p>
        </w:tc>
        <w:tc>
          <w:tcPr>
            <w:tcW w:w="1305" w:type="dxa"/>
            <w:gridSpan w:val="2"/>
          </w:tcPr>
          <w:p>
            <w:pPr>
              <w:pStyle w:val="TableParagraph"/>
              <w:spacing w:line="199" w:lineRule="exact" w:before="8"/>
              <w:ind w:left="741"/>
              <w:jc w:val="left"/>
              <w:rPr>
                <w:sz w:val="18"/>
              </w:rPr>
            </w:pPr>
            <w:r>
              <w:rPr>
                <w:sz w:val="18"/>
              </w:rPr>
              <w:t>W</w:t>
            </w:r>
          </w:p>
        </w:tc>
      </w:tr>
      <w:tr>
        <w:trPr>
          <w:trHeight w:val="226" w:hRule="atLeast"/>
        </w:trPr>
        <w:tc>
          <w:tcPr>
            <w:tcW w:w="2025" w:type="dxa"/>
          </w:tcPr>
          <w:p>
            <w:pPr>
              <w:pStyle w:val="TableParagraph"/>
              <w:spacing w:line="200" w:lineRule="exact" w:before="6"/>
              <w:ind w:left="518" w:right="424"/>
              <w:rPr>
                <w:b/>
                <w:sz w:val="18"/>
              </w:rPr>
            </w:pPr>
            <w:r>
              <w:rPr>
                <w:b/>
                <w:sz w:val="18"/>
              </w:rPr>
              <w:t>Granada</w:t>
            </w:r>
          </w:p>
        </w:tc>
        <w:tc>
          <w:tcPr>
            <w:tcW w:w="882" w:type="dxa"/>
          </w:tcPr>
          <w:p>
            <w:pPr>
              <w:pStyle w:val="TableParagraph"/>
              <w:spacing w:line="199" w:lineRule="exact" w:before="7"/>
              <w:ind w:left="429"/>
              <w:rPr>
                <w:sz w:val="18"/>
              </w:rPr>
            </w:pPr>
            <w:r>
              <w:rPr>
                <w:sz w:val="18"/>
              </w:rPr>
              <w:t>Y</w:t>
            </w:r>
          </w:p>
        </w:tc>
        <w:tc>
          <w:tcPr>
            <w:tcW w:w="1433" w:type="dxa"/>
            <w:gridSpan w:val="2"/>
            <w:tcBorders>
              <w:right w:val="single" w:sz="4" w:space="0" w:color="000000"/>
            </w:tcBorders>
          </w:tcPr>
          <w:p>
            <w:pPr>
              <w:pStyle w:val="TableParagraph"/>
              <w:spacing w:line="199" w:lineRule="exact" w:before="7"/>
              <w:ind w:left="351"/>
              <w:rPr>
                <w:sz w:val="18"/>
              </w:rPr>
            </w:pPr>
            <w:r>
              <w:rPr>
                <w:sz w:val="18"/>
              </w:rPr>
              <w:t>X</w:t>
            </w:r>
          </w:p>
        </w:tc>
        <w:tc>
          <w:tcPr>
            <w:tcW w:w="2496" w:type="dxa"/>
            <w:tcBorders>
              <w:left w:val="single" w:sz="4" w:space="0" w:color="000000"/>
            </w:tcBorders>
          </w:tcPr>
          <w:p>
            <w:pPr>
              <w:pStyle w:val="TableParagraph"/>
              <w:spacing w:line="200" w:lineRule="exact" w:before="6"/>
              <w:ind w:left="520" w:right="399"/>
              <w:rPr>
                <w:b/>
                <w:sz w:val="18"/>
              </w:rPr>
            </w:pPr>
            <w:r>
              <w:rPr>
                <w:b/>
                <w:sz w:val="18"/>
              </w:rPr>
              <w:t>Toledo</w:t>
            </w:r>
          </w:p>
        </w:tc>
        <w:tc>
          <w:tcPr>
            <w:tcW w:w="832" w:type="dxa"/>
          </w:tcPr>
          <w:p>
            <w:pPr>
              <w:pStyle w:val="TableParagraph"/>
              <w:spacing w:line="199" w:lineRule="exact" w:before="7"/>
              <w:ind w:left="450"/>
              <w:rPr>
                <w:sz w:val="18"/>
              </w:rPr>
            </w:pPr>
            <w:r>
              <w:rPr>
                <w:sz w:val="18"/>
              </w:rPr>
              <w:t>Y</w:t>
            </w:r>
          </w:p>
        </w:tc>
        <w:tc>
          <w:tcPr>
            <w:tcW w:w="1305" w:type="dxa"/>
            <w:gridSpan w:val="2"/>
          </w:tcPr>
          <w:p>
            <w:pPr>
              <w:pStyle w:val="TableParagraph"/>
              <w:spacing w:line="199" w:lineRule="exact" w:before="7"/>
              <w:ind w:left="766"/>
              <w:jc w:val="left"/>
              <w:rPr>
                <w:sz w:val="18"/>
              </w:rPr>
            </w:pPr>
            <w:r>
              <w:rPr>
                <w:sz w:val="18"/>
              </w:rPr>
              <w:t>X</w:t>
            </w:r>
          </w:p>
        </w:tc>
      </w:tr>
      <w:tr>
        <w:trPr>
          <w:trHeight w:val="226" w:hRule="atLeast"/>
        </w:trPr>
        <w:tc>
          <w:tcPr>
            <w:tcW w:w="2025" w:type="dxa"/>
          </w:tcPr>
          <w:p>
            <w:pPr>
              <w:pStyle w:val="TableParagraph"/>
              <w:spacing w:line="200" w:lineRule="exact" w:before="6"/>
              <w:ind w:left="518" w:right="424"/>
              <w:rPr>
                <w:b/>
                <w:sz w:val="18"/>
              </w:rPr>
            </w:pPr>
            <w:r>
              <w:rPr>
                <w:b/>
                <w:sz w:val="18"/>
              </w:rPr>
              <w:t>Guadalajara</w:t>
            </w:r>
          </w:p>
        </w:tc>
        <w:tc>
          <w:tcPr>
            <w:tcW w:w="882" w:type="dxa"/>
          </w:tcPr>
          <w:p>
            <w:pPr>
              <w:pStyle w:val="TableParagraph"/>
              <w:spacing w:line="199" w:lineRule="exact" w:before="7"/>
              <w:ind w:left="429"/>
              <w:rPr>
                <w:sz w:val="18"/>
              </w:rPr>
            </w:pPr>
            <w:r>
              <w:rPr>
                <w:sz w:val="18"/>
              </w:rPr>
              <w:t>X</w:t>
            </w:r>
          </w:p>
        </w:tc>
        <w:tc>
          <w:tcPr>
            <w:tcW w:w="1433" w:type="dxa"/>
            <w:gridSpan w:val="2"/>
            <w:tcBorders>
              <w:right w:val="single" w:sz="4" w:space="0" w:color="000000"/>
            </w:tcBorders>
          </w:tcPr>
          <w:p>
            <w:pPr>
              <w:pStyle w:val="TableParagraph"/>
              <w:spacing w:line="199" w:lineRule="exact" w:before="7"/>
              <w:ind w:left="804"/>
              <w:jc w:val="left"/>
              <w:rPr>
                <w:sz w:val="18"/>
              </w:rPr>
            </w:pPr>
            <w:r>
              <w:rPr>
                <w:sz w:val="18"/>
              </w:rPr>
              <w:t>W</w:t>
            </w:r>
          </w:p>
        </w:tc>
        <w:tc>
          <w:tcPr>
            <w:tcW w:w="2496" w:type="dxa"/>
            <w:tcBorders>
              <w:left w:val="single" w:sz="4" w:space="0" w:color="000000"/>
            </w:tcBorders>
          </w:tcPr>
          <w:p>
            <w:pPr>
              <w:pStyle w:val="TableParagraph"/>
              <w:spacing w:line="200" w:lineRule="exact" w:before="6"/>
              <w:ind w:left="520" w:right="399"/>
              <w:rPr>
                <w:b/>
                <w:sz w:val="18"/>
              </w:rPr>
            </w:pPr>
            <w:r>
              <w:rPr>
                <w:b/>
                <w:sz w:val="18"/>
              </w:rPr>
              <w:t>Valencia</w:t>
            </w:r>
          </w:p>
        </w:tc>
        <w:tc>
          <w:tcPr>
            <w:tcW w:w="832" w:type="dxa"/>
          </w:tcPr>
          <w:p>
            <w:pPr>
              <w:pStyle w:val="TableParagraph"/>
              <w:spacing w:line="199" w:lineRule="exact" w:before="7"/>
              <w:ind w:left="449"/>
              <w:rPr>
                <w:sz w:val="18"/>
              </w:rPr>
            </w:pPr>
            <w:r>
              <w:rPr>
                <w:sz w:val="18"/>
              </w:rPr>
              <w:t>Z</w:t>
            </w:r>
          </w:p>
        </w:tc>
        <w:tc>
          <w:tcPr>
            <w:tcW w:w="1305" w:type="dxa"/>
            <w:gridSpan w:val="2"/>
          </w:tcPr>
          <w:p>
            <w:pPr>
              <w:pStyle w:val="TableParagraph"/>
              <w:spacing w:line="199" w:lineRule="exact" w:before="7"/>
              <w:ind w:left="766"/>
              <w:jc w:val="left"/>
              <w:rPr>
                <w:sz w:val="18"/>
              </w:rPr>
            </w:pPr>
            <w:r>
              <w:rPr>
                <w:sz w:val="18"/>
              </w:rPr>
              <w:t>Y</w:t>
            </w:r>
          </w:p>
        </w:tc>
      </w:tr>
      <w:tr>
        <w:trPr>
          <w:trHeight w:val="226" w:hRule="atLeast"/>
        </w:trPr>
        <w:tc>
          <w:tcPr>
            <w:tcW w:w="2025" w:type="dxa"/>
          </w:tcPr>
          <w:p>
            <w:pPr>
              <w:pStyle w:val="TableParagraph"/>
              <w:spacing w:line="200" w:lineRule="exact" w:before="6"/>
              <w:ind w:left="519" w:right="424"/>
              <w:rPr>
                <w:b/>
                <w:sz w:val="18"/>
              </w:rPr>
            </w:pPr>
            <w:r>
              <w:rPr>
                <w:b/>
                <w:sz w:val="18"/>
              </w:rPr>
              <w:t>Guipúzcoa</w:t>
            </w:r>
          </w:p>
        </w:tc>
        <w:tc>
          <w:tcPr>
            <w:tcW w:w="882" w:type="dxa"/>
          </w:tcPr>
          <w:p>
            <w:pPr>
              <w:pStyle w:val="TableParagraph"/>
              <w:spacing w:line="199" w:lineRule="exact" w:before="7"/>
              <w:ind w:left="429"/>
              <w:rPr>
                <w:sz w:val="18"/>
              </w:rPr>
            </w:pPr>
            <w:r>
              <w:rPr>
                <w:sz w:val="18"/>
              </w:rPr>
              <w:t>X</w:t>
            </w:r>
          </w:p>
        </w:tc>
        <w:tc>
          <w:tcPr>
            <w:tcW w:w="1433" w:type="dxa"/>
            <w:gridSpan w:val="2"/>
            <w:tcBorders>
              <w:right w:val="single" w:sz="4" w:space="0" w:color="000000"/>
            </w:tcBorders>
          </w:tcPr>
          <w:p>
            <w:pPr>
              <w:pStyle w:val="TableParagraph"/>
              <w:spacing w:line="199" w:lineRule="exact" w:before="7"/>
              <w:ind w:left="804"/>
              <w:jc w:val="left"/>
              <w:rPr>
                <w:sz w:val="18"/>
              </w:rPr>
            </w:pPr>
            <w:r>
              <w:rPr>
                <w:sz w:val="18"/>
              </w:rPr>
              <w:t>W</w:t>
            </w:r>
          </w:p>
        </w:tc>
        <w:tc>
          <w:tcPr>
            <w:tcW w:w="2496" w:type="dxa"/>
            <w:tcBorders>
              <w:left w:val="single" w:sz="4" w:space="0" w:color="000000"/>
            </w:tcBorders>
          </w:tcPr>
          <w:p>
            <w:pPr>
              <w:pStyle w:val="TableParagraph"/>
              <w:spacing w:line="200" w:lineRule="exact" w:before="6"/>
              <w:ind w:left="520" w:right="399"/>
              <w:rPr>
                <w:b/>
                <w:sz w:val="18"/>
              </w:rPr>
            </w:pPr>
            <w:r>
              <w:rPr>
                <w:b/>
                <w:sz w:val="18"/>
              </w:rPr>
              <w:t>Valladolid</w:t>
            </w:r>
          </w:p>
        </w:tc>
        <w:tc>
          <w:tcPr>
            <w:tcW w:w="832" w:type="dxa"/>
          </w:tcPr>
          <w:p>
            <w:pPr>
              <w:pStyle w:val="TableParagraph"/>
              <w:spacing w:line="199" w:lineRule="exact" w:before="7"/>
              <w:ind w:left="449"/>
              <w:rPr>
                <w:sz w:val="18"/>
              </w:rPr>
            </w:pPr>
            <w:r>
              <w:rPr>
                <w:sz w:val="18"/>
              </w:rPr>
              <w:t>W</w:t>
            </w:r>
          </w:p>
        </w:tc>
        <w:tc>
          <w:tcPr>
            <w:tcW w:w="1305" w:type="dxa"/>
            <w:gridSpan w:val="2"/>
          </w:tcPr>
          <w:p>
            <w:pPr>
              <w:pStyle w:val="TableParagraph"/>
              <w:spacing w:line="199" w:lineRule="exact" w:before="7"/>
              <w:ind w:left="741"/>
              <w:jc w:val="left"/>
              <w:rPr>
                <w:sz w:val="18"/>
              </w:rPr>
            </w:pPr>
            <w:r>
              <w:rPr>
                <w:sz w:val="18"/>
              </w:rPr>
              <w:t>W</w:t>
            </w:r>
          </w:p>
        </w:tc>
      </w:tr>
      <w:tr>
        <w:trPr>
          <w:trHeight w:val="226" w:hRule="atLeast"/>
        </w:trPr>
        <w:tc>
          <w:tcPr>
            <w:tcW w:w="2025" w:type="dxa"/>
          </w:tcPr>
          <w:p>
            <w:pPr>
              <w:pStyle w:val="TableParagraph"/>
              <w:spacing w:line="200" w:lineRule="exact" w:before="6"/>
              <w:ind w:left="518" w:right="424"/>
              <w:rPr>
                <w:b/>
                <w:sz w:val="18"/>
              </w:rPr>
            </w:pPr>
            <w:r>
              <w:rPr>
                <w:b/>
                <w:sz w:val="18"/>
              </w:rPr>
              <w:t>Huelva</w:t>
            </w:r>
          </w:p>
        </w:tc>
        <w:tc>
          <w:tcPr>
            <w:tcW w:w="882" w:type="dxa"/>
          </w:tcPr>
          <w:p>
            <w:pPr>
              <w:pStyle w:val="TableParagraph"/>
              <w:spacing w:line="199" w:lineRule="exact" w:before="7"/>
              <w:ind w:left="429"/>
              <w:rPr>
                <w:sz w:val="18"/>
              </w:rPr>
            </w:pPr>
            <w:r>
              <w:rPr>
                <w:sz w:val="18"/>
              </w:rPr>
              <w:t>Z</w:t>
            </w:r>
          </w:p>
        </w:tc>
        <w:tc>
          <w:tcPr>
            <w:tcW w:w="1433" w:type="dxa"/>
            <w:gridSpan w:val="2"/>
            <w:tcBorders>
              <w:right w:val="single" w:sz="4" w:space="0" w:color="000000"/>
            </w:tcBorders>
          </w:tcPr>
          <w:p>
            <w:pPr>
              <w:pStyle w:val="TableParagraph"/>
              <w:spacing w:line="199" w:lineRule="exact" w:before="7"/>
              <w:ind w:left="351"/>
              <w:rPr>
                <w:sz w:val="18"/>
              </w:rPr>
            </w:pPr>
            <w:r>
              <w:rPr>
                <w:sz w:val="18"/>
              </w:rPr>
              <w:t>Y</w:t>
            </w:r>
          </w:p>
        </w:tc>
        <w:tc>
          <w:tcPr>
            <w:tcW w:w="2496" w:type="dxa"/>
            <w:tcBorders>
              <w:left w:val="single" w:sz="4" w:space="0" w:color="000000"/>
            </w:tcBorders>
          </w:tcPr>
          <w:p>
            <w:pPr>
              <w:pStyle w:val="TableParagraph"/>
              <w:spacing w:line="200" w:lineRule="exact" w:before="6"/>
              <w:ind w:left="519" w:right="399"/>
              <w:rPr>
                <w:b/>
                <w:sz w:val="18"/>
              </w:rPr>
            </w:pPr>
            <w:r>
              <w:rPr>
                <w:b/>
                <w:sz w:val="18"/>
              </w:rPr>
              <w:t>Vizcaya</w:t>
            </w:r>
          </w:p>
        </w:tc>
        <w:tc>
          <w:tcPr>
            <w:tcW w:w="832" w:type="dxa"/>
          </w:tcPr>
          <w:p>
            <w:pPr>
              <w:pStyle w:val="TableParagraph"/>
              <w:spacing w:line="199" w:lineRule="exact" w:before="7"/>
              <w:ind w:left="450"/>
              <w:rPr>
                <w:sz w:val="18"/>
              </w:rPr>
            </w:pPr>
            <w:r>
              <w:rPr>
                <w:sz w:val="18"/>
              </w:rPr>
              <w:t>X</w:t>
            </w:r>
          </w:p>
        </w:tc>
        <w:tc>
          <w:tcPr>
            <w:tcW w:w="1305" w:type="dxa"/>
            <w:gridSpan w:val="2"/>
          </w:tcPr>
          <w:p>
            <w:pPr>
              <w:pStyle w:val="TableParagraph"/>
              <w:spacing w:line="199" w:lineRule="exact" w:before="7"/>
              <w:ind w:left="741"/>
              <w:jc w:val="left"/>
              <w:rPr>
                <w:sz w:val="18"/>
              </w:rPr>
            </w:pPr>
            <w:r>
              <w:rPr>
                <w:sz w:val="18"/>
              </w:rPr>
              <w:t>W</w:t>
            </w:r>
          </w:p>
        </w:tc>
      </w:tr>
      <w:tr>
        <w:trPr>
          <w:trHeight w:val="226" w:hRule="atLeast"/>
        </w:trPr>
        <w:tc>
          <w:tcPr>
            <w:tcW w:w="2025" w:type="dxa"/>
          </w:tcPr>
          <w:p>
            <w:pPr>
              <w:pStyle w:val="TableParagraph"/>
              <w:spacing w:line="200" w:lineRule="exact" w:before="6"/>
              <w:ind w:left="519" w:right="423"/>
              <w:rPr>
                <w:b/>
                <w:sz w:val="18"/>
              </w:rPr>
            </w:pPr>
            <w:r>
              <w:rPr>
                <w:b/>
                <w:sz w:val="18"/>
              </w:rPr>
              <w:t>Huesca</w:t>
            </w:r>
          </w:p>
        </w:tc>
        <w:tc>
          <w:tcPr>
            <w:tcW w:w="882" w:type="dxa"/>
          </w:tcPr>
          <w:p>
            <w:pPr>
              <w:pStyle w:val="TableParagraph"/>
              <w:spacing w:line="199" w:lineRule="exact" w:before="7"/>
              <w:ind w:left="429"/>
              <w:rPr>
                <w:sz w:val="18"/>
              </w:rPr>
            </w:pPr>
            <w:r>
              <w:rPr>
                <w:sz w:val="18"/>
              </w:rPr>
              <w:t>X</w:t>
            </w:r>
          </w:p>
        </w:tc>
        <w:tc>
          <w:tcPr>
            <w:tcW w:w="1433" w:type="dxa"/>
            <w:gridSpan w:val="2"/>
            <w:tcBorders>
              <w:right w:val="single" w:sz="4" w:space="0" w:color="000000"/>
            </w:tcBorders>
          </w:tcPr>
          <w:p>
            <w:pPr>
              <w:pStyle w:val="TableParagraph"/>
              <w:spacing w:line="199" w:lineRule="exact" w:before="7"/>
              <w:ind w:left="804"/>
              <w:jc w:val="left"/>
              <w:rPr>
                <w:sz w:val="18"/>
              </w:rPr>
            </w:pPr>
            <w:r>
              <w:rPr>
                <w:sz w:val="18"/>
              </w:rPr>
              <w:t>W</w:t>
            </w:r>
          </w:p>
        </w:tc>
        <w:tc>
          <w:tcPr>
            <w:tcW w:w="2496" w:type="dxa"/>
            <w:tcBorders>
              <w:left w:val="single" w:sz="4" w:space="0" w:color="000000"/>
            </w:tcBorders>
          </w:tcPr>
          <w:p>
            <w:pPr>
              <w:pStyle w:val="TableParagraph"/>
              <w:spacing w:line="200" w:lineRule="exact" w:before="6"/>
              <w:ind w:left="518" w:right="399"/>
              <w:rPr>
                <w:b/>
                <w:sz w:val="18"/>
              </w:rPr>
            </w:pPr>
            <w:r>
              <w:rPr>
                <w:b/>
                <w:sz w:val="18"/>
              </w:rPr>
              <w:t>Zamora</w:t>
            </w:r>
          </w:p>
        </w:tc>
        <w:tc>
          <w:tcPr>
            <w:tcW w:w="832" w:type="dxa"/>
          </w:tcPr>
          <w:p>
            <w:pPr>
              <w:pStyle w:val="TableParagraph"/>
              <w:spacing w:line="199" w:lineRule="exact" w:before="7"/>
              <w:ind w:left="450"/>
              <w:rPr>
                <w:sz w:val="18"/>
              </w:rPr>
            </w:pPr>
            <w:r>
              <w:rPr>
                <w:sz w:val="18"/>
              </w:rPr>
              <w:t>X</w:t>
            </w:r>
          </w:p>
        </w:tc>
        <w:tc>
          <w:tcPr>
            <w:tcW w:w="1305" w:type="dxa"/>
            <w:gridSpan w:val="2"/>
          </w:tcPr>
          <w:p>
            <w:pPr>
              <w:pStyle w:val="TableParagraph"/>
              <w:spacing w:line="199" w:lineRule="exact" w:before="7"/>
              <w:ind w:left="741"/>
              <w:jc w:val="left"/>
              <w:rPr>
                <w:sz w:val="18"/>
              </w:rPr>
            </w:pPr>
            <w:r>
              <w:rPr>
                <w:sz w:val="18"/>
              </w:rPr>
              <w:t>W</w:t>
            </w:r>
          </w:p>
        </w:tc>
      </w:tr>
    </w:tbl>
    <w:p>
      <w:pPr>
        <w:spacing w:after="0" w:line="199" w:lineRule="exact"/>
        <w:jc w:val="left"/>
        <w:rPr>
          <w:sz w:val="18"/>
        </w:rPr>
        <w:sectPr>
          <w:pgSz w:w="11910" w:h="16840"/>
          <w:pgMar w:header="724" w:footer="636" w:top="1320" w:bottom="820" w:left="1200" w:right="738"/>
        </w:sectPr>
      </w:pPr>
    </w:p>
    <w:p>
      <w:pPr>
        <w:pStyle w:val="BodyText"/>
        <w:spacing w:before="7"/>
        <w:rPr>
          <w:b/>
          <w:i/>
          <w:sz w:val="7"/>
        </w:rPr>
      </w:pPr>
    </w:p>
    <w:p>
      <w:pPr>
        <w:pStyle w:val="BodyText"/>
        <w:ind w:left="679"/>
      </w:pPr>
      <w:r>
        <w:rPr/>
        <w:pict>
          <v:group style="width:449.85pt;height:11.85pt;mso-position-horizontal-relative:char;mso-position-vertical-relative:line" coordorigin="0,0" coordsize="8997,237">
            <v:line style="position:absolute" from="0,232" to="2126,232" stroked="true" strokeweight=".47998pt" strokecolor="#000000">
              <v:stroke dashstyle="solid"/>
            </v:line>
            <v:line style="position:absolute" from="2112,232" to="3254,232" stroked="true" strokeweight=".47998pt" strokecolor="#000000">
              <v:stroke dashstyle="solid"/>
            </v:line>
            <v:line style="position:absolute" from="3240,232" to="4354,232" stroked="true" strokeweight=".47998pt" strokecolor="#000000">
              <v:stroke dashstyle="solid"/>
            </v:line>
            <v:line style="position:absolute" from="4358,0" to="4358,236" stroked="true" strokeweight=".48001pt" strokecolor="#000000">
              <v:stroke dashstyle="solid"/>
            </v:line>
            <v:line style="position:absolute" from="4363,232" to="6964,232" stroked="true" strokeweight=".47998pt" strokecolor="#000000">
              <v:stroke dashstyle="solid"/>
            </v:line>
            <v:line style="position:absolute" from="6949,232" to="8012,232" stroked="true" strokeweight=".47998pt" strokecolor="#000000">
              <v:stroke dashstyle="solid"/>
            </v:line>
            <v:line style="position:absolute" from="7998,232" to="8996,232" stroked="true" strokeweight=".47998pt" strokecolor="#000000">
              <v:stroke dashstyle="solid"/>
            </v:line>
            <v:shape style="position:absolute;left:865;top:12;width:429;height:202" type="#_x0000_t202" filled="false" stroked="false">
              <v:textbox inset="0,0,0,0">
                <w:txbxContent>
                  <w:p>
                    <w:pPr>
                      <w:spacing w:line="201" w:lineRule="exact" w:before="0"/>
                      <w:ind w:left="0" w:right="0" w:firstLine="0"/>
                      <w:jc w:val="left"/>
                      <w:rPr>
                        <w:b/>
                        <w:sz w:val="18"/>
                      </w:rPr>
                    </w:pPr>
                    <w:r>
                      <w:rPr>
                        <w:b/>
                        <w:sz w:val="18"/>
                      </w:rPr>
                      <w:t>Jaén</w:t>
                    </w:r>
                  </w:p>
                </w:txbxContent>
              </v:textbox>
              <w10:wrap type="none"/>
            </v:shape>
            <v:shape style="position:absolute;left:2635;top:13;width:130;height:202" type="#_x0000_t202" filled="false" stroked="false">
              <v:textbox inset="0,0,0,0">
                <w:txbxContent>
                  <w:p>
                    <w:pPr>
                      <w:spacing w:line="201" w:lineRule="exact" w:before="0"/>
                      <w:ind w:left="0" w:right="0" w:firstLine="0"/>
                      <w:jc w:val="left"/>
                      <w:rPr>
                        <w:sz w:val="18"/>
                      </w:rPr>
                    </w:pPr>
                    <w:r>
                      <w:rPr>
                        <w:sz w:val="18"/>
                      </w:rPr>
                      <w:t>Z</w:t>
                    </w:r>
                  </w:p>
                </w:txbxContent>
              </v:textbox>
              <w10:wrap type="none"/>
            </v:shape>
            <v:shape style="position:absolute;left:3746;top:13;width:141;height:202" type="#_x0000_t202" filled="false" stroked="false">
              <v:textbox inset="0,0,0,0">
                <w:txbxContent>
                  <w:p>
                    <w:pPr>
                      <w:spacing w:line="201" w:lineRule="exact" w:before="0"/>
                      <w:ind w:left="0" w:right="0" w:firstLine="0"/>
                      <w:jc w:val="left"/>
                      <w:rPr>
                        <w:sz w:val="18"/>
                      </w:rPr>
                    </w:pPr>
                    <w:r>
                      <w:rPr>
                        <w:sz w:val="18"/>
                      </w:rPr>
                      <w:t>Y</w:t>
                    </w:r>
                  </w:p>
                </w:txbxContent>
              </v:textbox>
              <w10:wrap type="none"/>
            </v:shape>
            <v:shape style="position:absolute;left:5265;top:12;width:811;height:202" type="#_x0000_t202" filled="false" stroked="false">
              <v:textbox inset="0,0,0,0">
                <w:txbxContent>
                  <w:p>
                    <w:pPr>
                      <w:spacing w:line="201" w:lineRule="exact" w:before="0"/>
                      <w:ind w:left="0" w:right="0" w:firstLine="0"/>
                      <w:jc w:val="left"/>
                      <w:rPr>
                        <w:b/>
                        <w:sz w:val="18"/>
                      </w:rPr>
                    </w:pPr>
                    <w:r>
                      <w:rPr>
                        <w:b/>
                        <w:sz w:val="18"/>
                      </w:rPr>
                      <w:t>Zaragoza</w:t>
                    </w:r>
                  </w:p>
                </w:txbxContent>
              </v:textbox>
              <w10:wrap type="none"/>
            </v:shape>
            <v:shape style="position:absolute;left:7426;top:13;width:141;height:202" type="#_x0000_t202" filled="false" stroked="false">
              <v:textbox inset="0,0,0,0">
                <w:txbxContent>
                  <w:p>
                    <w:pPr>
                      <w:spacing w:line="201" w:lineRule="exact" w:before="0"/>
                      <w:ind w:left="0" w:right="0" w:firstLine="0"/>
                      <w:jc w:val="left"/>
                      <w:rPr>
                        <w:sz w:val="18"/>
                      </w:rPr>
                    </w:pPr>
                    <w:r>
                      <w:rPr>
                        <w:sz w:val="18"/>
                      </w:rPr>
                      <w:t>Y</w:t>
                    </w:r>
                  </w:p>
                </w:txbxContent>
              </v:textbox>
              <w10:wrap type="none"/>
            </v:shape>
            <v:shape style="position:absolute;left:8444;top:13;width:141;height:202" type="#_x0000_t202" filled="false" stroked="false">
              <v:textbox inset="0,0,0,0">
                <w:txbxContent>
                  <w:p>
                    <w:pPr>
                      <w:spacing w:line="201" w:lineRule="exact" w:before="0"/>
                      <w:ind w:left="0" w:right="0" w:firstLine="0"/>
                      <w:jc w:val="left"/>
                      <w:rPr>
                        <w:sz w:val="18"/>
                      </w:rPr>
                    </w:pPr>
                    <w:r>
                      <w:rPr>
                        <w:sz w:val="18"/>
                      </w:rPr>
                      <w:t>X</w:t>
                    </w:r>
                  </w:p>
                </w:txbxContent>
              </v:textbox>
              <w10:wrap type="none"/>
            </v:shape>
          </v:group>
        </w:pict>
      </w:r>
      <w:r>
        <w:rPr/>
      </w:r>
    </w:p>
    <w:p>
      <w:pPr>
        <w:pStyle w:val="BodyText"/>
        <w:spacing w:before="5"/>
        <w:rPr>
          <w:b/>
          <w:i/>
          <w:sz w:val="13"/>
        </w:rPr>
      </w:pPr>
    </w:p>
    <w:p>
      <w:pPr>
        <w:pStyle w:val="ListParagraph"/>
        <w:numPr>
          <w:ilvl w:val="0"/>
          <w:numId w:val="137"/>
        </w:numPr>
        <w:tabs>
          <w:tab w:pos="579" w:val="left" w:leader="none"/>
        </w:tabs>
        <w:spacing w:line="240" w:lineRule="auto" w:before="94" w:after="0"/>
        <w:ind w:left="576" w:right="392" w:hanging="358"/>
        <w:jc w:val="both"/>
        <w:rPr>
          <w:sz w:val="20"/>
        </w:rPr>
      </w:pPr>
      <w:r>
        <w:rPr>
          <w:sz w:val="20"/>
        </w:rPr>
        <w:t>La sección de cada ramal debe ser, como mínimo, igual a la mitad de la del conducto colectivo al que vierte.</w:t>
      </w:r>
    </w:p>
    <w:p>
      <w:pPr>
        <w:pStyle w:val="BodyText"/>
        <w:spacing w:before="8"/>
        <w:rPr>
          <w:sz w:val="22"/>
        </w:rPr>
      </w:pPr>
    </w:p>
    <w:p>
      <w:pPr>
        <w:pStyle w:val="ListParagraph"/>
        <w:numPr>
          <w:ilvl w:val="2"/>
          <w:numId w:val="134"/>
        </w:numPr>
        <w:tabs>
          <w:tab w:pos="939" w:val="left" w:leader="none"/>
        </w:tabs>
        <w:spacing w:line="240" w:lineRule="auto" w:before="0" w:after="0"/>
        <w:ind w:left="938" w:right="0" w:hanging="721"/>
        <w:jc w:val="both"/>
        <w:rPr>
          <w:b/>
          <w:sz w:val="20"/>
        </w:rPr>
      </w:pPr>
      <w:r>
        <w:rPr>
          <w:b/>
          <w:i/>
          <w:sz w:val="20"/>
        </w:rPr>
        <w:t>Conductos de extracción </w:t>
      </w:r>
      <w:r>
        <w:rPr>
          <w:b/>
          <w:sz w:val="20"/>
        </w:rPr>
        <w:t>para ventilación</w:t>
      </w:r>
      <w:r>
        <w:rPr>
          <w:b/>
          <w:spacing w:val="-6"/>
          <w:sz w:val="20"/>
        </w:rPr>
        <w:t> </w:t>
      </w:r>
      <w:r>
        <w:rPr>
          <w:b/>
          <w:sz w:val="20"/>
        </w:rPr>
        <w:t>mecánica</w:t>
      </w:r>
    </w:p>
    <w:p>
      <w:pPr>
        <w:pStyle w:val="ListParagraph"/>
        <w:numPr>
          <w:ilvl w:val="0"/>
          <w:numId w:val="138"/>
        </w:numPr>
        <w:tabs>
          <w:tab w:pos="579" w:val="left" w:leader="none"/>
        </w:tabs>
        <w:spacing w:line="240" w:lineRule="auto" w:before="99" w:after="0"/>
        <w:ind w:left="575" w:right="390" w:hanging="358"/>
        <w:jc w:val="both"/>
        <w:rPr>
          <w:sz w:val="20"/>
        </w:rPr>
      </w:pPr>
      <w:r>
        <w:rPr>
          <w:sz w:val="20"/>
        </w:rPr>
        <w:t>Cuando los conductos se dispongan contiguos a un </w:t>
      </w:r>
      <w:r>
        <w:rPr>
          <w:i/>
          <w:sz w:val="20"/>
        </w:rPr>
        <w:t>local habitable</w:t>
      </w:r>
      <w:r>
        <w:rPr>
          <w:sz w:val="20"/>
        </w:rPr>
        <w:t>, salvo que estén en cubierta o en locales de instalaciones o en patinillos que cumplan las condiciones que establece el DB HR, la sec- ción nominal de cada tramo del </w:t>
      </w:r>
      <w:r>
        <w:rPr>
          <w:i/>
          <w:sz w:val="20"/>
        </w:rPr>
        <w:t>conducto de extracción </w:t>
      </w:r>
      <w:r>
        <w:rPr>
          <w:sz w:val="20"/>
        </w:rPr>
        <w:t>debe ser como mínimo igual a la obtenida mediante la fórmula</w:t>
      </w:r>
      <w:r>
        <w:rPr>
          <w:spacing w:val="-3"/>
          <w:sz w:val="20"/>
        </w:rPr>
        <w:t> </w:t>
      </w:r>
      <w:r>
        <w:rPr>
          <w:sz w:val="20"/>
        </w:rPr>
        <w:t>4.1:</w:t>
      </w:r>
    </w:p>
    <w:p>
      <w:pPr>
        <w:spacing w:after="0" w:line="240" w:lineRule="auto"/>
        <w:jc w:val="both"/>
        <w:rPr>
          <w:sz w:val="20"/>
        </w:rPr>
        <w:sectPr>
          <w:pgSz w:w="11910" w:h="16840"/>
          <w:pgMar w:header="724" w:footer="636" w:top="1320" w:bottom="820" w:left="1200" w:right="738"/>
        </w:sectPr>
      </w:pPr>
    </w:p>
    <w:p>
      <w:pPr>
        <w:spacing w:before="61"/>
        <w:ind w:left="882" w:right="0" w:firstLine="0"/>
        <w:jc w:val="left"/>
        <w:rPr>
          <w:rFonts w:ascii="Times New Roman" w:hAnsi="Times New Roman"/>
          <w:i/>
          <w:sz w:val="14"/>
        </w:rPr>
      </w:pPr>
      <w:r>
        <w:rPr/>
        <w:pict>
          <v:line style="position:absolute;mso-position-horizontal-relative:page;mso-position-vertical-relative:paragraph;z-index:251936768" from="152.520004pt,24.114727pt" to="152.520004pt,39.354727pt" stroked="true" strokeweight=".48pt" strokecolor="#000000">
            <v:stroke dashstyle="solid"/>
            <w10:wrap type="none"/>
          </v:line>
        </w:pict>
      </w:r>
      <w:r>
        <w:rPr>
          <w:rFonts w:ascii="Times New Roman" w:hAnsi="Times New Roman"/>
          <w:i/>
          <w:sz w:val="24"/>
        </w:rPr>
        <w:t>S </w:t>
      </w:r>
      <w:r>
        <w:rPr>
          <w:rFonts w:ascii="Symbol" w:hAnsi="Symbol"/>
          <w:sz w:val="24"/>
        </w:rPr>
        <w:t></w:t>
      </w:r>
      <w:r>
        <w:rPr>
          <w:rFonts w:ascii="Times New Roman" w:hAnsi="Times New Roman"/>
          <w:sz w:val="24"/>
        </w:rPr>
        <w:t> </w:t>
      </w:r>
      <w:r>
        <w:rPr>
          <w:rFonts w:ascii="Times New Roman" w:hAnsi="Times New Roman"/>
          <w:spacing w:val="-3"/>
          <w:sz w:val="24"/>
        </w:rPr>
        <w:t>2,5 </w:t>
      </w:r>
      <w:r>
        <w:rPr>
          <w:rFonts w:ascii="Symbol" w:hAnsi="Symbol"/>
          <w:sz w:val="24"/>
        </w:rPr>
        <w:t></w:t>
      </w:r>
      <w:r>
        <w:rPr>
          <w:rFonts w:ascii="Times New Roman" w:hAnsi="Times New Roman"/>
          <w:spacing w:val="-37"/>
          <w:sz w:val="24"/>
        </w:rPr>
        <w:t> </w:t>
      </w:r>
      <w:r>
        <w:rPr>
          <w:rFonts w:ascii="Times New Roman" w:hAnsi="Times New Roman"/>
          <w:i/>
          <w:spacing w:val="-6"/>
          <w:sz w:val="24"/>
        </w:rPr>
        <w:t>q</w:t>
      </w:r>
      <w:r>
        <w:rPr>
          <w:rFonts w:ascii="Times New Roman" w:hAnsi="Times New Roman"/>
          <w:i/>
          <w:spacing w:val="-6"/>
          <w:position w:val="-5"/>
          <w:sz w:val="14"/>
        </w:rPr>
        <w:t>vt</w:t>
      </w:r>
    </w:p>
    <w:p>
      <w:pPr>
        <w:pStyle w:val="BodyText"/>
        <w:spacing w:before="114"/>
        <w:ind w:left="142"/>
      </w:pPr>
      <w:r>
        <w:rPr/>
        <w:br w:type="column"/>
      </w:r>
      <w:r>
        <w:rPr/>
        <w:t>(4.1)</w:t>
      </w:r>
    </w:p>
    <w:p>
      <w:pPr>
        <w:spacing w:before="192"/>
        <w:ind w:left="10" w:right="0" w:firstLine="0"/>
        <w:jc w:val="left"/>
        <w:rPr>
          <w:sz w:val="16"/>
        </w:rPr>
      </w:pPr>
      <w:r>
        <w:rPr>
          <w:sz w:val="16"/>
        </w:rPr>
        <w:t>Según el apéndice B “Notación” la sección del conducto se expresa en cm</w:t>
      </w:r>
      <w:r>
        <w:rPr>
          <w:position w:val="6"/>
          <w:sz w:val="10"/>
        </w:rPr>
        <w:t>2</w:t>
      </w:r>
      <w:r>
        <w:rPr>
          <w:sz w:val="16"/>
        </w:rPr>
        <w:t>.</w:t>
      </w:r>
    </w:p>
    <w:p>
      <w:pPr>
        <w:spacing w:after="0"/>
        <w:jc w:val="left"/>
        <w:rPr>
          <w:sz w:val="16"/>
        </w:rPr>
        <w:sectPr>
          <w:type w:val="continuous"/>
          <w:pgSz w:w="11910" w:h="16840"/>
          <w:pgMar w:top="1580" w:bottom="280" w:left="1200" w:right="738"/>
          <w:cols w:num="2" w:equalWidth="0">
            <w:col w:w="1909" w:space="40"/>
            <w:col w:w="8023"/>
          </w:cols>
        </w:sectPr>
      </w:pPr>
    </w:p>
    <w:p>
      <w:pPr>
        <w:pStyle w:val="BodyText"/>
        <w:spacing w:before="3"/>
        <w:rPr>
          <w:sz w:val="22"/>
        </w:rPr>
      </w:pPr>
    </w:p>
    <w:p>
      <w:pPr>
        <w:pStyle w:val="BodyText"/>
        <w:spacing w:before="94"/>
        <w:ind w:left="602"/>
      </w:pPr>
      <w:r>
        <w:rPr/>
        <w:t>siendo</w:t>
      </w:r>
    </w:p>
    <w:p>
      <w:pPr>
        <w:pStyle w:val="BodyText"/>
        <w:tabs>
          <w:tab w:pos="1466" w:val="left" w:leader="none"/>
        </w:tabs>
        <w:spacing w:before="60"/>
        <w:ind w:left="938" w:right="418"/>
      </w:pPr>
      <w:r>
        <w:rPr>
          <w:position w:val="1"/>
        </w:rPr>
        <w:t>q</w:t>
      </w:r>
      <w:r>
        <w:rPr>
          <w:sz w:val="13"/>
        </w:rPr>
        <w:t>vt</w:t>
        <w:tab/>
      </w:r>
      <w:r>
        <w:rPr>
          <w:position w:val="1"/>
        </w:rPr>
        <w:t>el caudal de aire en el tramo del conducto [l/s], que es igual a la suma de todos los cauda- </w:t>
      </w:r>
      <w:r>
        <w:rPr/>
        <w:t>les que pasan por las </w:t>
      </w:r>
      <w:r>
        <w:rPr>
          <w:i/>
        </w:rPr>
        <w:t>aberturas de extracción </w:t>
      </w:r>
      <w:r>
        <w:rPr/>
        <w:t>que vierten al</w:t>
      </w:r>
      <w:r>
        <w:rPr>
          <w:spacing w:val="-8"/>
        </w:rPr>
        <w:t> </w:t>
      </w:r>
      <w:r>
        <w:rPr/>
        <w:t>tramo.</w:t>
      </w:r>
    </w:p>
    <w:p>
      <w:pPr>
        <w:pStyle w:val="ListParagraph"/>
        <w:numPr>
          <w:ilvl w:val="0"/>
          <w:numId w:val="138"/>
        </w:numPr>
        <w:tabs>
          <w:tab w:pos="578" w:val="left" w:leader="none"/>
          <w:tab w:pos="579" w:val="left" w:leader="none"/>
        </w:tabs>
        <w:spacing w:line="240" w:lineRule="auto" w:before="60" w:after="0"/>
        <w:ind w:left="575" w:right="393" w:hanging="358"/>
        <w:jc w:val="left"/>
        <w:rPr>
          <w:sz w:val="20"/>
        </w:rPr>
      </w:pPr>
      <w:r>
        <w:rPr>
          <w:sz w:val="20"/>
        </w:rPr>
        <w:t>Cuando los conductos se dispongan en la cubierta, la sección debe ser como mínimo igual a la obte- nida mediante la</w:t>
      </w:r>
      <w:r>
        <w:rPr>
          <w:spacing w:val="-1"/>
          <w:sz w:val="20"/>
        </w:rPr>
        <w:t> </w:t>
      </w:r>
      <w:r>
        <w:rPr>
          <w:sz w:val="20"/>
        </w:rPr>
        <w:t>fórmula</w:t>
      </w:r>
    </w:p>
    <w:p>
      <w:pPr>
        <w:spacing w:after="0" w:line="240" w:lineRule="auto"/>
        <w:jc w:val="left"/>
        <w:rPr>
          <w:sz w:val="20"/>
        </w:rPr>
        <w:sectPr>
          <w:type w:val="continuous"/>
          <w:pgSz w:w="11910" w:h="16840"/>
          <w:pgMar w:top="1580" w:bottom="280" w:left="1200" w:right="738"/>
        </w:sectPr>
      </w:pPr>
    </w:p>
    <w:p>
      <w:pPr>
        <w:spacing w:before="62"/>
        <w:ind w:left="642" w:right="0" w:firstLine="0"/>
        <w:jc w:val="left"/>
        <w:rPr>
          <w:rFonts w:ascii="Times New Roman" w:hAnsi="Times New Roman"/>
          <w:i/>
          <w:sz w:val="14"/>
        </w:rPr>
      </w:pPr>
      <w:r>
        <w:rPr>
          <w:rFonts w:ascii="Times New Roman" w:hAnsi="Times New Roman"/>
          <w:i/>
          <w:sz w:val="24"/>
        </w:rPr>
        <w:t>S</w:t>
      </w:r>
      <w:r>
        <w:rPr>
          <w:rFonts w:ascii="Times New Roman" w:hAnsi="Times New Roman"/>
          <w:i/>
          <w:spacing w:val="15"/>
          <w:sz w:val="24"/>
        </w:rPr>
        <w:t> </w:t>
      </w:r>
      <w:r>
        <w:rPr>
          <w:rFonts w:ascii="Symbol" w:hAnsi="Symbol"/>
          <w:sz w:val="24"/>
        </w:rPr>
        <w:t></w:t>
      </w:r>
      <w:r>
        <w:rPr>
          <w:rFonts w:ascii="Times New Roman" w:hAnsi="Times New Roman"/>
          <w:spacing w:val="-27"/>
          <w:sz w:val="24"/>
        </w:rPr>
        <w:t> </w:t>
      </w:r>
      <w:r>
        <w:rPr>
          <w:rFonts w:ascii="Times New Roman" w:hAnsi="Times New Roman"/>
          <w:spacing w:val="-9"/>
          <w:sz w:val="24"/>
        </w:rPr>
        <w:t>1,5</w:t>
      </w:r>
      <w:r>
        <w:rPr>
          <w:rFonts w:ascii="Times New Roman" w:hAnsi="Times New Roman"/>
          <w:spacing w:val="-32"/>
          <w:sz w:val="24"/>
        </w:rPr>
        <w:t> </w:t>
      </w:r>
      <w:r>
        <w:rPr>
          <w:rFonts w:ascii="Symbol" w:hAnsi="Symbol"/>
          <w:sz w:val="24"/>
        </w:rPr>
        <w:t></w:t>
      </w:r>
      <w:r>
        <w:rPr>
          <w:rFonts w:ascii="Times New Roman" w:hAnsi="Times New Roman"/>
          <w:spacing w:val="-23"/>
          <w:sz w:val="24"/>
        </w:rPr>
        <w:t> </w:t>
      </w:r>
      <w:r>
        <w:rPr>
          <w:rFonts w:ascii="Times New Roman" w:hAnsi="Times New Roman"/>
          <w:i/>
          <w:spacing w:val="-6"/>
          <w:sz w:val="24"/>
        </w:rPr>
        <w:t>q</w:t>
      </w:r>
      <w:r>
        <w:rPr>
          <w:rFonts w:ascii="Times New Roman" w:hAnsi="Times New Roman"/>
          <w:i/>
          <w:spacing w:val="-6"/>
          <w:position w:val="-5"/>
          <w:sz w:val="14"/>
        </w:rPr>
        <w:t>vt</w:t>
      </w:r>
    </w:p>
    <w:p>
      <w:pPr>
        <w:pStyle w:val="BodyText"/>
        <w:spacing w:before="116"/>
        <w:ind w:left="426"/>
      </w:pPr>
      <w:r>
        <w:rPr/>
        <w:br w:type="column"/>
      </w:r>
      <w:r>
        <w:rPr/>
        <w:t>(4.2)</w:t>
      </w:r>
    </w:p>
    <w:p>
      <w:pPr>
        <w:spacing w:after="0"/>
        <w:sectPr>
          <w:type w:val="continuous"/>
          <w:pgSz w:w="11910" w:h="16840"/>
          <w:pgMar w:top="1580" w:bottom="280" w:left="1200" w:right="738"/>
          <w:cols w:num="2" w:equalWidth="0">
            <w:col w:w="1624" w:space="40"/>
            <w:col w:w="8308"/>
          </w:cols>
        </w:sectPr>
      </w:pPr>
    </w:p>
    <w:p>
      <w:pPr>
        <w:pStyle w:val="BodyText"/>
        <w:rPr>
          <w:sz w:val="24"/>
        </w:rPr>
      </w:pPr>
    </w:p>
    <w:p>
      <w:pPr>
        <w:pStyle w:val="Heading4"/>
        <w:numPr>
          <w:ilvl w:val="1"/>
          <w:numId w:val="134"/>
        </w:numPr>
        <w:tabs>
          <w:tab w:pos="672" w:val="left" w:leader="none"/>
        </w:tabs>
        <w:spacing w:line="240" w:lineRule="auto" w:before="93" w:after="0"/>
        <w:ind w:left="672" w:right="0" w:hanging="454"/>
        <w:jc w:val="left"/>
        <w:rPr>
          <w:i/>
        </w:rPr>
      </w:pPr>
      <w:r>
        <w:rPr>
          <w:i/>
        </w:rPr>
        <w:t>Aspiradores híbridos, aspiradores mecánicos </w:t>
      </w:r>
      <w:r>
        <w:rPr>
          <w:i w:val="0"/>
        </w:rPr>
        <w:t>y</w:t>
      </w:r>
      <w:r>
        <w:rPr>
          <w:i w:val="0"/>
          <w:spacing w:val="-8"/>
        </w:rPr>
        <w:t> </w:t>
      </w:r>
      <w:r>
        <w:rPr>
          <w:i/>
        </w:rPr>
        <w:t>extractores</w:t>
      </w:r>
    </w:p>
    <w:p>
      <w:pPr>
        <w:pStyle w:val="ListParagraph"/>
        <w:numPr>
          <w:ilvl w:val="0"/>
          <w:numId w:val="139"/>
        </w:numPr>
        <w:tabs>
          <w:tab w:pos="578" w:val="left" w:leader="none"/>
          <w:tab w:pos="579" w:val="left" w:leader="none"/>
        </w:tabs>
        <w:spacing w:line="240" w:lineRule="auto" w:before="97" w:after="0"/>
        <w:ind w:left="575" w:right="389" w:hanging="358"/>
        <w:jc w:val="left"/>
        <w:rPr>
          <w:sz w:val="20"/>
        </w:rPr>
      </w:pPr>
      <w:r>
        <w:rPr>
          <w:sz w:val="20"/>
        </w:rPr>
        <w:t>Deben dimensionarse de acuerdo con el caudal extraído y para una depresión suficiente para contra- rrestar las pérdidas de presión previstas del</w:t>
      </w:r>
      <w:r>
        <w:rPr>
          <w:spacing w:val="-3"/>
          <w:sz w:val="20"/>
        </w:rPr>
        <w:t> </w:t>
      </w:r>
      <w:r>
        <w:rPr>
          <w:sz w:val="20"/>
        </w:rPr>
        <w:t>sistema.</w:t>
      </w:r>
    </w:p>
    <w:p>
      <w:pPr>
        <w:pStyle w:val="ListParagraph"/>
        <w:numPr>
          <w:ilvl w:val="0"/>
          <w:numId w:val="139"/>
        </w:numPr>
        <w:tabs>
          <w:tab w:pos="578" w:val="left" w:leader="none"/>
          <w:tab w:pos="579" w:val="left" w:leader="none"/>
        </w:tabs>
        <w:spacing w:line="240" w:lineRule="auto" w:before="61" w:after="0"/>
        <w:ind w:left="576" w:right="392" w:hanging="358"/>
        <w:jc w:val="left"/>
        <w:rPr>
          <w:sz w:val="20"/>
        </w:rPr>
      </w:pPr>
      <w:r>
        <w:rPr>
          <w:sz w:val="20"/>
        </w:rPr>
        <w:t>Los </w:t>
      </w:r>
      <w:r>
        <w:rPr>
          <w:i/>
          <w:sz w:val="20"/>
        </w:rPr>
        <w:t>extractores </w:t>
      </w:r>
      <w:r>
        <w:rPr>
          <w:sz w:val="20"/>
        </w:rPr>
        <w:t>del sistema adicional de la cocina deben dimensionarse de acuerdo con el caudal mínimo para la cocina indicado en el apartado</w:t>
      </w:r>
      <w:r>
        <w:rPr>
          <w:spacing w:val="-10"/>
          <w:sz w:val="20"/>
        </w:rPr>
        <w:t> </w:t>
      </w:r>
      <w:r>
        <w:rPr>
          <w:sz w:val="20"/>
        </w:rPr>
        <w:t>2.</w:t>
      </w:r>
    </w:p>
    <w:p>
      <w:pPr>
        <w:pStyle w:val="BodyText"/>
        <w:spacing w:before="8"/>
        <w:rPr>
          <w:sz w:val="29"/>
        </w:rPr>
      </w:pPr>
    </w:p>
    <w:p>
      <w:pPr>
        <w:pStyle w:val="Heading3"/>
        <w:numPr>
          <w:ilvl w:val="1"/>
          <w:numId w:val="134"/>
        </w:numPr>
        <w:tabs>
          <w:tab w:pos="672" w:val="left" w:leader="none"/>
        </w:tabs>
        <w:spacing w:line="240" w:lineRule="auto" w:before="0" w:after="0"/>
        <w:ind w:left="671" w:right="0" w:hanging="454"/>
        <w:jc w:val="left"/>
      </w:pPr>
      <w:r>
        <w:rPr/>
        <w:t>Ventanas y puertas exteriores</w:t>
      </w:r>
    </w:p>
    <w:p>
      <w:pPr>
        <w:pStyle w:val="BodyText"/>
        <w:tabs>
          <w:tab w:pos="578" w:val="left" w:leader="none"/>
        </w:tabs>
        <w:spacing w:before="97"/>
        <w:ind w:left="576" w:right="418" w:hanging="358"/>
      </w:pPr>
      <w:r>
        <w:rPr/>
        <w:t>1</w:t>
        <w:tab/>
        <w:tab/>
        <w:t>La superficie total practicable de las ventanas y puertas exteriores de cada </w:t>
      </w:r>
      <w:r>
        <w:rPr>
          <w:i/>
        </w:rPr>
        <w:t>local </w:t>
      </w:r>
      <w:r>
        <w:rPr/>
        <w:t>debe ser como mí- nimo un veinteavo de la superficie útil del</w:t>
      </w:r>
      <w:r>
        <w:rPr>
          <w:spacing w:val="-7"/>
        </w:rPr>
        <w:t> </w:t>
      </w:r>
      <w:r>
        <w:rPr/>
        <w:t>mismo.</w:t>
      </w:r>
    </w:p>
    <w:p>
      <w:pPr>
        <w:pStyle w:val="BodyText"/>
        <w:rPr>
          <w:sz w:val="22"/>
        </w:rPr>
      </w:pPr>
    </w:p>
    <w:p>
      <w:pPr>
        <w:pStyle w:val="BodyText"/>
        <w:spacing w:before="2"/>
        <w:rPr>
          <w:sz w:val="25"/>
        </w:rPr>
      </w:pPr>
    </w:p>
    <w:p>
      <w:pPr>
        <w:pStyle w:val="Heading2"/>
        <w:numPr>
          <w:ilvl w:val="0"/>
          <w:numId w:val="140"/>
        </w:numPr>
        <w:tabs>
          <w:tab w:pos="842" w:val="left" w:leader="none"/>
          <w:tab w:pos="843" w:val="left" w:leader="none"/>
        </w:tabs>
        <w:spacing w:line="240" w:lineRule="auto" w:before="1" w:after="0"/>
        <w:ind w:left="842" w:right="0" w:hanging="625"/>
        <w:jc w:val="left"/>
      </w:pPr>
      <w:r>
        <w:rPr/>
        <w:t>Productos de</w:t>
      </w:r>
      <w:r>
        <w:rPr>
          <w:spacing w:val="-1"/>
        </w:rPr>
        <w:t> </w:t>
      </w:r>
      <w:r>
        <w:rPr/>
        <w:t>construcción</w:t>
      </w:r>
    </w:p>
    <w:p>
      <w:pPr>
        <w:pStyle w:val="BodyText"/>
        <w:spacing w:before="2"/>
        <w:rPr>
          <w:b/>
          <w:sz w:val="38"/>
        </w:rPr>
      </w:pPr>
    </w:p>
    <w:p>
      <w:pPr>
        <w:pStyle w:val="Heading3"/>
        <w:numPr>
          <w:ilvl w:val="1"/>
          <w:numId w:val="140"/>
        </w:numPr>
        <w:tabs>
          <w:tab w:pos="672" w:val="left" w:leader="none"/>
        </w:tabs>
        <w:spacing w:line="240" w:lineRule="auto" w:before="0" w:after="0"/>
        <w:ind w:left="671" w:right="0" w:hanging="454"/>
        <w:jc w:val="left"/>
      </w:pPr>
      <w:r>
        <w:rPr/>
        <w:t>Características exigibles a los</w:t>
      </w:r>
      <w:r>
        <w:rPr>
          <w:spacing w:val="-5"/>
        </w:rPr>
        <w:t> </w:t>
      </w:r>
      <w:r>
        <w:rPr/>
        <w:t>productos</w:t>
      </w:r>
    </w:p>
    <w:p>
      <w:pPr>
        <w:pStyle w:val="ListParagraph"/>
        <w:numPr>
          <w:ilvl w:val="0"/>
          <w:numId w:val="141"/>
        </w:numPr>
        <w:tabs>
          <w:tab w:pos="578" w:val="left" w:leader="none"/>
          <w:tab w:pos="579" w:val="left" w:leader="none"/>
        </w:tabs>
        <w:spacing w:line="240" w:lineRule="auto" w:before="98" w:after="0"/>
        <w:ind w:left="575" w:right="391" w:hanging="358"/>
        <w:jc w:val="left"/>
        <w:rPr>
          <w:sz w:val="20"/>
        </w:rPr>
      </w:pPr>
      <w:r>
        <w:rPr>
          <w:sz w:val="20"/>
        </w:rPr>
        <w:t>De forma general, todos los materiales que se vayan a utilizar en los sistemas de ventilación deben cumplir las siguientes</w:t>
      </w:r>
      <w:r>
        <w:rPr>
          <w:spacing w:val="-1"/>
          <w:sz w:val="20"/>
        </w:rPr>
        <w:t> </w:t>
      </w:r>
      <w:r>
        <w:rPr>
          <w:sz w:val="20"/>
        </w:rPr>
        <w:t>condiciones:</w:t>
      </w:r>
    </w:p>
    <w:p>
      <w:pPr>
        <w:pStyle w:val="ListParagraph"/>
        <w:numPr>
          <w:ilvl w:val="1"/>
          <w:numId w:val="141"/>
        </w:numPr>
        <w:tabs>
          <w:tab w:pos="939" w:val="left" w:leader="none"/>
        </w:tabs>
        <w:spacing w:line="240" w:lineRule="auto" w:before="60" w:after="0"/>
        <w:ind w:left="938" w:right="0" w:hanging="364"/>
        <w:jc w:val="left"/>
        <w:rPr>
          <w:sz w:val="20"/>
        </w:rPr>
      </w:pPr>
      <w:r>
        <w:rPr>
          <w:sz w:val="20"/>
        </w:rPr>
        <w:t>lo especificado en los apartados</w:t>
      </w:r>
      <w:r>
        <w:rPr>
          <w:spacing w:val="-1"/>
          <w:sz w:val="20"/>
        </w:rPr>
        <w:t> </w:t>
      </w:r>
      <w:r>
        <w:rPr>
          <w:sz w:val="20"/>
        </w:rPr>
        <w:t>anteriores;</w:t>
      </w:r>
    </w:p>
    <w:p>
      <w:pPr>
        <w:pStyle w:val="ListParagraph"/>
        <w:numPr>
          <w:ilvl w:val="1"/>
          <w:numId w:val="141"/>
        </w:numPr>
        <w:tabs>
          <w:tab w:pos="939" w:val="left" w:leader="none"/>
        </w:tabs>
        <w:spacing w:line="240" w:lineRule="auto" w:before="61" w:after="0"/>
        <w:ind w:left="938" w:right="0" w:hanging="364"/>
        <w:jc w:val="left"/>
        <w:rPr>
          <w:sz w:val="20"/>
        </w:rPr>
      </w:pPr>
      <w:r>
        <w:rPr>
          <w:sz w:val="20"/>
        </w:rPr>
        <w:t>lo especificado en la legislación</w:t>
      </w:r>
      <w:r>
        <w:rPr>
          <w:spacing w:val="-2"/>
          <w:sz w:val="20"/>
        </w:rPr>
        <w:t> </w:t>
      </w:r>
      <w:r>
        <w:rPr>
          <w:sz w:val="20"/>
        </w:rPr>
        <w:t>vigente;</w:t>
      </w:r>
    </w:p>
    <w:p>
      <w:pPr>
        <w:pStyle w:val="ListParagraph"/>
        <w:numPr>
          <w:ilvl w:val="1"/>
          <w:numId w:val="141"/>
        </w:numPr>
        <w:tabs>
          <w:tab w:pos="939" w:val="left" w:leader="none"/>
        </w:tabs>
        <w:spacing w:line="240" w:lineRule="auto" w:before="60" w:after="0"/>
        <w:ind w:left="938" w:right="0" w:hanging="364"/>
        <w:jc w:val="left"/>
        <w:rPr>
          <w:sz w:val="20"/>
        </w:rPr>
      </w:pPr>
      <w:r>
        <w:rPr>
          <w:sz w:val="20"/>
        </w:rPr>
        <w:t>que sean capaces de funcionar eficazmente en las condiciones previstas de</w:t>
      </w:r>
      <w:r>
        <w:rPr>
          <w:spacing w:val="-11"/>
          <w:sz w:val="20"/>
        </w:rPr>
        <w:t> </w:t>
      </w:r>
      <w:r>
        <w:rPr>
          <w:sz w:val="20"/>
        </w:rPr>
        <w:t>servicio.</w:t>
      </w:r>
    </w:p>
    <w:p>
      <w:pPr>
        <w:pStyle w:val="ListParagraph"/>
        <w:numPr>
          <w:ilvl w:val="0"/>
          <w:numId w:val="141"/>
        </w:numPr>
        <w:tabs>
          <w:tab w:pos="578" w:val="left" w:leader="none"/>
          <w:tab w:pos="579" w:val="left" w:leader="none"/>
        </w:tabs>
        <w:spacing w:line="240" w:lineRule="auto" w:before="59" w:after="0"/>
        <w:ind w:left="575" w:right="392" w:hanging="358"/>
        <w:jc w:val="left"/>
        <w:rPr>
          <w:sz w:val="20"/>
        </w:rPr>
      </w:pPr>
      <w:r>
        <w:rPr>
          <w:sz w:val="20"/>
        </w:rPr>
        <w:t>Se consideran aceptables los conductos de chapa fabricados de acuerdo con las condiciones de la norma UNE 100</w:t>
      </w:r>
      <w:r>
        <w:rPr>
          <w:spacing w:val="-1"/>
          <w:sz w:val="20"/>
        </w:rPr>
        <w:t> </w:t>
      </w:r>
      <w:r>
        <w:rPr>
          <w:sz w:val="20"/>
        </w:rPr>
        <w:t>102:1988.</w:t>
      </w:r>
    </w:p>
    <w:p>
      <w:pPr>
        <w:pStyle w:val="BodyText"/>
        <w:spacing w:before="9"/>
        <w:rPr>
          <w:sz w:val="29"/>
        </w:rPr>
      </w:pPr>
    </w:p>
    <w:p>
      <w:pPr>
        <w:pStyle w:val="Heading3"/>
        <w:numPr>
          <w:ilvl w:val="1"/>
          <w:numId w:val="140"/>
        </w:numPr>
        <w:tabs>
          <w:tab w:pos="672" w:val="left" w:leader="none"/>
        </w:tabs>
        <w:spacing w:line="240" w:lineRule="auto" w:before="0" w:after="0"/>
        <w:ind w:left="671" w:right="0" w:hanging="454"/>
        <w:jc w:val="both"/>
      </w:pPr>
      <w:r>
        <w:rPr/>
        <w:t>Control de recepción en obra de</w:t>
      </w:r>
      <w:r>
        <w:rPr>
          <w:spacing w:val="-5"/>
        </w:rPr>
        <w:t> </w:t>
      </w:r>
      <w:r>
        <w:rPr/>
        <w:t>productos</w:t>
      </w:r>
    </w:p>
    <w:p>
      <w:pPr>
        <w:pStyle w:val="ListParagraph"/>
        <w:numPr>
          <w:ilvl w:val="0"/>
          <w:numId w:val="142"/>
        </w:numPr>
        <w:tabs>
          <w:tab w:pos="579" w:val="left" w:leader="none"/>
        </w:tabs>
        <w:spacing w:line="240" w:lineRule="auto" w:before="98" w:after="0"/>
        <w:ind w:left="576" w:right="390" w:hanging="358"/>
        <w:jc w:val="both"/>
        <w:rPr>
          <w:sz w:val="20"/>
        </w:rPr>
      </w:pPr>
      <w:r>
        <w:rPr>
          <w:sz w:val="20"/>
        </w:rPr>
        <w:t>En el pliego de condiciones del proyecto deben indicarse las condiciones particulares de control para la recepción de los productos, incluyendo los ensayos necesarios para comprobar que los mismos reúnen las características exigidas en los apartados</w:t>
      </w:r>
      <w:r>
        <w:rPr>
          <w:spacing w:val="-6"/>
          <w:sz w:val="20"/>
        </w:rPr>
        <w:t> </w:t>
      </w:r>
      <w:r>
        <w:rPr>
          <w:sz w:val="20"/>
        </w:rPr>
        <w:t>anteriores.</w:t>
      </w:r>
    </w:p>
    <w:p>
      <w:pPr>
        <w:pStyle w:val="ListParagraph"/>
        <w:numPr>
          <w:ilvl w:val="0"/>
          <w:numId w:val="142"/>
        </w:numPr>
        <w:tabs>
          <w:tab w:pos="579" w:val="left" w:leader="none"/>
        </w:tabs>
        <w:spacing w:line="240" w:lineRule="auto" w:before="60" w:after="0"/>
        <w:ind w:left="578" w:right="0" w:hanging="361"/>
        <w:jc w:val="both"/>
        <w:rPr>
          <w:sz w:val="20"/>
        </w:rPr>
      </w:pPr>
      <w:r>
        <w:rPr>
          <w:sz w:val="20"/>
        </w:rPr>
        <w:t>Debe comprobarse que los productos</w:t>
      </w:r>
      <w:r>
        <w:rPr>
          <w:spacing w:val="-2"/>
          <w:sz w:val="20"/>
        </w:rPr>
        <w:t> </w:t>
      </w:r>
      <w:r>
        <w:rPr>
          <w:sz w:val="20"/>
        </w:rPr>
        <w:t>recibidos:</w:t>
      </w:r>
    </w:p>
    <w:p>
      <w:pPr>
        <w:pStyle w:val="ListParagraph"/>
        <w:numPr>
          <w:ilvl w:val="1"/>
          <w:numId w:val="142"/>
        </w:numPr>
        <w:tabs>
          <w:tab w:pos="939" w:val="left" w:leader="none"/>
        </w:tabs>
        <w:spacing w:line="240" w:lineRule="auto" w:before="60" w:after="0"/>
        <w:ind w:left="938" w:right="0" w:hanging="364"/>
        <w:jc w:val="both"/>
        <w:rPr>
          <w:sz w:val="20"/>
        </w:rPr>
      </w:pPr>
      <w:r>
        <w:rPr>
          <w:sz w:val="20"/>
        </w:rPr>
        <w:t>corresponden a los especificados en el pliego de condiciones del</w:t>
      </w:r>
      <w:r>
        <w:rPr>
          <w:spacing w:val="-11"/>
          <w:sz w:val="20"/>
        </w:rPr>
        <w:t> </w:t>
      </w:r>
      <w:r>
        <w:rPr>
          <w:sz w:val="20"/>
        </w:rPr>
        <w:t>proyecto;</w:t>
      </w:r>
    </w:p>
    <w:p>
      <w:pPr>
        <w:pStyle w:val="ListParagraph"/>
        <w:numPr>
          <w:ilvl w:val="1"/>
          <w:numId w:val="142"/>
        </w:numPr>
        <w:tabs>
          <w:tab w:pos="939" w:val="left" w:leader="none"/>
        </w:tabs>
        <w:spacing w:line="240" w:lineRule="auto" w:before="61" w:after="0"/>
        <w:ind w:left="938" w:right="0" w:hanging="364"/>
        <w:jc w:val="both"/>
        <w:rPr>
          <w:sz w:val="20"/>
        </w:rPr>
      </w:pPr>
      <w:r>
        <w:rPr>
          <w:sz w:val="20"/>
        </w:rPr>
        <w:t>disponen de la documentación</w:t>
      </w:r>
      <w:r>
        <w:rPr>
          <w:spacing w:val="-1"/>
          <w:sz w:val="20"/>
        </w:rPr>
        <w:t> </w:t>
      </w:r>
      <w:r>
        <w:rPr>
          <w:sz w:val="20"/>
        </w:rPr>
        <w:t>exigida;</w:t>
      </w:r>
    </w:p>
    <w:p>
      <w:pPr>
        <w:spacing w:after="0" w:line="240" w:lineRule="auto"/>
        <w:jc w:val="both"/>
        <w:rPr>
          <w:sz w:val="20"/>
        </w:rPr>
        <w:sectPr>
          <w:type w:val="continuous"/>
          <w:pgSz w:w="11910" w:h="16840"/>
          <w:pgMar w:top="1580" w:bottom="280" w:left="1200" w:right="738"/>
        </w:sectPr>
      </w:pPr>
    </w:p>
    <w:p>
      <w:pPr>
        <w:pStyle w:val="ListParagraph"/>
        <w:numPr>
          <w:ilvl w:val="1"/>
          <w:numId w:val="142"/>
        </w:numPr>
        <w:tabs>
          <w:tab w:pos="939" w:val="left" w:leader="none"/>
        </w:tabs>
        <w:spacing w:line="240" w:lineRule="auto" w:before="89" w:after="0"/>
        <w:ind w:left="938" w:right="0" w:hanging="364"/>
        <w:jc w:val="both"/>
        <w:rPr>
          <w:sz w:val="20"/>
        </w:rPr>
      </w:pPr>
      <w:r>
        <w:rPr>
          <w:sz w:val="20"/>
        </w:rPr>
        <w:t>están caracterizados por las propiedades</w:t>
      </w:r>
      <w:r>
        <w:rPr>
          <w:spacing w:val="-3"/>
          <w:sz w:val="20"/>
        </w:rPr>
        <w:t> </w:t>
      </w:r>
      <w:r>
        <w:rPr>
          <w:sz w:val="20"/>
        </w:rPr>
        <w:t>exigidas;</w:t>
      </w:r>
    </w:p>
    <w:p>
      <w:pPr>
        <w:pStyle w:val="ListParagraph"/>
        <w:numPr>
          <w:ilvl w:val="1"/>
          <w:numId w:val="142"/>
        </w:numPr>
        <w:tabs>
          <w:tab w:pos="940" w:val="left" w:leader="none"/>
        </w:tabs>
        <w:spacing w:line="240" w:lineRule="auto" w:before="60" w:after="0"/>
        <w:ind w:left="938" w:right="391" w:hanging="363"/>
        <w:jc w:val="both"/>
        <w:rPr>
          <w:sz w:val="20"/>
        </w:rPr>
      </w:pPr>
      <w:r>
        <w:rPr>
          <w:sz w:val="20"/>
        </w:rPr>
        <w:t>han sido ensayados, cuando así se establezca en el pliego de condiciones o lo determine el di- rector de la ejecución de la obra con el visto bueno del director de obra, con la frecuencia esta- blecida.</w:t>
      </w:r>
    </w:p>
    <w:p>
      <w:pPr>
        <w:pStyle w:val="ListParagraph"/>
        <w:numPr>
          <w:ilvl w:val="0"/>
          <w:numId w:val="142"/>
        </w:numPr>
        <w:tabs>
          <w:tab w:pos="579" w:val="left" w:leader="none"/>
        </w:tabs>
        <w:spacing w:line="240" w:lineRule="auto" w:before="60" w:after="0"/>
        <w:ind w:left="578" w:right="0" w:hanging="361"/>
        <w:jc w:val="both"/>
        <w:rPr>
          <w:sz w:val="20"/>
        </w:rPr>
      </w:pPr>
      <w:r>
        <w:rPr>
          <w:sz w:val="20"/>
        </w:rPr>
        <w:t>En el control deben seguirse los criterios indicados en el artículo 7.2 de la parte I del</w:t>
      </w:r>
      <w:r>
        <w:rPr>
          <w:spacing w:val="-25"/>
          <w:sz w:val="20"/>
        </w:rPr>
        <w:t> </w:t>
      </w:r>
      <w:r>
        <w:rPr>
          <w:sz w:val="20"/>
        </w:rPr>
        <w:t>CTE.</w:t>
      </w:r>
    </w:p>
    <w:p>
      <w:pPr>
        <w:pStyle w:val="BodyText"/>
        <w:rPr>
          <w:sz w:val="22"/>
        </w:rPr>
      </w:pPr>
    </w:p>
    <w:p>
      <w:pPr>
        <w:pStyle w:val="BodyText"/>
        <w:spacing w:before="1"/>
        <w:rPr>
          <w:sz w:val="25"/>
        </w:rPr>
      </w:pPr>
    </w:p>
    <w:p>
      <w:pPr>
        <w:pStyle w:val="Heading2"/>
        <w:numPr>
          <w:ilvl w:val="0"/>
          <w:numId w:val="143"/>
        </w:numPr>
        <w:tabs>
          <w:tab w:pos="842" w:val="left" w:leader="none"/>
        </w:tabs>
        <w:spacing w:line="240" w:lineRule="auto" w:before="0" w:after="0"/>
        <w:ind w:left="842" w:right="0" w:hanging="624"/>
        <w:jc w:val="both"/>
      </w:pPr>
      <w:r>
        <w:rPr/>
        <w:t>Construcción</w:t>
      </w:r>
    </w:p>
    <w:p>
      <w:pPr>
        <w:pStyle w:val="BodyText"/>
        <w:spacing w:before="159"/>
        <w:ind w:left="575" w:right="390" w:hanging="358"/>
        <w:jc w:val="both"/>
      </w:pPr>
      <w:r>
        <w:rPr/>
        <w:t>1 En el proyecto deben definirse y justificarse las características técnicas mínimas que deben reunir los productos, así como las condiciones de ejecución de cada unidad de obra, con las verificaciones y controles especificados para comprobar su conformidad con lo indicado en dicho proyecto, según lo indicado en el artículo 6 de la parte I del CTE.</w:t>
      </w:r>
    </w:p>
    <w:p>
      <w:pPr>
        <w:pStyle w:val="BodyText"/>
        <w:spacing w:before="7"/>
        <w:rPr>
          <w:sz w:val="29"/>
        </w:rPr>
      </w:pPr>
    </w:p>
    <w:p>
      <w:pPr>
        <w:pStyle w:val="Heading3"/>
        <w:numPr>
          <w:ilvl w:val="1"/>
          <w:numId w:val="143"/>
        </w:numPr>
        <w:tabs>
          <w:tab w:pos="672" w:val="left" w:leader="none"/>
        </w:tabs>
        <w:spacing w:line="240" w:lineRule="auto" w:before="1" w:after="0"/>
        <w:ind w:left="671" w:right="0" w:hanging="454"/>
        <w:jc w:val="both"/>
      </w:pPr>
      <w:r>
        <w:rPr/>
        <w:t>Ejecución</w:t>
      </w:r>
    </w:p>
    <w:p>
      <w:pPr>
        <w:pStyle w:val="BodyText"/>
        <w:spacing w:before="98"/>
        <w:ind w:left="575" w:right="390" w:hanging="358"/>
        <w:jc w:val="both"/>
      </w:pPr>
      <w:r>
        <w:rPr/>
        <w:t>1   Las obras de construcción del edificio, en relación con esta Sección, deben ejecutarse con sujeción   al proyecto, a la legislación aplicable, a las normas de la buena práctica constructiva y a las instruc- ciones del director de obra y del director de la ejecución de la obra, conforme a lo indicado en el ar- tículo 7 de la parte I del CTE. En el pliego de condiciones deben indicarse las condiciones particula- res de ejecución de los sistemas de</w:t>
      </w:r>
      <w:r>
        <w:rPr>
          <w:spacing w:val="-9"/>
        </w:rPr>
        <w:t> </w:t>
      </w:r>
      <w:r>
        <w:rPr/>
        <w:t>ventilación.</w:t>
      </w:r>
    </w:p>
    <w:p>
      <w:pPr>
        <w:pStyle w:val="BodyText"/>
        <w:spacing w:before="8"/>
        <w:rPr>
          <w:sz w:val="22"/>
        </w:rPr>
      </w:pPr>
    </w:p>
    <w:p>
      <w:pPr>
        <w:pStyle w:val="Heading5"/>
        <w:numPr>
          <w:ilvl w:val="2"/>
          <w:numId w:val="143"/>
        </w:numPr>
        <w:tabs>
          <w:tab w:pos="939" w:val="left" w:leader="none"/>
        </w:tabs>
        <w:spacing w:line="240" w:lineRule="auto" w:before="1" w:after="0"/>
        <w:ind w:left="938" w:right="0" w:hanging="721"/>
        <w:jc w:val="both"/>
      </w:pPr>
      <w:r>
        <w:rPr/>
        <w:t>Aberturas</w:t>
      </w:r>
    </w:p>
    <w:p>
      <w:pPr>
        <w:pStyle w:val="ListParagraph"/>
        <w:numPr>
          <w:ilvl w:val="0"/>
          <w:numId w:val="144"/>
        </w:numPr>
        <w:tabs>
          <w:tab w:pos="579" w:val="left" w:leader="none"/>
        </w:tabs>
        <w:spacing w:line="240" w:lineRule="auto" w:before="98" w:after="0"/>
        <w:ind w:left="575" w:right="391" w:hanging="358"/>
        <w:jc w:val="both"/>
        <w:rPr>
          <w:sz w:val="20"/>
        </w:rPr>
      </w:pPr>
      <w:r>
        <w:rPr>
          <w:sz w:val="20"/>
        </w:rPr>
        <w:t>Cuando las aberturas se dispongan directamente en el muro debe colocarse un pasamuros cuya sección interior tenga las dimensiones mínimas de ventilación previstas y deben sellarse los extre- mos en su encuentro con el mismo. Los elementos de protección de las aberturas deben colocarse de tal modo que no se permita la entrada de agua desde el</w:t>
      </w:r>
      <w:r>
        <w:rPr>
          <w:spacing w:val="-15"/>
          <w:sz w:val="20"/>
        </w:rPr>
        <w:t> </w:t>
      </w:r>
      <w:r>
        <w:rPr>
          <w:sz w:val="20"/>
        </w:rPr>
        <w:t>exterior.</w:t>
      </w:r>
    </w:p>
    <w:p>
      <w:pPr>
        <w:pStyle w:val="ListParagraph"/>
        <w:numPr>
          <w:ilvl w:val="0"/>
          <w:numId w:val="144"/>
        </w:numPr>
        <w:tabs>
          <w:tab w:pos="579" w:val="left" w:leader="none"/>
        </w:tabs>
        <w:spacing w:line="240" w:lineRule="auto" w:before="60" w:after="0"/>
        <w:ind w:left="575" w:right="391" w:hanging="358"/>
        <w:jc w:val="both"/>
        <w:rPr>
          <w:sz w:val="20"/>
        </w:rPr>
      </w:pPr>
      <w:r>
        <w:rPr>
          <w:sz w:val="20"/>
        </w:rPr>
        <w:t>Los elementos de protección de las </w:t>
      </w:r>
      <w:r>
        <w:rPr>
          <w:i/>
          <w:sz w:val="20"/>
        </w:rPr>
        <w:t>aberturas de extracción </w:t>
      </w:r>
      <w:r>
        <w:rPr>
          <w:sz w:val="20"/>
        </w:rPr>
        <w:t>cuando dispongan de lamas, deben colocarse con éstas inclinadas en la dirección de la circulación del</w:t>
      </w:r>
      <w:r>
        <w:rPr>
          <w:spacing w:val="-11"/>
          <w:sz w:val="20"/>
        </w:rPr>
        <w:t> </w:t>
      </w:r>
      <w:r>
        <w:rPr>
          <w:sz w:val="20"/>
        </w:rPr>
        <w:t>aire.</w:t>
      </w:r>
    </w:p>
    <w:p>
      <w:pPr>
        <w:pStyle w:val="BodyText"/>
        <w:spacing w:before="9"/>
        <w:rPr>
          <w:sz w:val="22"/>
        </w:rPr>
      </w:pPr>
    </w:p>
    <w:p>
      <w:pPr>
        <w:pStyle w:val="Heading6"/>
        <w:numPr>
          <w:ilvl w:val="2"/>
          <w:numId w:val="143"/>
        </w:numPr>
        <w:tabs>
          <w:tab w:pos="939" w:val="left" w:leader="none"/>
        </w:tabs>
        <w:spacing w:line="240" w:lineRule="auto" w:before="0" w:after="0"/>
        <w:ind w:left="938" w:right="0" w:hanging="721"/>
        <w:jc w:val="both"/>
        <w:rPr>
          <w:i/>
        </w:rPr>
      </w:pPr>
      <w:r>
        <w:rPr>
          <w:i/>
        </w:rPr>
        <w:t>Conductos de</w:t>
      </w:r>
      <w:r>
        <w:rPr>
          <w:i/>
          <w:spacing w:val="-3"/>
        </w:rPr>
        <w:t> </w:t>
      </w:r>
      <w:r>
        <w:rPr>
          <w:i/>
        </w:rPr>
        <w:t>extracción</w:t>
      </w:r>
    </w:p>
    <w:p>
      <w:pPr>
        <w:pStyle w:val="ListParagraph"/>
        <w:numPr>
          <w:ilvl w:val="0"/>
          <w:numId w:val="145"/>
        </w:numPr>
        <w:tabs>
          <w:tab w:pos="579" w:val="left" w:leader="none"/>
        </w:tabs>
        <w:spacing w:line="240" w:lineRule="auto" w:before="98" w:after="0"/>
        <w:ind w:left="575" w:right="390" w:hanging="358"/>
        <w:jc w:val="both"/>
        <w:rPr>
          <w:sz w:val="20"/>
        </w:rPr>
      </w:pPr>
      <w:r>
        <w:rPr>
          <w:sz w:val="20"/>
        </w:rPr>
        <w:t>Debe preverse el paso de los conductos a través de los forjados y otros elementos de partición hori- zontal de tal forma que se ejecuten aquellos elementos necesarios para ello tales como brochales y zunchos. Los huecos de paso de los forjados deben proporcionar una holgura perimétrica de 20 mm y debe rellenarse dicha holgura con aislante</w:t>
      </w:r>
      <w:r>
        <w:rPr>
          <w:spacing w:val="-4"/>
          <w:sz w:val="20"/>
        </w:rPr>
        <w:t> </w:t>
      </w:r>
      <w:r>
        <w:rPr>
          <w:sz w:val="20"/>
        </w:rPr>
        <w:t>térmico.</w:t>
      </w:r>
    </w:p>
    <w:p>
      <w:pPr>
        <w:pStyle w:val="ListParagraph"/>
        <w:numPr>
          <w:ilvl w:val="0"/>
          <w:numId w:val="145"/>
        </w:numPr>
        <w:tabs>
          <w:tab w:pos="578" w:val="left" w:leader="none"/>
          <w:tab w:pos="579" w:val="left" w:leader="none"/>
        </w:tabs>
        <w:spacing w:line="240" w:lineRule="auto" w:before="60" w:after="0"/>
        <w:ind w:left="575" w:right="391" w:hanging="358"/>
        <w:jc w:val="left"/>
        <w:rPr>
          <w:sz w:val="20"/>
        </w:rPr>
      </w:pPr>
      <w:r>
        <w:rPr>
          <w:sz w:val="20"/>
        </w:rPr>
        <w:t>El tramo de conducto correspondiente a cada planta debe apoyarse sobre el forjado inferior de la misma.</w:t>
      </w:r>
    </w:p>
    <w:p>
      <w:pPr>
        <w:pStyle w:val="ListParagraph"/>
        <w:numPr>
          <w:ilvl w:val="0"/>
          <w:numId w:val="145"/>
        </w:numPr>
        <w:tabs>
          <w:tab w:pos="578" w:val="left" w:leader="none"/>
          <w:tab w:pos="579" w:val="left" w:leader="none"/>
        </w:tabs>
        <w:spacing w:line="240" w:lineRule="auto" w:before="60" w:after="0"/>
        <w:ind w:left="575" w:right="392" w:hanging="358"/>
        <w:jc w:val="left"/>
        <w:rPr>
          <w:sz w:val="20"/>
        </w:rPr>
      </w:pPr>
      <w:r>
        <w:rPr>
          <w:sz w:val="20"/>
        </w:rPr>
        <w:t>Para </w:t>
      </w:r>
      <w:r>
        <w:rPr>
          <w:i/>
          <w:sz w:val="20"/>
        </w:rPr>
        <w:t>conductos de extracción </w:t>
      </w:r>
      <w:r>
        <w:rPr>
          <w:sz w:val="20"/>
        </w:rPr>
        <w:t>para </w:t>
      </w:r>
      <w:r>
        <w:rPr>
          <w:i/>
          <w:sz w:val="20"/>
        </w:rPr>
        <w:t>ventilación híbrida</w:t>
      </w:r>
      <w:r>
        <w:rPr>
          <w:sz w:val="20"/>
        </w:rPr>
        <w:t>, las piezas deben colocarse cuidando el aplo- mado, admitiéndose una desviación de la vertical de hasta 15º con transiciones</w:t>
      </w:r>
      <w:r>
        <w:rPr>
          <w:spacing w:val="-23"/>
          <w:sz w:val="20"/>
        </w:rPr>
        <w:t> </w:t>
      </w:r>
      <w:r>
        <w:rPr>
          <w:sz w:val="20"/>
        </w:rPr>
        <w:t>suaves.</w:t>
      </w:r>
    </w:p>
    <w:p>
      <w:pPr>
        <w:pStyle w:val="ListParagraph"/>
        <w:numPr>
          <w:ilvl w:val="0"/>
          <w:numId w:val="145"/>
        </w:numPr>
        <w:tabs>
          <w:tab w:pos="578" w:val="left" w:leader="none"/>
          <w:tab w:pos="579" w:val="left" w:leader="none"/>
        </w:tabs>
        <w:spacing w:line="240" w:lineRule="auto" w:before="60" w:after="0"/>
        <w:ind w:left="578" w:right="0" w:hanging="361"/>
        <w:jc w:val="left"/>
        <w:rPr>
          <w:sz w:val="20"/>
        </w:rPr>
      </w:pPr>
      <w:r>
        <w:rPr>
          <w:sz w:val="20"/>
        </w:rPr>
        <w:t>Deben realizarse las uniones previstas en el sistema, cuidándose la estanquidad de sus</w:t>
      </w:r>
      <w:r>
        <w:rPr>
          <w:spacing w:val="-16"/>
          <w:sz w:val="20"/>
        </w:rPr>
        <w:t> </w:t>
      </w:r>
      <w:r>
        <w:rPr>
          <w:sz w:val="20"/>
        </w:rPr>
        <w:t>juntas.</w:t>
      </w:r>
    </w:p>
    <w:p>
      <w:pPr>
        <w:pStyle w:val="ListParagraph"/>
        <w:numPr>
          <w:ilvl w:val="0"/>
          <w:numId w:val="145"/>
        </w:numPr>
        <w:tabs>
          <w:tab w:pos="579" w:val="left" w:leader="none"/>
        </w:tabs>
        <w:spacing w:line="240" w:lineRule="auto" w:before="60" w:after="0"/>
        <w:ind w:left="575" w:right="392" w:hanging="358"/>
        <w:jc w:val="both"/>
        <w:rPr>
          <w:sz w:val="20"/>
        </w:rPr>
      </w:pPr>
      <w:r>
        <w:rPr>
          <w:sz w:val="20"/>
        </w:rPr>
        <w:t>Las </w:t>
      </w:r>
      <w:r>
        <w:rPr>
          <w:i/>
          <w:sz w:val="20"/>
        </w:rPr>
        <w:t>aberturas de extracción </w:t>
      </w:r>
      <w:r>
        <w:rPr>
          <w:sz w:val="20"/>
        </w:rPr>
        <w:t>conectadas a </w:t>
      </w:r>
      <w:r>
        <w:rPr>
          <w:i/>
          <w:sz w:val="20"/>
        </w:rPr>
        <w:t>conductos de extracción </w:t>
      </w:r>
      <w:r>
        <w:rPr>
          <w:sz w:val="20"/>
        </w:rPr>
        <w:t>deben taparse adecuadamente para evitar la entrada de escombros u otros objetos en los conductos hasta que se coloquen los ele- mentos de protección</w:t>
      </w:r>
      <w:r>
        <w:rPr>
          <w:spacing w:val="-3"/>
          <w:sz w:val="20"/>
        </w:rPr>
        <w:t> </w:t>
      </w:r>
      <w:r>
        <w:rPr>
          <w:sz w:val="20"/>
        </w:rPr>
        <w:t>correspondientes.</w:t>
      </w:r>
    </w:p>
    <w:p>
      <w:pPr>
        <w:pStyle w:val="ListParagraph"/>
        <w:numPr>
          <w:ilvl w:val="0"/>
          <w:numId w:val="145"/>
        </w:numPr>
        <w:tabs>
          <w:tab w:pos="579" w:val="left" w:leader="none"/>
        </w:tabs>
        <w:spacing w:line="240" w:lineRule="auto" w:before="60" w:after="0"/>
        <w:ind w:left="575" w:right="391" w:hanging="358"/>
        <w:jc w:val="both"/>
        <w:rPr>
          <w:sz w:val="20"/>
        </w:rPr>
      </w:pPr>
      <w:r>
        <w:rPr>
          <w:sz w:val="20"/>
        </w:rPr>
        <w:t>Se consideran satisfactorios los conductos de chapa ejecutados según lo especificado en la norma UNE-EN</w:t>
      </w:r>
      <w:r>
        <w:rPr>
          <w:spacing w:val="-1"/>
          <w:sz w:val="20"/>
        </w:rPr>
        <w:t> </w:t>
      </w:r>
      <w:r>
        <w:rPr>
          <w:sz w:val="20"/>
        </w:rPr>
        <w:t>1507:2007.</w:t>
      </w:r>
    </w:p>
    <w:p>
      <w:pPr>
        <w:pStyle w:val="BodyText"/>
        <w:spacing w:before="8"/>
        <w:rPr>
          <w:sz w:val="22"/>
        </w:rPr>
      </w:pPr>
    </w:p>
    <w:p>
      <w:pPr>
        <w:pStyle w:val="Heading5"/>
        <w:numPr>
          <w:ilvl w:val="2"/>
          <w:numId w:val="143"/>
        </w:numPr>
        <w:tabs>
          <w:tab w:pos="938" w:val="left" w:leader="none"/>
          <w:tab w:pos="939" w:val="left" w:leader="none"/>
        </w:tabs>
        <w:spacing w:line="240" w:lineRule="auto" w:before="0" w:after="0"/>
        <w:ind w:left="938" w:right="0" w:hanging="721"/>
        <w:jc w:val="left"/>
      </w:pPr>
      <w:r>
        <w:rPr/>
        <w:t>Sistemas de ventilación</w:t>
      </w:r>
      <w:r>
        <w:rPr>
          <w:spacing w:val="-3"/>
        </w:rPr>
        <w:t> </w:t>
      </w:r>
      <w:r>
        <w:rPr/>
        <w:t>mecánicos</w:t>
      </w:r>
    </w:p>
    <w:p>
      <w:pPr>
        <w:pStyle w:val="ListParagraph"/>
        <w:numPr>
          <w:ilvl w:val="0"/>
          <w:numId w:val="146"/>
        </w:numPr>
        <w:tabs>
          <w:tab w:pos="578" w:val="left" w:leader="none"/>
          <w:tab w:pos="579" w:val="left" w:leader="none"/>
        </w:tabs>
        <w:spacing w:line="240" w:lineRule="auto" w:before="99" w:after="0"/>
        <w:ind w:left="575" w:right="391" w:hanging="358"/>
        <w:jc w:val="left"/>
        <w:rPr>
          <w:sz w:val="20"/>
        </w:rPr>
      </w:pPr>
      <w:r>
        <w:rPr>
          <w:sz w:val="20"/>
        </w:rPr>
        <w:t>El </w:t>
      </w:r>
      <w:r>
        <w:rPr>
          <w:i/>
          <w:sz w:val="20"/>
        </w:rPr>
        <w:t>aspirador híbrido </w:t>
      </w:r>
      <w:r>
        <w:rPr>
          <w:sz w:val="20"/>
        </w:rPr>
        <w:t>o el </w:t>
      </w:r>
      <w:r>
        <w:rPr>
          <w:i/>
          <w:sz w:val="20"/>
        </w:rPr>
        <w:t>aspirador mecánico</w:t>
      </w:r>
      <w:r>
        <w:rPr>
          <w:sz w:val="20"/>
        </w:rPr>
        <w:t>, en su caso, debe colocarse aplomado y sujeto al </w:t>
      </w:r>
      <w:r>
        <w:rPr>
          <w:i/>
          <w:sz w:val="20"/>
        </w:rPr>
        <w:t>con- </w:t>
      </w:r>
      <w:r>
        <w:rPr>
          <w:i/>
          <w:sz w:val="20"/>
        </w:rPr>
        <w:t>ducto de extracción </w:t>
      </w:r>
      <w:r>
        <w:rPr>
          <w:sz w:val="20"/>
        </w:rPr>
        <w:t>o a su</w:t>
      </w:r>
      <w:r>
        <w:rPr>
          <w:spacing w:val="-7"/>
          <w:sz w:val="20"/>
        </w:rPr>
        <w:t> </w:t>
      </w:r>
      <w:r>
        <w:rPr>
          <w:sz w:val="20"/>
        </w:rPr>
        <w:t>revestimiento.</w:t>
      </w:r>
    </w:p>
    <w:p>
      <w:pPr>
        <w:pStyle w:val="ListParagraph"/>
        <w:numPr>
          <w:ilvl w:val="0"/>
          <w:numId w:val="146"/>
        </w:numPr>
        <w:tabs>
          <w:tab w:pos="578" w:val="left" w:leader="none"/>
          <w:tab w:pos="579" w:val="left" w:leader="none"/>
        </w:tabs>
        <w:spacing w:line="240" w:lineRule="auto" w:before="60" w:after="0"/>
        <w:ind w:left="575" w:right="392" w:hanging="358"/>
        <w:jc w:val="left"/>
        <w:rPr>
          <w:sz w:val="20"/>
        </w:rPr>
      </w:pPr>
      <w:r>
        <w:rPr>
          <w:sz w:val="20"/>
        </w:rPr>
        <w:t>El sistema de ventilación mecánica debe colocarse sobre el soporte de manera estable y utilizando elementos</w:t>
      </w:r>
      <w:r>
        <w:rPr>
          <w:spacing w:val="-1"/>
          <w:sz w:val="20"/>
        </w:rPr>
        <w:t> </w:t>
      </w:r>
      <w:r>
        <w:rPr>
          <w:sz w:val="20"/>
        </w:rPr>
        <w:t>antivibratorios.</w:t>
      </w:r>
    </w:p>
    <w:p>
      <w:pPr>
        <w:pStyle w:val="ListParagraph"/>
        <w:numPr>
          <w:ilvl w:val="0"/>
          <w:numId w:val="146"/>
        </w:numPr>
        <w:tabs>
          <w:tab w:pos="578" w:val="left" w:leader="none"/>
          <w:tab w:pos="579" w:val="left" w:leader="none"/>
        </w:tabs>
        <w:spacing w:line="240" w:lineRule="auto" w:before="61" w:after="0"/>
        <w:ind w:left="575" w:right="390" w:hanging="358"/>
        <w:jc w:val="left"/>
        <w:rPr>
          <w:sz w:val="20"/>
        </w:rPr>
      </w:pPr>
      <w:r>
        <w:rPr>
          <w:sz w:val="20"/>
        </w:rPr>
        <w:t>Los empalmes y conexiones deben ser estancos y estar protegidos para evitar la entrada o salida de aire en esos</w:t>
      </w:r>
      <w:r>
        <w:rPr>
          <w:spacing w:val="-4"/>
          <w:sz w:val="20"/>
        </w:rPr>
        <w:t> </w:t>
      </w:r>
      <w:r>
        <w:rPr>
          <w:sz w:val="20"/>
        </w:rPr>
        <w:t>puntos.</w:t>
      </w:r>
    </w:p>
    <w:p>
      <w:pPr>
        <w:spacing w:after="0" w:line="240" w:lineRule="auto"/>
        <w:jc w:val="left"/>
        <w:rPr>
          <w:sz w:val="20"/>
        </w:rPr>
        <w:sectPr>
          <w:pgSz w:w="11910" w:h="16840"/>
          <w:pgMar w:header="724" w:footer="636" w:top="1320" w:bottom="820" w:left="1200" w:right="738"/>
        </w:sectPr>
      </w:pPr>
    </w:p>
    <w:p>
      <w:pPr>
        <w:pStyle w:val="BodyText"/>
        <w:spacing w:before="3"/>
        <w:rPr>
          <w:sz w:val="24"/>
        </w:rPr>
      </w:pPr>
    </w:p>
    <w:p>
      <w:pPr>
        <w:pStyle w:val="Heading3"/>
        <w:numPr>
          <w:ilvl w:val="1"/>
          <w:numId w:val="143"/>
        </w:numPr>
        <w:tabs>
          <w:tab w:pos="672" w:val="left" w:leader="none"/>
        </w:tabs>
        <w:spacing w:line="240" w:lineRule="auto" w:before="92" w:after="0"/>
        <w:ind w:left="671" w:right="0" w:hanging="454"/>
        <w:jc w:val="both"/>
      </w:pPr>
      <w:r>
        <w:rPr/>
        <w:t>Control de la</w:t>
      </w:r>
      <w:r>
        <w:rPr>
          <w:spacing w:val="-2"/>
        </w:rPr>
        <w:t> </w:t>
      </w:r>
      <w:r>
        <w:rPr/>
        <w:t>ejecución</w:t>
      </w:r>
    </w:p>
    <w:p>
      <w:pPr>
        <w:pStyle w:val="ListParagraph"/>
        <w:numPr>
          <w:ilvl w:val="0"/>
          <w:numId w:val="147"/>
        </w:numPr>
        <w:tabs>
          <w:tab w:pos="579" w:val="left" w:leader="none"/>
        </w:tabs>
        <w:spacing w:line="240" w:lineRule="auto" w:before="98" w:after="0"/>
        <w:ind w:left="576" w:right="391" w:hanging="358"/>
        <w:jc w:val="both"/>
        <w:rPr>
          <w:sz w:val="20"/>
        </w:rPr>
      </w:pPr>
      <w:r>
        <w:rPr>
          <w:sz w:val="20"/>
        </w:rPr>
        <w:t>El control de la ejecución de las obras debe realizarse de acuerdo con las especificaciones del pro- yecto, sus anejos y modificaciones autorizados por el director de obra y las instrucciones del director de la ejecución de la obra, conforme a lo indicado en el artículo 7.3 de la parte I del CTE y demás normativa vigente de</w:t>
      </w:r>
      <w:r>
        <w:rPr>
          <w:spacing w:val="-2"/>
          <w:sz w:val="20"/>
        </w:rPr>
        <w:t> </w:t>
      </w:r>
      <w:r>
        <w:rPr>
          <w:sz w:val="20"/>
        </w:rPr>
        <w:t>aplicación.</w:t>
      </w:r>
    </w:p>
    <w:p>
      <w:pPr>
        <w:pStyle w:val="ListParagraph"/>
        <w:numPr>
          <w:ilvl w:val="0"/>
          <w:numId w:val="147"/>
        </w:numPr>
        <w:tabs>
          <w:tab w:pos="579" w:val="left" w:leader="none"/>
        </w:tabs>
        <w:spacing w:line="240" w:lineRule="auto" w:before="60" w:after="0"/>
        <w:ind w:left="576" w:right="391" w:hanging="358"/>
        <w:jc w:val="both"/>
        <w:rPr>
          <w:sz w:val="20"/>
        </w:rPr>
      </w:pPr>
      <w:r>
        <w:rPr>
          <w:sz w:val="20"/>
        </w:rPr>
        <w:t>Debe comprobarse que la ejecución de la obra se realiza de acuerdo con los controles y con la fre- cuencia de los mismos establecida en el pliego de condiciones del</w:t>
      </w:r>
      <w:r>
        <w:rPr>
          <w:spacing w:val="-11"/>
          <w:sz w:val="20"/>
        </w:rPr>
        <w:t> </w:t>
      </w:r>
      <w:r>
        <w:rPr>
          <w:sz w:val="20"/>
        </w:rPr>
        <w:t>proyecto.</w:t>
      </w:r>
    </w:p>
    <w:p>
      <w:pPr>
        <w:pStyle w:val="ListParagraph"/>
        <w:numPr>
          <w:ilvl w:val="0"/>
          <w:numId w:val="147"/>
        </w:numPr>
        <w:tabs>
          <w:tab w:pos="579" w:val="left" w:leader="none"/>
        </w:tabs>
        <w:spacing w:line="240" w:lineRule="auto" w:before="60" w:after="0"/>
        <w:ind w:left="575" w:right="391" w:hanging="358"/>
        <w:jc w:val="both"/>
        <w:rPr>
          <w:sz w:val="20"/>
        </w:rPr>
      </w:pPr>
      <w:r>
        <w:rPr>
          <w:sz w:val="20"/>
        </w:rPr>
        <w:t>Cualquier modificación que pueda introducirse durante la ejecución de la obra debe quedar en la documentación de la obra ejecutada sin que en ningún caso dejen de cumplirse las condiciones mí- nimas señaladas en este Documento</w:t>
      </w:r>
      <w:r>
        <w:rPr>
          <w:spacing w:val="-5"/>
          <w:sz w:val="20"/>
        </w:rPr>
        <w:t> </w:t>
      </w:r>
      <w:r>
        <w:rPr>
          <w:sz w:val="20"/>
        </w:rPr>
        <w:t>Básico.</w:t>
      </w:r>
    </w:p>
    <w:p>
      <w:pPr>
        <w:pStyle w:val="BodyText"/>
        <w:spacing w:before="8"/>
        <w:rPr>
          <w:sz w:val="29"/>
        </w:rPr>
      </w:pPr>
    </w:p>
    <w:p>
      <w:pPr>
        <w:pStyle w:val="Heading3"/>
        <w:numPr>
          <w:ilvl w:val="1"/>
          <w:numId w:val="143"/>
        </w:numPr>
        <w:tabs>
          <w:tab w:pos="672" w:val="left" w:leader="none"/>
        </w:tabs>
        <w:spacing w:line="240" w:lineRule="auto" w:before="0" w:after="0"/>
        <w:ind w:left="671" w:right="0" w:hanging="454"/>
        <w:jc w:val="both"/>
      </w:pPr>
      <w:r>
        <w:rPr/>
        <w:t>Control de la obra</w:t>
      </w:r>
      <w:r>
        <w:rPr>
          <w:spacing w:val="-2"/>
        </w:rPr>
        <w:t> </w:t>
      </w:r>
      <w:r>
        <w:rPr/>
        <w:t>terminada</w:t>
      </w:r>
    </w:p>
    <w:p>
      <w:pPr>
        <w:pStyle w:val="BodyText"/>
        <w:spacing w:before="99"/>
        <w:ind w:left="575" w:right="393" w:hanging="358"/>
        <w:jc w:val="both"/>
      </w:pPr>
      <w:r>
        <w:rPr/>
        <w:t>1 En el control deben seguirse los criterios indicados en el artículo 7.4 de la parte I del CTE. En esta sección del DB no se prescriben pruebas</w:t>
      </w:r>
      <w:r>
        <w:rPr>
          <w:spacing w:val="-4"/>
        </w:rPr>
        <w:t> </w:t>
      </w:r>
      <w:r>
        <w:rPr/>
        <w:t>finales.</w:t>
      </w:r>
    </w:p>
    <w:p>
      <w:pPr>
        <w:pStyle w:val="BodyText"/>
        <w:rPr>
          <w:sz w:val="22"/>
        </w:rPr>
      </w:pPr>
    </w:p>
    <w:p>
      <w:pPr>
        <w:pStyle w:val="BodyText"/>
        <w:spacing w:before="1"/>
        <w:rPr>
          <w:sz w:val="25"/>
        </w:rPr>
      </w:pPr>
    </w:p>
    <w:p>
      <w:pPr>
        <w:pStyle w:val="Heading2"/>
        <w:tabs>
          <w:tab w:pos="841" w:val="left" w:leader="none"/>
        </w:tabs>
      </w:pPr>
      <w:r>
        <w:rPr/>
        <w:t>7</w:t>
        <w:tab/>
        <w:t>Mantenimiento y</w:t>
      </w:r>
      <w:r>
        <w:rPr>
          <w:spacing w:val="-6"/>
        </w:rPr>
        <w:t> </w:t>
      </w:r>
      <w:r>
        <w:rPr/>
        <w:t>conservación</w:t>
      </w:r>
    </w:p>
    <w:p>
      <w:pPr>
        <w:pStyle w:val="BodyText"/>
        <w:spacing w:before="158"/>
        <w:ind w:left="575" w:right="392" w:hanging="358"/>
        <w:jc w:val="both"/>
      </w:pPr>
      <w:r>
        <w:rPr/>
        <w:t>1 Deben realizarse las operaciones de mantenimiento que, junto con su periodicidad, se incluyen en la tabla 7.1 y las correcciones pertinentes en el caso de que se detecten defectos.</w:t>
      </w:r>
    </w:p>
    <w:p>
      <w:pPr>
        <w:pStyle w:val="BodyText"/>
        <w:spacing w:before="3"/>
        <w:rPr>
          <w:sz w:val="23"/>
        </w:rPr>
      </w:pPr>
    </w:p>
    <w:p>
      <w:pPr>
        <w:spacing w:before="0" w:after="3"/>
        <w:ind w:left="655" w:right="827" w:firstLine="0"/>
        <w:jc w:val="center"/>
        <w:rPr>
          <w:b/>
          <w:sz w:val="18"/>
        </w:rPr>
      </w:pPr>
      <w:r>
        <w:rPr>
          <w:b/>
          <w:sz w:val="18"/>
        </w:rPr>
        <w:t>Tabla 7.1 Operaciones de mantenimiento</w:t>
      </w:r>
    </w:p>
    <w:tbl>
      <w:tblPr>
        <w:tblW w:w="0" w:type="auto"/>
        <w:jc w:val="left"/>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4528"/>
        <w:gridCol w:w="1350"/>
        <w:gridCol w:w="1193"/>
      </w:tblGrid>
      <w:tr>
        <w:trPr>
          <w:trHeight w:val="269" w:hRule="atLeast"/>
        </w:trPr>
        <w:tc>
          <w:tcPr>
            <w:tcW w:w="1982" w:type="dxa"/>
            <w:tcBorders>
              <w:top w:val="nil"/>
              <w:left w:val="nil"/>
            </w:tcBorders>
          </w:tcPr>
          <w:p>
            <w:pPr>
              <w:pStyle w:val="TableParagraph"/>
              <w:jc w:val="left"/>
              <w:rPr>
                <w:rFonts w:ascii="Times New Roman"/>
                <w:sz w:val="18"/>
              </w:rPr>
            </w:pPr>
          </w:p>
        </w:tc>
        <w:tc>
          <w:tcPr>
            <w:tcW w:w="4528" w:type="dxa"/>
            <w:tcBorders>
              <w:right w:val="nil"/>
            </w:tcBorders>
          </w:tcPr>
          <w:p>
            <w:pPr>
              <w:pStyle w:val="TableParagraph"/>
              <w:spacing w:before="29"/>
              <w:ind w:left="2089" w:right="1503"/>
              <w:rPr>
                <w:b/>
                <w:sz w:val="18"/>
              </w:rPr>
            </w:pPr>
            <w:r>
              <w:rPr>
                <w:b/>
                <w:sz w:val="18"/>
              </w:rPr>
              <w:t>Operación</w:t>
            </w:r>
          </w:p>
        </w:tc>
        <w:tc>
          <w:tcPr>
            <w:tcW w:w="2543" w:type="dxa"/>
            <w:gridSpan w:val="2"/>
            <w:tcBorders>
              <w:left w:val="nil"/>
              <w:right w:val="nil"/>
            </w:tcBorders>
          </w:tcPr>
          <w:p>
            <w:pPr>
              <w:pStyle w:val="TableParagraph"/>
              <w:spacing w:before="29"/>
              <w:ind w:left="1026"/>
              <w:jc w:val="left"/>
              <w:rPr>
                <w:b/>
                <w:sz w:val="18"/>
              </w:rPr>
            </w:pPr>
            <w:r>
              <w:rPr>
                <w:b/>
                <w:sz w:val="18"/>
              </w:rPr>
              <w:t>Periodicidad</w:t>
            </w:r>
          </w:p>
        </w:tc>
      </w:tr>
      <w:tr>
        <w:trPr>
          <w:trHeight w:val="690" w:hRule="atLeast"/>
        </w:trPr>
        <w:tc>
          <w:tcPr>
            <w:tcW w:w="1982" w:type="dxa"/>
            <w:tcBorders>
              <w:left w:val="nil"/>
            </w:tcBorders>
          </w:tcPr>
          <w:p>
            <w:pPr>
              <w:pStyle w:val="TableParagraph"/>
              <w:spacing w:before="8"/>
              <w:jc w:val="left"/>
              <w:rPr>
                <w:b/>
                <w:sz w:val="20"/>
              </w:rPr>
            </w:pPr>
          </w:p>
          <w:p>
            <w:pPr>
              <w:pStyle w:val="TableParagraph"/>
              <w:spacing w:before="1"/>
              <w:ind w:left="126" w:right="99"/>
              <w:rPr>
                <w:b/>
                <w:sz w:val="18"/>
              </w:rPr>
            </w:pPr>
            <w:r>
              <w:rPr>
                <w:b/>
                <w:sz w:val="18"/>
              </w:rPr>
              <w:t>Conductos</w:t>
            </w:r>
          </w:p>
        </w:tc>
        <w:tc>
          <w:tcPr>
            <w:tcW w:w="4528" w:type="dxa"/>
            <w:tcBorders>
              <w:right w:val="nil"/>
            </w:tcBorders>
          </w:tcPr>
          <w:p>
            <w:pPr>
              <w:pStyle w:val="TableParagraph"/>
              <w:spacing w:before="65"/>
              <w:ind w:left="107"/>
              <w:jc w:val="left"/>
              <w:rPr>
                <w:sz w:val="18"/>
              </w:rPr>
            </w:pPr>
            <w:r>
              <w:rPr>
                <w:sz w:val="18"/>
              </w:rPr>
              <w:t>Limpieza</w:t>
            </w:r>
          </w:p>
          <w:p>
            <w:pPr>
              <w:pStyle w:val="TableParagraph"/>
              <w:spacing w:before="143"/>
              <w:ind w:left="107"/>
              <w:jc w:val="left"/>
              <w:rPr>
                <w:sz w:val="18"/>
              </w:rPr>
            </w:pPr>
            <w:r>
              <w:rPr>
                <w:sz w:val="18"/>
              </w:rPr>
              <w:t>Comprobación de la estanquidad aparente</w:t>
            </w:r>
          </w:p>
        </w:tc>
        <w:tc>
          <w:tcPr>
            <w:tcW w:w="1350" w:type="dxa"/>
            <w:tcBorders>
              <w:left w:val="nil"/>
              <w:right w:val="nil"/>
            </w:tcBorders>
          </w:tcPr>
          <w:p>
            <w:pPr>
              <w:pStyle w:val="TableParagraph"/>
              <w:spacing w:before="53"/>
              <w:ind w:right="100"/>
              <w:jc w:val="right"/>
              <w:rPr>
                <w:sz w:val="20"/>
              </w:rPr>
            </w:pPr>
            <w:r>
              <w:rPr>
                <w:w w:val="100"/>
                <w:sz w:val="20"/>
              </w:rPr>
              <w:t>1</w:t>
            </w:r>
          </w:p>
          <w:p>
            <w:pPr>
              <w:pStyle w:val="TableParagraph"/>
              <w:spacing w:before="119"/>
              <w:ind w:right="100"/>
              <w:jc w:val="right"/>
              <w:rPr>
                <w:sz w:val="20"/>
              </w:rPr>
            </w:pPr>
            <w:r>
              <w:rPr>
                <w:w w:val="100"/>
                <w:sz w:val="20"/>
              </w:rPr>
              <w:t>5</w:t>
            </w:r>
          </w:p>
        </w:tc>
        <w:tc>
          <w:tcPr>
            <w:tcW w:w="1193" w:type="dxa"/>
            <w:tcBorders>
              <w:left w:val="nil"/>
              <w:right w:val="nil"/>
            </w:tcBorders>
          </w:tcPr>
          <w:p>
            <w:pPr>
              <w:pStyle w:val="TableParagraph"/>
              <w:spacing w:before="53"/>
              <w:ind w:left="113"/>
              <w:jc w:val="left"/>
              <w:rPr>
                <w:sz w:val="20"/>
              </w:rPr>
            </w:pPr>
            <w:r>
              <w:rPr>
                <w:sz w:val="20"/>
              </w:rPr>
              <w:t>año</w:t>
            </w:r>
          </w:p>
          <w:p>
            <w:pPr>
              <w:pStyle w:val="TableParagraph"/>
              <w:spacing w:before="119"/>
              <w:ind w:left="113"/>
              <w:jc w:val="left"/>
              <w:rPr>
                <w:sz w:val="20"/>
              </w:rPr>
            </w:pPr>
            <w:r>
              <w:rPr>
                <w:sz w:val="20"/>
              </w:rPr>
              <w:t>años</w:t>
            </w:r>
          </w:p>
        </w:tc>
      </w:tr>
      <w:tr>
        <w:trPr>
          <w:trHeight w:val="339" w:hRule="atLeast"/>
        </w:trPr>
        <w:tc>
          <w:tcPr>
            <w:tcW w:w="1982" w:type="dxa"/>
            <w:tcBorders>
              <w:left w:val="nil"/>
            </w:tcBorders>
          </w:tcPr>
          <w:p>
            <w:pPr>
              <w:pStyle w:val="TableParagraph"/>
              <w:spacing w:before="62"/>
              <w:ind w:left="125" w:right="100"/>
              <w:rPr>
                <w:b/>
                <w:sz w:val="18"/>
              </w:rPr>
            </w:pPr>
            <w:r>
              <w:rPr>
                <w:b/>
                <w:sz w:val="18"/>
              </w:rPr>
              <w:t>Aberturas</w:t>
            </w:r>
          </w:p>
        </w:tc>
        <w:tc>
          <w:tcPr>
            <w:tcW w:w="4528" w:type="dxa"/>
            <w:tcBorders>
              <w:right w:val="nil"/>
            </w:tcBorders>
          </w:tcPr>
          <w:p>
            <w:pPr>
              <w:pStyle w:val="TableParagraph"/>
              <w:spacing w:before="63"/>
              <w:ind w:left="106"/>
              <w:jc w:val="left"/>
              <w:rPr>
                <w:sz w:val="18"/>
              </w:rPr>
            </w:pPr>
            <w:r>
              <w:rPr>
                <w:sz w:val="18"/>
              </w:rPr>
              <w:t>Limpieza</w:t>
            </w:r>
          </w:p>
        </w:tc>
        <w:tc>
          <w:tcPr>
            <w:tcW w:w="1350" w:type="dxa"/>
            <w:tcBorders>
              <w:left w:val="nil"/>
              <w:right w:val="nil"/>
            </w:tcBorders>
          </w:tcPr>
          <w:p>
            <w:pPr>
              <w:pStyle w:val="TableParagraph"/>
              <w:spacing w:before="52"/>
              <w:ind w:right="100"/>
              <w:jc w:val="right"/>
              <w:rPr>
                <w:sz w:val="20"/>
              </w:rPr>
            </w:pPr>
            <w:r>
              <w:rPr>
                <w:w w:val="100"/>
                <w:sz w:val="20"/>
              </w:rPr>
              <w:t>1</w:t>
            </w:r>
          </w:p>
        </w:tc>
        <w:tc>
          <w:tcPr>
            <w:tcW w:w="1193" w:type="dxa"/>
            <w:tcBorders>
              <w:left w:val="nil"/>
              <w:right w:val="nil"/>
            </w:tcBorders>
          </w:tcPr>
          <w:p>
            <w:pPr>
              <w:pStyle w:val="TableParagraph"/>
              <w:spacing w:before="52"/>
              <w:ind w:left="113"/>
              <w:jc w:val="left"/>
              <w:rPr>
                <w:sz w:val="20"/>
              </w:rPr>
            </w:pPr>
            <w:r>
              <w:rPr>
                <w:sz w:val="20"/>
              </w:rPr>
              <w:t>año</w:t>
            </w:r>
          </w:p>
        </w:tc>
      </w:tr>
      <w:tr>
        <w:trPr>
          <w:trHeight w:val="690" w:hRule="atLeast"/>
        </w:trPr>
        <w:tc>
          <w:tcPr>
            <w:tcW w:w="1982" w:type="dxa"/>
            <w:tcBorders>
              <w:left w:val="nil"/>
            </w:tcBorders>
          </w:tcPr>
          <w:p>
            <w:pPr>
              <w:pStyle w:val="TableParagraph"/>
              <w:spacing w:before="32"/>
              <w:ind w:left="126" w:right="97"/>
              <w:rPr>
                <w:b/>
                <w:i/>
                <w:sz w:val="18"/>
              </w:rPr>
            </w:pPr>
            <w:r>
              <w:rPr>
                <w:b/>
                <w:i/>
                <w:sz w:val="18"/>
              </w:rPr>
              <w:t>Aspiradores híbri- </w:t>
            </w:r>
            <w:r>
              <w:rPr>
                <w:b/>
                <w:i/>
                <w:sz w:val="18"/>
              </w:rPr>
              <w:t>dos, mecánicos, y extractores</w:t>
            </w:r>
          </w:p>
        </w:tc>
        <w:tc>
          <w:tcPr>
            <w:tcW w:w="4528" w:type="dxa"/>
            <w:tcBorders>
              <w:right w:val="nil"/>
            </w:tcBorders>
          </w:tcPr>
          <w:p>
            <w:pPr>
              <w:pStyle w:val="TableParagraph"/>
              <w:spacing w:before="65"/>
              <w:ind w:left="107"/>
              <w:jc w:val="left"/>
              <w:rPr>
                <w:sz w:val="18"/>
              </w:rPr>
            </w:pPr>
            <w:r>
              <w:rPr>
                <w:sz w:val="18"/>
              </w:rPr>
              <w:t>Limpieza</w:t>
            </w:r>
          </w:p>
          <w:p>
            <w:pPr>
              <w:pStyle w:val="TableParagraph"/>
              <w:spacing w:before="143"/>
              <w:ind w:left="107"/>
              <w:jc w:val="left"/>
              <w:rPr>
                <w:sz w:val="18"/>
              </w:rPr>
            </w:pPr>
            <w:r>
              <w:rPr>
                <w:sz w:val="18"/>
              </w:rPr>
              <w:t>Revisión del estado de funcionalidad</w:t>
            </w:r>
          </w:p>
        </w:tc>
        <w:tc>
          <w:tcPr>
            <w:tcW w:w="1350" w:type="dxa"/>
            <w:tcBorders>
              <w:left w:val="nil"/>
              <w:right w:val="nil"/>
            </w:tcBorders>
          </w:tcPr>
          <w:p>
            <w:pPr>
              <w:pStyle w:val="TableParagraph"/>
              <w:spacing w:before="53"/>
              <w:ind w:right="100"/>
              <w:jc w:val="right"/>
              <w:rPr>
                <w:sz w:val="20"/>
              </w:rPr>
            </w:pPr>
            <w:r>
              <w:rPr>
                <w:w w:val="100"/>
                <w:sz w:val="20"/>
              </w:rPr>
              <w:t>1</w:t>
            </w:r>
          </w:p>
          <w:p>
            <w:pPr>
              <w:pStyle w:val="TableParagraph"/>
              <w:spacing w:before="119"/>
              <w:ind w:right="100"/>
              <w:jc w:val="right"/>
              <w:rPr>
                <w:sz w:val="20"/>
              </w:rPr>
            </w:pPr>
            <w:r>
              <w:rPr>
                <w:w w:val="100"/>
                <w:sz w:val="20"/>
              </w:rPr>
              <w:t>5</w:t>
            </w:r>
          </w:p>
        </w:tc>
        <w:tc>
          <w:tcPr>
            <w:tcW w:w="1193" w:type="dxa"/>
            <w:tcBorders>
              <w:left w:val="nil"/>
              <w:right w:val="nil"/>
            </w:tcBorders>
          </w:tcPr>
          <w:p>
            <w:pPr>
              <w:pStyle w:val="TableParagraph"/>
              <w:spacing w:before="53"/>
              <w:ind w:left="113"/>
              <w:jc w:val="left"/>
              <w:rPr>
                <w:sz w:val="20"/>
              </w:rPr>
            </w:pPr>
            <w:r>
              <w:rPr>
                <w:sz w:val="20"/>
              </w:rPr>
              <w:t>año</w:t>
            </w:r>
          </w:p>
          <w:p>
            <w:pPr>
              <w:pStyle w:val="TableParagraph"/>
              <w:spacing w:before="119"/>
              <w:ind w:left="113"/>
              <w:jc w:val="left"/>
              <w:rPr>
                <w:sz w:val="20"/>
              </w:rPr>
            </w:pPr>
            <w:r>
              <w:rPr>
                <w:sz w:val="20"/>
              </w:rPr>
              <w:t>años</w:t>
            </w:r>
          </w:p>
        </w:tc>
      </w:tr>
      <w:tr>
        <w:trPr>
          <w:trHeight w:val="689" w:hRule="atLeast"/>
        </w:trPr>
        <w:tc>
          <w:tcPr>
            <w:tcW w:w="1982" w:type="dxa"/>
            <w:tcBorders>
              <w:left w:val="nil"/>
            </w:tcBorders>
          </w:tcPr>
          <w:p>
            <w:pPr>
              <w:pStyle w:val="TableParagraph"/>
              <w:spacing w:before="7"/>
              <w:jc w:val="left"/>
              <w:rPr>
                <w:b/>
                <w:sz w:val="20"/>
              </w:rPr>
            </w:pPr>
          </w:p>
          <w:p>
            <w:pPr>
              <w:pStyle w:val="TableParagraph"/>
              <w:ind w:left="126" w:right="97"/>
              <w:rPr>
                <w:b/>
                <w:sz w:val="18"/>
              </w:rPr>
            </w:pPr>
            <w:r>
              <w:rPr>
                <w:b/>
                <w:sz w:val="18"/>
              </w:rPr>
              <w:t>Filtros</w:t>
            </w:r>
          </w:p>
        </w:tc>
        <w:tc>
          <w:tcPr>
            <w:tcW w:w="4528" w:type="dxa"/>
            <w:tcBorders>
              <w:right w:val="nil"/>
            </w:tcBorders>
          </w:tcPr>
          <w:p>
            <w:pPr>
              <w:pStyle w:val="TableParagraph"/>
              <w:spacing w:before="63"/>
              <w:ind w:left="106"/>
              <w:jc w:val="left"/>
              <w:rPr>
                <w:sz w:val="18"/>
              </w:rPr>
            </w:pPr>
            <w:r>
              <w:rPr>
                <w:sz w:val="18"/>
              </w:rPr>
              <w:t>Revisión del estado</w:t>
            </w:r>
          </w:p>
          <w:p>
            <w:pPr>
              <w:pStyle w:val="TableParagraph"/>
              <w:spacing w:before="144"/>
              <w:ind w:left="107"/>
              <w:jc w:val="left"/>
              <w:rPr>
                <w:sz w:val="18"/>
              </w:rPr>
            </w:pPr>
            <w:r>
              <w:rPr>
                <w:sz w:val="18"/>
              </w:rPr>
              <w:t>Limpieza o sustitución</w:t>
            </w:r>
          </w:p>
        </w:tc>
        <w:tc>
          <w:tcPr>
            <w:tcW w:w="1350" w:type="dxa"/>
            <w:tcBorders>
              <w:left w:val="nil"/>
              <w:right w:val="nil"/>
            </w:tcBorders>
          </w:tcPr>
          <w:p>
            <w:pPr>
              <w:pStyle w:val="TableParagraph"/>
              <w:spacing w:before="52"/>
              <w:ind w:right="100"/>
              <w:jc w:val="right"/>
              <w:rPr>
                <w:sz w:val="20"/>
              </w:rPr>
            </w:pPr>
            <w:r>
              <w:rPr>
                <w:w w:val="100"/>
                <w:sz w:val="20"/>
              </w:rPr>
              <w:t>6</w:t>
            </w:r>
          </w:p>
          <w:p>
            <w:pPr>
              <w:pStyle w:val="TableParagraph"/>
              <w:spacing w:before="120"/>
              <w:ind w:right="100"/>
              <w:jc w:val="right"/>
              <w:rPr>
                <w:sz w:val="20"/>
              </w:rPr>
            </w:pPr>
            <w:r>
              <w:rPr>
                <w:w w:val="100"/>
                <w:sz w:val="20"/>
              </w:rPr>
              <w:t>1</w:t>
            </w:r>
          </w:p>
        </w:tc>
        <w:tc>
          <w:tcPr>
            <w:tcW w:w="1193" w:type="dxa"/>
            <w:tcBorders>
              <w:left w:val="nil"/>
              <w:right w:val="nil"/>
            </w:tcBorders>
          </w:tcPr>
          <w:p>
            <w:pPr>
              <w:pStyle w:val="TableParagraph"/>
              <w:spacing w:before="52"/>
              <w:ind w:left="113"/>
              <w:jc w:val="left"/>
              <w:rPr>
                <w:sz w:val="20"/>
              </w:rPr>
            </w:pPr>
            <w:r>
              <w:rPr>
                <w:sz w:val="20"/>
              </w:rPr>
              <w:t>meses</w:t>
            </w:r>
          </w:p>
          <w:p>
            <w:pPr>
              <w:pStyle w:val="TableParagraph"/>
              <w:spacing w:before="120"/>
              <w:ind w:left="113"/>
              <w:jc w:val="left"/>
              <w:rPr>
                <w:sz w:val="20"/>
              </w:rPr>
            </w:pPr>
            <w:r>
              <w:rPr>
                <w:sz w:val="20"/>
              </w:rPr>
              <w:t>año</w:t>
            </w:r>
          </w:p>
        </w:tc>
      </w:tr>
      <w:tr>
        <w:trPr>
          <w:trHeight w:val="340" w:hRule="atLeast"/>
        </w:trPr>
        <w:tc>
          <w:tcPr>
            <w:tcW w:w="1982" w:type="dxa"/>
            <w:tcBorders>
              <w:left w:val="nil"/>
            </w:tcBorders>
          </w:tcPr>
          <w:p>
            <w:pPr>
              <w:pStyle w:val="TableParagraph"/>
              <w:spacing w:before="63"/>
              <w:ind w:left="126" w:right="100"/>
              <w:rPr>
                <w:b/>
                <w:sz w:val="18"/>
              </w:rPr>
            </w:pPr>
            <w:r>
              <w:rPr>
                <w:b/>
                <w:sz w:val="18"/>
              </w:rPr>
              <w:t>Sistemas de control</w:t>
            </w:r>
          </w:p>
        </w:tc>
        <w:tc>
          <w:tcPr>
            <w:tcW w:w="4528" w:type="dxa"/>
            <w:tcBorders>
              <w:right w:val="nil"/>
            </w:tcBorders>
          </w:tcPr>
          <w:p>
            <w:pPr>
              <w:pStyle w:val="TableParagraph"/>
              <w:spacing w:before="65"/>
              <w:ind w:left="107"/>
              <w:jc w:val="left"/>
              <w:rPr>
                <w:sz w:val="18"/>
              </w:rPr>
            </w:pPr>
            <w:r>
              <w:rPr>
                <w:sz w:val="18"/>
              </w:rPr>
              <w:t>Revisión del estado de sus automatismos</w:t>
            </w:r>
          </w:p>
        </w:tc>
        <w:tc>
          <w:tcPr>
            <w:tcW w:w="1350" w:type="dxa"/>
            <w:tcBorders>
              <w:left w:val="nil"/>
              <w:right w:val="nil"/>
            </w:tcBorders>
          </w:tcPr>
          <w:p>
            <w:pPr>
              <w:pStyle w:val="TableParagraph"/>
              <w:spacing w:before="52"/>
              <w:ind w:right="100"/>
              <w:jc w:val="right"/>
              <w:rPr>
                <w:sz w:val="20"/>
              </w:rPr>
            </w:pPr>
            <w:r>
              <w:rPr>
                <w:w w:val="100"/>
                <w:sz w:val="20"/>
              </w:rPr>
              <w:t>2</w:t>
            </w:r>
          </w:p>
        </w:tc>
        <w:tc>
          <w:tcPr>
            <w:tcW w:w="1193" w:type="dxa"/>
            <w:tcBorders>
              <w:left w:val="nil"/>
              <w:right w:val="nil"/>
            </w:tcBorders>
          </w:tcPr>
          <w:p>
            <w:pPr>
              <w:pStyle w:val="TableParagraph"/>
              <w:spacing w:before="52"/>
              <w:ind w:left="113"/>
              <w:jc w:val="left"/>
              <w:rPr>
                <w:sz w:val="20"/>
              </w:rPr>
            </w:pPr>
            <w:r>
              <w:rPr>
                <w:sz w:val="20"/>
              </w:rPr>
              <w:t>años</w:t>
            </w:r>
          </w:p>
        </w:tc>
      </w:tr>
    </w:tbl>
    <w:p>
      <w:pPr>
        <w:spacing w:after="0"/>
        <w:jc w:val="left"/>
        <w:rPr>
          <w:sz w:val="20"/>
        </w:rPr>
        <w:sectPr>
          <w:pgSz w:w="11910" w:h="16840"/>
          <w:pgMar w:header="724" w:footer="636" w:top="1320" w:bottom="820" w:left="1200" w:right="738"/>
        </w:sectPr>
      </w:pPr>
    </w:p>
    <w:p>
      <w:pPr>
        <w:pStyle w:val="BodyText"/>
        <w:rPr>
          <w:b/>
        </w:rPr>
      </w:pPr>
    </w:p>
    <w:p>
      <w:pPr>
        <w:pStyle w:val="BodyText"/>
        <w:spacing w:before="9"/>
        <w:rPr>
          <w:b/>
          <w:sz w:val="21"/>
        </w:rPr>
      </w:pPr>
    </w:p>
    <w:p>
      <w:pPr>
        <w:pStyle w:val="Heading2"/>
        <w:spacing w:before="91"/>
        <w:jc w:val="both"/>
      </w:pPr>
      <w:r>
        <w:rPr/>
        <w:t>Apéndice A Terminología</w:t>
      </w:r>
    </w:p>
    <w:p>
      <w:pPr>
        <w:spacing w:before="157"/>
        <w:ind w:left="218" w:right="392" w:firstLine="0"/>
        <w:jc w:val="both"/>
        <w:rPr>
          <w:sz w:val="20"/>
        </w:rPr>
      </w:pPr>
      <w:r>
        <w:rPr>
          <w:b/>
          <w:sz w:val="20"/>
        </w:rPr>
        <w:t>Abertura de admisión: </w:t>
      </w:r>
      <w:r>
        <w:rPr>
          <w:i/>
          <w:sz w:val="20"/>
        </w:rPr>
        <w:t>abertura de ventilación </w:t>
      </w:r>
      <w:r>
        <w:rPr>
          <w:sz w:val="20"/>
        </w:rPr>
        <w:t>que sirve para la </w:t>
      </w:r>
      <w:r>
        <w:rPr>
          <w:i/>
          <w:sz w:val="20"/>
        </w:rPr>
        <w:t>admisión</w:t>
      </w:r>
      <w:r>
        <w:rPr>
          <w:sz w:val="20"/>
        </w:rPr>
        <w:t>, comunicando el </w:t>
      </w:r>
      <w:r>
        <w:rPr>
          <w:i/>
          <w:sz w:val="20"/>
        </w:rPr>
        <w:t>local </w:t>
      </w:r>
      <w:r>
        <w:rPr>
          <w:sz w:val="20"/>
        </w:rPr>
        <w:t>con el exterior, directamente o a través de un </w:t>
      </w:r>
      <w:r>
        <w:rPr>
          <w:i/>
          <w:sz w:val="20"/>
        </w:rPr>
        <w:t>conducto de admisión</w:t>
      </w:r>
      <w:r>
        <w:rPr>
          <w:sz w:val="20"/>
        </w:rPr>
        <w:t>.</w:t>
      </w:r>
    </w:p>
    <w:p>
      <w:pPr>
        <w:spacing w:before="61"/>
        <w:ind w:left="218" w:right="390" w:hanging="1"/>
        <w:jc w:val="both"/>
        <w:rPr>
          <w:sz w:val="20"/>
        </w:rPr>
      </w:pPr>
      <w:r>
        <w:rPr>
          <w:b/>
          <w:sz w:val="20"/>
        </w:rPr>
        <w:t>Abertura de extracción: </w:t>
      </w:r>
      <w:r>
        <w:rPr>
          <w:i/>
          <w:sz w:val="20"/>
        </w:rPr>
        <w:t>abertura de ventilación </w:t>
      </w:r>
      <w:r>
        <w:rPr>
          <w:sz w:val="20"/>
        </w:rPr>
        <w:t>que sirve para la </w:t>
      </w:r>
      <w:r>
        <w:rPr>
          <w:i/>
          <w:sz w:val="20"/>
        </w:rPr>
        <w:t>extracción, </w:t>
      </w:r>
      <w:r>
        <w:rPr>
          <w:sz w:val="20"/>
        </w:rPr>
        <w:t>comunicando el </w:t>
      </w:r>
      <w:r>
        <w:rPr>
          <w:i/>
          <w:sz w:val="20"/>
        </w:rPr>
        <w:t>local </w:t>
      </w:r>
      <w:r>
        <w:rPr>
          <w:sz w:val="20"/>
        </w:rPr>
        <w:t>con el exterior, directamente o a través de un </w:t>
      </w:r>
      <w:r>
        <w:rPr>
          <w:i/>
          <w:sz w:val="20"/>
        </w:rPr>
        <w:t>conducto de</w:t>
      </w:r>
      <w:r>
        <w:rPr>
          <w:i/>
          <w:spacing w:val="-13"/>
          <w:sz w:val="20"/>
        </w:rPr>
        <w:t> </w:t>
      </w:r>
      <w:r>
        <w:rPr>
          <w:i/>
          <w:sz w:val="20"/>
        </w:rPr>
        <w:t>extracción</w:t>
      </w:r>
      <w:r>
        <w:rPr>
          <w:sz w:val="20"/>
        </w:rPr>
        <w:t>.</w:t>
      </w:r>
    </w:p>
    <w:p>
      <w:pPr>
        <w:spacing w:before="60"/>
        <w:ind w:left="218" w:right="391" w:hanging="1"/>
        <w:jc w:val="both"/>
        <w:rPr>
          <w:sz w:val="20"/>
        </w:rPr>
      </w:pPr>
      <w:r>
        <w:rPr>
          <w:b/>
          <w:sz w:val="20"/>
        </w:rPr>
        <w:t>Abertura de paso: </w:t>
      </w:r>
      <w:r>
        <w:rPr>
          <w:i/>
          <w:sz w:val="20"/>
        </w:rPr>
        <w:t>abertura de ventilación </w:t>
      </w:r>
      <w:r>
        <w:rPr>
          <w:sz w:val="20"/>
        </w:rPr>
        <w:t>que sirve para permitir el paso de aire de un </w:t>
      </w:r>
      <w:r>
        <w:rPr>
          <w:i/>
          <w:sz w:val="20"/>
        </w:rPr>
        <w:t>local </w:t>
      </w:r>
      <w:r>
        <w:rPr>
          <w:sz w:val="20"/>
        </w:rPr>
        <w:t>a otro con- tiguo.</w:t>
      </w:r>
    </w:p>
    <w:p>
      <w:pPr>
        <w:spacing w:before="59"/>
        <w:ind w:left="218" w:right="0" w:firstLine="0"/>
        <w:jc w:val="both"/>
        <w:rPr>
          <w:i/>
          <w:sz w:val="20"/>
        </w:rPr>
      </w:pPr>
      <w:r>
        <w:rPr>
          <w:b/>
          <w:sz w:val="20"/>
        </w:rPr>
        <w:t>Abertura de ventilación: </w:t>
      </w:r>
      <w:r>
        <w:rPr>
          <w:sz w:val="20"/>
        </w:rPr>
        <w:t>hueco practicado en uno de los elementos constructivos que delimitan un </w:t>
      </w:r>
      <w:r>
        <w:rPr>
          <w:i/>
          <w:sz w:val="20"/>
        </w:rPr>
        <w:t>local</w:t>
      </w:r>
    </w:p>
    <w:p>
      <w:pPr>
        <w:pStyle w:val="BodyText"/>
        <w:spacing w:before="1"/>
        <w:ind w:left="218"/>
        <w:jc w:val="both"/>
      </w:pPr>
      <w:r>
        <w:rPr/>
        <w:t>para permitir la transferencia de aire entre el mismo y otro </w:t>
      </w:r>
      <w:r>
        <w:rPr>
          <w:i/>
        </w:rPr>
        <w:t>local </w:t>
      </w:r>
      <w:r>
        <w:rPr/>
        <w:t>contiguo o el espacio exterior.</w:t>
      </w:r>
    </w:p>
    <w:p>
      <w:pPr>
        <w:spacing w:before="60"/>
        <w:ind w:left="218" w:right="390" w:firstLine="0"/>
        <w:jc w:val="both"/>
        <w:rPr>
          <w:sz w:val="20"/>
        </w:rPr>
      </w:pPr>
      <w:r>
        <w:rPr>
          <w:b/>
          <w:sz w:val="20"/>
        </w:rPr>
        <w:t>Abertura mixta: </w:t>
      </w:r>
      <w:r>
        <w:rPr>
          <w:i/>
          <w:sz w:val="20"/>
        </w:rPr>
        <w:t>abertura de ventilación </w:t>
      </w:r>
      <w:r>
        <w:rPr>
          <w:sz w:val="20"/>
        </w:rPr>
        <w:t>para ventilación natural que comunica el </w:t>
      </w:r>
      <w:r>
        <w:rPr>
          <w:i/>
          <w:sz w:val="20"/>
        </w:rPr>
        <w:t>local </w:t>
      </w:r>
      <w:r>
        <w:rPr>
          <w:sz w:val="20"/>
        </w:rPr>
        <w:t>directamente con el exterior y que en ciertas circunstancias funciona como </w:t>
      </w:r>
      <w:r>
        <w:rPr>
          <w:i/>
          <w:sz w:val="20"/>
        </w:rPr>
        <w:t>abertura de admisión </w:t>
      </w:r>
      <w:r>
        <w:rPr>
          <w:sz w:val="20"/>
        </w:rPr>
        <w:t>y en otras como </w:t>
      </w:r>
      <w:r>
        <w:rPr>
          <w:i/>
          <w:sz w:val="20"/>
        </w:rPr>
        <w:t>abertura </w:t>
      </w:r>
      <w:r>
        <w:rPr>
          <w:i/>
          <w:sz w:val="20"/>
        </w:rPr>
        <w:t>de extracción</w:t>
      </w:r>
      <w:r>
        <w:rPr>
          <w:sz w:val="20"/>
        </w:rPr>
        <w:t>.</w:t>
      </w:r>
    </w:p>
    <w:p>
      <w:pPr>
        <w:pStyle w:val="BodyText"/>
        <w:spacing w:before="59"/>
        <w:ind w:left="218" w:right="392"/>
        <w:jc w:val="both"/>
      </w:pPr>
      <w:r>
        <w:rPr>
          <w:b/>
          <w:bCs/>
          <w:position w:val="1"/>
        </w:rPr>
        <w:t>Acumulado anual de CO</w:t>
      </w:r>
      <w:r>
        <w:rPr>
          <w:b/>
          <w:bCs/>
          <w:sz w:val="13"/>
          <w:szCs w:val="13"/>
        </w:rPr>
        <w:t>2</w:t>
      </w:r>
      <w:r>
        <w:rPr>
          <w:b/>
          <w:bCs/>
          <w:position w:val="1"/>
        </w:rPr>
        <w:t>: </w:t>
      </w:r>
      <w:r>
        <w:rPr>
          <w:position w:val="1"/>
        </w:rPr>
        <w:t>magnitud que representa la relación entre las concentraciones de CO</w:t>
      </w:r>
      <w:r>
        <w:rPr>
          <w:sz w:val="13"/>
          <w:szCs w:val="13"/>
        </w:rPr>
        <w:t>2 </w:t>
      </w:r>
      <w:r>
        <w:rPr>
          <w:position w:val="1"/>
        </w:rPr>
        <w:t>al- </w:t>
      </w:r>
      <w:r>
        <w:rPr/>
        <w:t>canzadas por encima de un determinado valor (valor base) y el tiempo que se han mantenido a lo largo de un año. Puede calcularse como el sumatorio de las áreas (medidas en ppmꞏhora) contenidas entre </w:t>
      </w:r>
      <w:r>
        <w:rPr>
          <w:spacing w:val="-14"/>
        </w:rPr>
        <w:t>la </w:t>
      </w:r>
      <w:r>
        <w:rPr>
          <w:position w:val="1"/>
        </w:rPr>
        <w:t>representación de las concentraciones de CO</w:t>
      </w:r>
      <w:r>
        <w:rPr>
          <w:sz w:val="13"/>
          <w:szCs w:val="13"/>
        </w:rPr>
        <w:t>2 </w:t>
      </w:r>
      <w:r>
        <w:rPr>
          <w:position w:val="1"/>
        </w:rPr>
        <w:t>en función del tiempo y el valor base.</w:t>
      </w:r>
    </w:p>
    <w:p>
      <w:pPr>
        <w:pStyle w:val="BodyText"/>
        <w:spacing w:before="61"/>
        <w:ind w:left="218"/>
      </w:pPr>
      <w:r>
        <w:rPr/>
        <w:t>Ejemplo:</w:t>
      </w:r>
    </w:p>
    <w:p>
      <w:pPr>
        <w:pStyle w:val="BodyText"/>
        <w:spacing w:before="8"/>
        <w:rPr>
          <w:sz w:val="9"/>
        </w:rPr>
      </w:pPr>
      <w:r>
        <w:rPr/>
        <w:drawing>
          <wp:anchor distT="0" distB="0" distL="0" distR="0" allowOverlap="1" layoutInCell="1" locked="0" behindDoc="0" simplePos="0" relativeHeight="273">
            <wp:simplePos x="0" y="0"/>
            <wp:positionH relativeFrom="page">
              <wp:posOffset>2343463</wp:posOffset>
            </wp:positionH>
            <wp:positionV relativeFrom="paragraph">
              <wp:posOffset>95722</wp:posOffset>
            </wp:positionV>
            <wp:extent cx="3016386" cy="1479518"/>
            <wp:effectExtent l="0" t="0" r="0" b="0"/>
            <wp:wrapTopAndBottom/>
            <wp:docPr id="23" name="image104.jpeg"/>
            <wp:cNvGraphicFramePr>
              <a:graphicFrameLocks noChangeAspect="1"/>
            </wp:cNvGraphicFramePr>
            <a:graphic>
              <a:graphicData uri="http://schemas.openxmlformats.org/drawingml/2006/picture">
                <pic:pic>
                  <pic:nvPicPr>
                    <pic:cNvPr id="24" name="image104.jpeg"/>
                    <pic:cNvPicPr/>
                  </pic:nvPicPr>
                  <pic:blipFill>
                    <a:blip r:embed="rId112" cstate="print"/>
                    <a:stretch>
                      <a:fillRect/>
                    </a:stretch>
                  </pic:blipFill>
                  <pic:spPr>
                    <a:xfrm>
                      <a:off x="0" y="0"/>
                      <a:ext cx="3016386" cy="1479518"/>
                    </a:xfrm>
                    <a:prstGeom prst="rect">
                      <a:avLst/>
                    </a:prstGeom>
                  </pic:spPr>
                </pic:pic>
              </a:graphicData>
            </a:graphic>
          </wp:anchor>
        </w:drawing>
      </w:r>
    </w:p>
    <w:p>
      <w:pPr>
        <w:pStyle w:val="BodyText"/>
        <w:rPr>
          <w:sz w:val="22"/>
        </w:rPr>
      </w:pPr>
    </w:p>
    <w:p>
      <w:pPr>
        <w:pStyle w:val="BodyText"/>
        <w:spacing w:before="128"/>
        <w:ind w:left="218" w:right="393"/>
        <w:jc w:val="both"/>
      </w:pPr>
      <w:r>
        <w:rPr>
          <w:b/>
        </w:rPr>
        <w:t>Admisión: </w:t>
      </w:r>
      <w:r>
        <w:rPr/>
        <w:t>entrada a un </w:t>
      </w:r>
      <w:r>
        <w:rPr>
          <w:i/>
        </w:rPr>
        <w:t>local </w:t>
      </w:r>
      <w:r>
        <w:rPr/>
        <w:t>de aire exterior para su ventilación y, en algunos casos, también para la de otros </w:t>
      </w:r>
      <w:r>
        <w:rPr>
          <w:i/>
        </w:rPr>
        <w:t>locales</w:t>
      </w:r>
      <w:r>
        <w:rPr/>
        <w:t>.</w:t>
      </w:r>
    </w:p>
    <w:p>
      <w:pPr>
        <w:pStyle w:val="BodyText"/>
        <w:spacing w:before="60"/>
        <w:ind w:left="218" w:right="391"/>
        <w:jc w:val="both"/>
      </w:pPr>
      <w:r>
        <w:rPr>
          <w:b/>
        </w:rPr>
        <w:t>Aireador: </w:t>
      </w:r>
      <w:r>
        <w:rPr/>
        <w:t>elemento que se dispone en las </w:t>
      </w:r>
      <w:r>
        <w:rPr>
          <w:i/>
        </w:rPr>
        <w:t>aberturas de admisión </w:t>
      </w:r>
      <w:r>
        <w:rPr/>
        <w:t>para dirigir adecuadamente el flujo de aire e impedir la entrada de agua y de insectos o pájaros. Puede ser regulable o de abertura fija y puede disponer de elementos adicionales para obtener una atenuación acústica adecuada.</w:t>
      </w:r>
    </w:p>
    <w:p>
      <w:pPr>
        <w:pStyle w:val="BodyText"/>
        <w:spacing w:before="60"/>
        <w:ind w:left="218" w:right="391" w:hanging="1"/>
        <w:jc w:val="both"/>
      </w:pPr>
      <w:r>
        <w:rPr>
          <w:b/>
        </w:rPr>
        <w:t>Aparcamiento compartimentado: </w:t>
      </w:r>
      <w:r>
        <w:rPr/>
        <w:t>aparcamiento colectivo en el que las plazas correspondientes a usuarios diferentes se encuentran separadas entre sí y de la zona común de circulación por medio de particiones.</w:t>
      </w:r>
    </w:p>
    <w:p>
      <w:pPr>
        <w:pStyle w:val="BodyText"/>
        <w:spacing w:before="60"/>
        <w:ind w:left="218" w:right="390"/>
        <w:jc w:val="both"/>
      </w:pPr>
      <w:r>
        <w:rPr>
          <w:b/>
        </w:rPr>
        <w:t>Apertura fija (de una carpintería): </w:t>
      </w:r>
      <w:r>
        <w:rPr/>
        <w:t>Apertura estable que se consigue mediante la propia configuración de la carpintería o mediante un dispositivo especial que mantiene las hojas en una posición que la permi- ta.</w:t>
      </w:r>
    </w:p>
    <w:p>
      <w:pPr>
        <w:spacing w:before="60"/>
        <w:ind w:left="218" w:right="391" w:firstLine="0"/>
        <w:jc w:val="both"/>
        <w:rPr>
          <w:sz w:val="20"/>
        </w:rPr>
      </w:pPr>
      <w:r>
        <w:rPr>
          <w:b/>
          <w:sz w:val="20"/>
        </w:rPr>
        <w:t>Área efectiva (de una abertura)</w:t>
      </w:r>
      <w:r>
        <w:rPr>
          <w:sz w:val="20"/>
        </w:rPr>
        <w:t>: área de la sección perpendicular a la dirección del movimiento del aire que está libre de obstáculos.</w:t>
      </w:r>
    </w:p>
    <w:p>
      <w:pPr>
        <w:spacing w:before="61"/>
        <w:ind w:left="218" w:right="390" w:firstLine="0"/>
        <w:jc w:val="both"/>
        <w:rPr>
          <w:sz w:val="20"/>
        </w:rPr>
      </w:pPr>
      <w:r>
        <w:rPr>
          <w:b/>
          <w:sz w:val="20"/>
        </w:rPr>
        <w:t>Aspirador híbrido: </w:t>
      </w:r>
      <w:r>
        <w:rPr>
          <w:sz w:val="20"/>
        </w:rPr>
        <w:t>dispositivo de la </w:t>
      </w:r>
      <w:r>
        <w:rPr>
          <w:i/>
          <w:sz w:val="20"/>
        </w:rPr>
        <w:t>ventilación híbrida</w:t>
      </w:r>
      <w:r>
        <w:rPr>
          <w:sz w:val="20"/>
        </w:rPr>
        <w:t>, colocado en la </w:t>
      </w:r>
      <w:r>
        <w:rPr>
          <w:i/>
          <w:sz w:val="20"/>
        </w:rPr>
        <w:t>boca de expulsión, </w:t>
      </w:r>
      <w:r>
        <w:rPr>
          <w:sz w:val="20"/>
        </w:rPr>
        <w:t>que permite la </w:t>
      </w:r>
      <w:r>
        <w:rPr>
          <w:i/>
          <w:sz w:val="20"/>
        </w:rPr>
        <w:t>extracción </w:t>
      </w:r>
      <w:r>
        <w:rPr>
          <w:sz w:val="20"/>
        </w:rPr>
        <w:t>del aire por tiro natural cuando la presión y la temperatura ambientales son favorables para garantizar el caudal necesario y que, mediante un </w:t>
      </w:r>
      <w:r>
        <w:rPr>
          <w:i/>
          <w:sz w:val="20"/>
        </w:rPr>
        <w:t>ventilador, </w:t>
      </w:r>
      <w:r>
        <w:rPr>
          <w:sz w:val="20"/>
        </w:rPr>
        <w:t>extrae automáticamente el aire cuando dichas magnitudes son desfavorables.</w:t>
      </w:r>
    </w:p>
    <w:p>
      <w:pPr>
        <w:spacing w:before="59"/>
        <w:ind w:left="218" w:right="392" w:firstLine="0"/>
        <w:jc w:val="both"/>
        <w:rPr>
          <w:sz w:val="20"/>
        </w:rPr>
      </w:pPr>
      <w:r>
        <w:rPr>
          <w:b/>
          <w:sz w:val="20"/>
        </w:rPr>
        <w:t>Aspirador mecánico: </w:t>
      </w:r>
      <w:r>
        <w:rPr>
          <w:sz w:val="20"/>
        </w:rPr>
        <w:t>dispositivo de la </w:t>
      </w:r>
      <w:r>
        <w:rPr>
          <w:i/>
          <w:sz w:val="20"/>
        </w:rPr>
        <w:t>ventilación mecánica</w:t>
      </w:r>
      <w:r>
        <w:rPr>
          <w:sz w:val="20"/>
        </w:rPr>
        <w:t>, colocado en la </w:t>
      </w:r>
      <w:r>
        <w:rPr>
          <w:i/>
          <w:sz w:val="20"/>
        </w:rPr>
        <w:t>boca de expulsión </w:t>
      </w:r>
      <w:r>
        <w:rPr>
          <w:sz w:val="20"/>
        </w:rPr>
        <w:t>que tiene un </w:t>
      </w:r>
      <w:r>
        <w:rPr>
          <w:i/>
          <w:sz w:val="20"/>
        </w:rPr>
        <w:t>ventilador </w:t>
      </w:r>
      <w:r>
        <w:rPr>
          <w:sz w:val="20"/>
        </w:rPr>
        <w:t>para extraer automáticamente el aire de forma continua.</w:t>
      </w:r>
    </w:p>
    <w:p>
      <w:pPr>
        <w:spacing w:before="60"/>
        <w:ind w:left="218" w:right="393" w:hanging="1"/>
        <w:jc w:val="both"/>
        <w:rPr>
          <w:sz w:val="20"/>
        </w:rPr>
      </w:pPr>
      <w:r>
        <w:rPr>
          <w:b/>
          <w:sz w:val="20"/>
        </w:rPr>
        <w:t>Boca de expulsión: </w:t>
      </w:r>
      <w:r>
        <w:rPr>
          <w:sz w:val="20"/>
        </w:rPr>
        <w:t>extremo exterior de un </w:t>
      </w:r>
      <w:r>
        <w:rPr>
          <w:i/>
          <w:sz w:val="20"/>
        </w:rPr>
        <w:t>conducto de extracción </w:t>
      </w:r>
      <w:r>
        <w:rPr>
          <w:sz w:val="20"/>
        </w:rPr>
        <w:t>por el que sale el aire viciado, que está dotado de elementos de protección para impedir la entrada de agua y de pájaros.</w:t>
      </w:r>
    </w:p>
    <w:p>
      <w:pPr>
        <w:pStyle w:val="BodyText"/>
        <w:spacing w:before="60"/>
        <w:ind w:left="218" w:right="392" w:hanging="1"/>
        <w:jc w:val="both"/>
      </w:pPr>
      <w:r>
        <w:rPr>
          <w:b/>
        </w:rPr>
        <w:t>Boca de toma: </w:t>
      </w:r>
      <w:r>
        <w:rPr/>
        <w:t>extremo exterior de un </w:t>
      </w:r>
      <w:r>
        <w:rPr>
          <w:i/>
        </w:rPr>
        <w:t>conducto de admisión </w:t>
      </w:r>
      <w:r>
        <w:rPr/>
        <w:t>por el que entra el aire exterior, que está dotado de elementos de protección para impedir la entrada de agua y de insectos.</w:t>
      </w:r>
    </w:p>
    <w:p>
      <w:pPr>
        <w:spacing w:after="0"/>
        <w:jc w:val="both"/>
        <w:sectPr>
          <w:pgSz w:w="11910" w:h="16840"/>
          <w:pgMar w:header="724" w:footer="636" w:top="1320" w:bottom="820" w:left="1200" w:right="738"/>
        </w:sectPr>
      </w:pPr>
    </w:p>
    <w:p>
      <w:pPr>
        <w:spacing w:before="89"/>
        <w:ind w:left="218" w:right="391" w:firstLine="0"/>
        <w:jc w:val="both"/>
        <w:rPr>
          <w:sz w:val="20"/>
        </w:rPr>
      </w:pPr>
      <w:r>
        <w:rPr>
          <w:b/>
          <w:sz w:val="20"/>
        </w:rPr>
        <w:t>Caudal de ventilación: </w:t>
      </w:r>
      <w:r>
        <w:rPr>
          <w:sz w:val="20"/>
        </w:rPr>
        <w:t>volumen de aire que, en condiciones normales, se aporta a un </w:t>
      </w:r>
      <w:r>
        <w:rPr>
          <w:i/>
          <w:sz w:val="20"/>
        </w:rPr>
        <w:t>local </w:t>
      </w:r>
      <w:r>
        <w:rPr>
          <w:sz w:val="20"/>
        </w:rPr>
        <w:t>por unidad de tiempo.</w:t>
      </w:r>
    </w:p>
    <w:p>
      <w:pPr>
        <w:pStyle w:val="BodyText"/>
        <w:spacing w:before="60"/>
        <w:ind w:left="218" w:right="390" w:hanging="1"/>
        <w:jc w:val="both"/>
      </w:pPr>
      <w:r>
        <w:rPr>
          <w:b/>
        </w:rPr>
        <w:t>Conducto de admisión</w:t>
      </w:r>
      <w:r>
        <w:rPr/>
        <w:t>: conducto que sirve para introducir el aire exterior al interior de un </w:t>
      </w:r>
      <w:r>
        <w:rPr>
          <w:i/>
        </w:rPr>
        <w:t>local </w:t>
      </w:r>
      <w:r>
        <w:rPr/>
        <w:t>cuando ninguno de los elementos constructivos que lo conforman está en contacto con un espacio exterior apto para que pueda disponerse en él la abertura de entrada del aire de ventilación.</w:t>
      </w:r>
    </w:p>
    <w:p>
      <w:pPr>
        <w:spacing w:before="60"/>
        <w:ind w:left="218" w:right="0" w:firstLine="0"/>
        <w:jc w:val="both"/>
        <w:rPr>
          <w:sz w:val="20"/>
        </w:rPr>
      </w:pPr>
      <w:r>
        <w:rPr>
          <w:b/>
          <w:sz w:val="20"/>
        </w:rPr>
        <w:t>Conducto de extracción</w:t>
      </w:r>
      <w:r>
        <w:rPr>
          <w:sz w:val="20"/>
        </w:rPr>
        <w:t>: conducto que sirve para sacar el aire viciado al exterior.</w:t>
      </w:r>
    </w:p>
    <w:p>
      <w:pPr>
        <w:pStyle w:val="BodyText"/>
        <w:spacing w:before="61"/>
        <w:ind w:left="218" w:right="392"/>
        <w:jc w:val="both"/>
      </w:pPr>
      <w:r>
        <w:rPr>
          <w:b/>
        </w:rPr>
        <w:t>Contaminantes (del aire): </w:t>
      </w:r>
      <w:r>
        <w:rPr/>
        <w:t>sustancias que, durante el uso de un </w:t>
      </w:r>
      <w:r>
        <w:rPr>
          <w:i/>
        </w:rPr>
        <w:t>local</w:t>
      </w:r>
      <w:r>
        <w:rPr/>
        <w:t>, se incorporan al aire interior y deterioran su calidad en una medida tal que puede producir molestias inaceptables o enfermedades en los ocupantes del </w:t>
      </w:r>
      <w:r>
        <w:rPr>
          <w:i/>
        </w:rPr>
        <w:t>local</w:t>
      </w:r>
      <w:r>
        <w:rPr/>
        <w:t>.</w:t>
      </w:r>
    </w:p>
    <w:p>
      <w:pPr>
        <w:pStyle w:val="BodyText"/>
        <w:spacing w:before="60"/>
        <w:ind w:left="218" w:right="391"/>
        <w:jc w:val="both"/>
      </w:pPr>
      <w:r>
        <w:rPr>
          <w:b/>
        </w:rPr>
        <w:t>Depresión</w:t>
      </w:r>
      <w:r>
        <w:rPr/>
        <w:t>: valor absoluto de la diferencia de presión entre un punto cualquiera del sistema de ventila- ción y otro con mayor presión que se toma como referencia.</w:t>
      </w:r>
    </w:p>
    <w:p>
      <w:pPr>
        <w:spacing w:before="59"/>
        <w:ind w:left="218" w:right="392" w:firstLine="0"/>
        <w:jc w:val="both"/>
        <w:rPr>
          <w:sz w:val="20"/>
        </w:rPr>
      </w:pPr>
      <w:r>
        <w:rPr>
          <w:b/>
          <w:sz w:val="20"/>
        </w:rPr>
        <w:t>Dispositivo de microventilación: </w:t>
      </w:r>
      <w:r>
        <w:rPr>
          <w:i/>
          <w:sz w:val="20"/>
        </w:rPr>
        <w:t>apertura fija </w:t>
      </w:r>
      <w:r>
        <w:rPr>
          <w:sz w:val="20"/>
        </w:rPr>
        <w:t>de una carpintería que permite una </w:t>
      </w:r>
      <w:r>
        <w:rPr>
          <w:i/>
          <w:sz w:val="20"/>
        </w:rPr>
        <w:t>ventilación </w:t>
      </w:r>
      <w:r>
        <w:rPr>
          <w:sz w:val="20"/>
        </w:rPr>
        <w:t>muy pe- queña suficiente para garantizar los caudales exigidos.</w:t>
      </w:r>
    </w:p>
    <w:p>
      <w:pPr>
        <w:pStyle w:val="BodyText"/>
        <w:spacing w:before="60"/>
        <w:ind w:left="218" w:right="391"/>
        <w:jc w:val="both"/>
      </w:pPr>
      <w:r>
        <w:rPr>
          <w:b/>
        </w:rPr>
        <w:t>Equilibrado de caudales: </w:t>
      </w:r>
      <w:r>
        <w:rPr/>
        <w:t>procedimiento por el que, fijada una hipótesis de flujo, en el supuesto de que los caudales de admisión y extracción determinados de acuerdo con la tabla 2.1 no coincidan, se aumen- tan los caudales menores hasta que se igualen a los mayores. Con los caudales equilibrados se realiza el dimensionado del sistema de</w:t>
      </w:r>
      <w:r>
        <w:rPr>
          <w:spacing w:val="-3"/>
        </w:rPr>
        <w:t> </w:t>
      </w:r>
      <w:r>
        <w:rPr>
          <w:i/>
        </w:rPr>
        <w:t>ventilación</w:t>
      </w:r>
      <w:r>
        <w:rPr/>
        <w:t>.</w:t>
      </w:r>
    </w:p>
    <w:p>
      <w:pPr>
        <w:pStyle w:val="BodyText"/>
        <w:spacing w:before="60"/>
        <w:ind w:left="218" w:right="390"/>
        <w:jc w:val="both"/>
      </w:pPr>
      <w:r>
        <w:rPr>
          <w:b/>
        </w:rPr>
        <w:t>Escenario de ocupación</w:t>
      </w:r>
      <w:r>
        <w:rPr/>
        <w:t>: simulación teórica y aproximada del comportamiento estándar que podrían llevar a cabo los ocupantes de una vivienda en cuanto a su localización temporal. Usualmente, es una tabla que recoge en qué </w:t>
      </w:r>
      <w:r>
        <w:rPr>
          <w:i/>
        </w:rPr>
        <w:t>local </w:t>
      </w:r>
      <w:r>
        <w:rPr/>
        <w:t>de la vivienda se encuentra cada ocupante en función de cada hora del día, para todo un día o una</w:t>
      </w:r>
      <w:r>
        <w:rPr>
          <w:spacing w:val="-8"/>
        </w:rPr>
        <w:t> </w:t>
      </w:r>
      <w:r>
        <w:rPr/>
        <w:t>semana.</w:t>
      </w:r>
    </w:p>
    <w:p>
      <w:pPr>
        <w:spacing w:before="60"/>
        <w:ind w:left="218" w:right="0" w:firstLine="0"/>
        <w:jc w:val="both"/>
        <w:rPr>
          <w:sz w:val="20"/>
        </w:rPr>
      </w:pPr>
      <w:r>
        <w:rPr>
          <w:b/>
          <w:sz w:val="20"/>
        </w:rPr>
        <w:t>Expulsión: </w:t>
      </w:r>
      <w:r>
        <w:rPr>
          <w:sz w:val="20"/>
        </w:rPr>
        <w:t>salida al exterior del aire viciado.</w:t>
      </w:r>
    </w:p>
    <w:p>
      <w:pPr>
        <w:pStyle w:val="BodyText"/>
        <w:spacing w:before="60"/>
        <w:ind w:left="218" w:right="393"/>
        <w:jc w:val="both"/>
      </w:pPr>
      <w:r>
        <w:rPr>
          <w:b/>
        </w:rPr>
        <w:t>Extracción: </w:t>
      </w:r>
      <w:r>
        <w:rPr/>
        <w:t>evacuación hacia el exterior del aire viciado de un </w:t>
      </w:r>
      <w:r>
        <w:rPr>
          <w:i/>
        </w:rPr>
        <w:t>local</w:t>
      </w:r>
      <w:r>
        <w:rPr/>
        <w:t>. Este aire puede haberse contami- nado en el propio local o en otros comunicados con él.</w:t>
      </w:r>
    </w:p>
    <w:p>
      <w:pPr>
        <w:spacing w:before="60"/>
        <w:ind w:left="218" w:right="0" w:firstLine="0"/>
        <w:jc w:val="both"/>
        <w:rPr>
          <w:sz w:val="20"/>
        </w:rPr>
      </w:pPr>
      <w:r>
        <w:rPr>
          <w:b/>
          <w:sz w:val="20"/>
        </w:rPr>
        <w:t>Extractor</w:t>
      </w:r>
      <w:r>
        <w:rPr>
          <w:sz w:val="20"/>
        </w:rPr>
        <w:t>: </w:t>
      </w:r>
      <w:r>
        <w:rPr>
          <w:i/>
          <w:sz w:val="20"/>
        </w:rPr>
        <w:t>ventilador </w:t>
      </w:r>
      <w:r>
        <w:rPr>
          <w:sz w:val="20"/>
        </w:rPr>
        <w:t>que sirve para extraer de forma localizada los contaminantes.</w:t>
      </w:r>
    </w:p>
    <w:p>
      <w:pPr>
        <w:pStyle w:val="BodyText"/>
        <w:spacing w:before="60"/>
        <w:ind w:left="218" w:right="391"/>
        <w:jc w:val="both"/>
      </w:pPr>
      <w:r>
        <w:rPr>
          <w:b/>
        </w:rPr>
        <w:t>Filtro: </w:t>
      </w:r>
      <w:r>
        <w:rPr/>
        <w:t>elemento de un sistema de ventilación que sirve para retener la suciedad del aire con el fin de evitar el ensuciamiento de los dispositivos y aparatos por los que éste pasa y la contaminación del aire exterior.</w:t>
      </w:r>
    </w:p>
    <w:p>
      <w:pPr>
        <w:pStyle w:val="BodyText"/>
        <w:spacing w:before="60"/>
        <w:ind w:left="218" w:right="392" w:hanging="1"/>
        <w:jc w:val="both"/>
      </w:pPr>
      <w:r>
        <w:rPr>
          <w:b/>
        </w:rPr>
        <w:t>Junta de apertura: </w:t>
      </w:r>
      <w:r>
        <w:rPr/>
        <w:t>línea de discontinuidad existente entre el marco y la hoja y entre dos hojas de una ventana o puerta exterior.</w:t>
      </w:r>
    </w:p>
    <w:p>
      <w:pPr>
        <w:pStyle w:val="BodyText"/>
        <w:spacing w:line="237" w:lineRule="auto" w:before="62"/>
        <w:ind w:left="218" w:right="391"/>
        <w:jc w:val="both"/>
      </w:pPr>
      <w:r>
        <w:rPr>
          <w:b/>
        </w:rPr>
        <w:t>Local: </w:t>
      </w:r>
      <w:r>
        <w:rPr/>
        <w:t>recinto interior. En el caso de que dos </w:t>
      </w:r>
      <w:r>
        <w:rPr>
          <w:i/>
        </w:rPr>
        <w:t>locales </w:t>
      </w:r>
      <w:r>
        <w:rPr/>
        <w:t>contiguos estén comunicados por un hueco libre se considerará que forman un solo </w:t>
      </w:r>
      <w:r>
        <w:rPr>
          <w:i/>
        </w:rPr>
        <w:t>local </w:t>
      </w:r>
      <w:r>
        <w:rPr/>
        <w:t>cuando el área de dicho hueco sea mayor o igual que 1,5 m</w:t>
      </w:r>
      <w:r>
        <w:rPr>
          <w:position w:val="7"/>
          <w:sz w:val="13"/>
        </w:rPr>
        <w:t>2 </w:t>
      </w:r>
      <w:r>
        <w:rPr/>
        <w:t>y que un veinteavo de la suma de las áreas de ambos </w:t>
      </w:r>
      <w:r>
        <w:rPr>
          <w:i/>
        </w:rPr>
        <w:t>locales</w:t>
      </w:r>
      <w:r>
        <w:rPr/>
        <w:t>.</w:t>
      </w:r>
    </w:p>
    <w:p>
      <w:pPr>
        <w:pStyle w:val="BodyText"/>
        <w:spacing w:before="60"/>
        <w:ind w:left="262" w:right="390"/>
        <w:jc w:val="both"/>
      </w:pPr>
      <w:r>
        <w:rPr>
          <w:b/>
        </w:rPr>
        <w:t>Local habitable: </w:t>
      </w:r>
      <w:r>
        <w:rPr>
          <w:i/>
        </w:rPr>
        <w:t>local </w:t>
      </w:r>
      <w:r>
        <w:rPr/>
        <w:t>destinado al uso de personas cuya densidad de ocupación y tiempo de estancia exigen unas condiciones acústicas, térmicas y de salubridad adecuadas. Se consideran locales habita- bles, dentro del ámbito de aplicación de esta sección, los siguientes:</w:t>
      </w:r>
    </w:p>
    <w:p>
      <w:pPr>
        <w:pStyle w:val="BodyText"/>
        <w:spacing w:line="302" w:lineRule="auto" w:before="61"/>
        <w:ind w:left="218" w:right="2943"/>
        <w:jc w:val="both"/>
      </w:pPr>
      <w:r>
        <w:rPr/>
        <w:t>habitaciones y estancias (dormitorios, comedores, bibliotecas, salones, etc.); cocinas, baños, aseos y pasillos y distribuidores interiores de las viviendas.</w:t>
      </w:r>
    </w:p>
    <w:p>
      <w:pPr>
        <w:spacing w:before="0"/>
        <w:ind w:left="218" w:right="390" w:firstLine="0"/>
        <w:jc w:val="both"/>
        <w:rPr>
          <w:sz w:val="20"/>
        </w:rPr>
      </w:pPr>
      <w:r>
        <w:rPr>
          <w:b/>
          <w:sz w:val="20"/>
        </w:rPr>
        <w:t>Sección nominal (de un conducto): </w:t>
      </w:r>
      <w:r>
        <w:rPr>
          <w:sz w:val="20"/>
        </w:rPr>
        <w:t>valor teórico aproximado al valor real del área libre de la sección recta de un conducto que se toma como representativo del mismo.</w:t>
      </w:r>
    </w:p>
    <w:p>
      <w:pPr>
        <w:spacing w:before="60"/>
        <w:ind w:left="218" w:right="391" w:firstLine="0"/>
        <w:jc w:val="both"/>
        <w:rPr>
          <w:sz w:val="20"/>
        </w:rPr>
      </w:pPr>
      <w:r>
        <w:rPr>
          <w:b/>
          <w:sz w:val="20"/>
        </w:rPr>
        <w:t>Sistema de detección de monóxido de carbono: </w:t>
      </w:r>
      <w:r>
        <w:rPr>
          <w:sz w:val="20"/>
        </w:rPr>
        <w:t>sistema automático de vigilancia de la concentración de monóxido de carbono existente en un </w:t>
      </w:r>
      <w:r>
        <w:rPr>
          <w:i/>
          <w:sz w:val="20"/>
        </w:rPr>
        <w:t>local</w:t>
      </w:r>
      <w:r>
        <w:rPr>
          <w:sz w:val="20"/>
        </w:rPr>
        <w:t>. Se utiliza para poner en funcionamiento los </w:t>
      </w:r>
      <w:r>
        <w:rPr>
          <w:i/>
          <w:sz w:val="20"/>
        </w:rPr>
        <w:t>aspiradores </w:t>
      </w:r>
      <w:r>
        <w:rPr>
          <w:i/>
          <w:sz w:val="20"/>
        </w:rPr>
        <w:t>mecánicos </w:t>
      </w:r>
      <w:r>
        <w:rPr>
          <w:sz w:val="20"/>
        </w:rPr>
        <w:t>del sistema de ventilación cuando se alcanzan los valores de la concentración considerados inadecuados o peligrosos.</w:t>
      </w:r>
    </w:p>
    <w:p>
      <w:pPr>
        <w:pStyle w:val="BodyText"/>
        <w:spacing w:before="60"/>
        <w:ind w:left="218" w:right="391"/>
        <w:jc w:val="both"/>
      </w:pPr>
      <w:r>
        <w:rPr>
          <w:b/>
        </w:rPr>
        <w:t>Temperatura de rocío: </w:t>
      </w:r>
      <w:r>
        <w:rPr/>
        <w:t>temperatura hasta la que debe ser enfriado el aire contenido en un </w:t>
      </w:r>
      <w:r>
        <w:rPr>
          <w:i/>
        </w:rPr>
        <w:t>local </w:t>
      </w:r>
      <w:r>
        <w:rPr/>
        <w:t>para que se inicie la condensación del vapor de agua debido a que se alcanza la</w:t>
      </w:r>
      <w:r>
        <w:rPr>
          <w:spacing w:val="-12"/>
        </w:rPr>
        <w:t> </w:t>
      </w:r>
      <w:r>
        <w:rPr/>
        <w:t>saturación.</w:t>
      </w:r>
    </w:p>
    <w:p>
      <w:pPr>
        <w:pStyle w:val="BodyText"/>
        <w:spacing w:before="61"/>
        <w:ind w:left="218" w:right="393" w:hanging="1"/>
        <w:jc w:val="both"/>
      </w:pPr>
      <w:r>
        <w:rPr>
          <w:b/>
        </w:rPr>
        <w:t>Tiro: </w:t>
      </w:r>
      <w:r>
        <w:rPr/>
        <w:t>movimiento ascendente del aire entre dos puntos producido por la diferencia de temperatura exis- tente entre ellos.</w:t>
      </w:r>
    </w:p>
    <w:p>
      <w:pPr>
        <w:spacing w:before="59"/>
        <w:ind w:left="218" w:right="392" w:firstLine="0"/>
        <w:jc w:val="both"/>
        <w:rPr>
          <w:sz w:val="20"/>
        </w:rPr>
      </w:pPr>
      <w:r>
        <w:rPr>
          <w:b/>
          <w:sz w:val="20"/>
        </w:rPr>
        <w:t>Ventilación de caudal constante</w:t>
      </w:r>
      <w:r>
        <w:rPr>
          <w:sz w:val="20"/>
        </w:rPr>
        <w:t>: aquella en la que se mantiene el valor del </w:t>
      </w:r>
      <w:r>
        <w:rPr>
          <w:i/>
          <w:sz w:val="20"/>
        </w:rPr>
        <w:t>caudal de ventilación </w:t>
      </w:r>
      <w:r>
        <w:rPr>
          <w:sz w:val="20"/>
        </w:rPr>
        <w:t>en el tiempo, independientemente de la ocupación, uso u otros factores.</w:t>
      </w:r>
    </w:p>
    <w:p>
      <w:pPr>
        <w:spacing w:before="60"/>
        <w:ind w:left="218" w:right="392" w:firstLine="0"/>
        <w:jc w:val="both"/>
        <w:rPr>
          <w:sz w:val="20"/>
        </w:rPr>
      </w:pPr>
      <w:r>
        <w:rPr>
          <w:b/>
          <w:sz w:val="20"/>
        </w:rPr>
        <w:t>Ventilación de caudal variable</w:t>
      </w:r>
      <w:r>
        <w:rPr>
          <w:sz w:val="20"/>
        </w:rPr>
        <w:t>: aquella en la que se modifica el valor del </w:t>
      </w:r>
      <w:r>
        <w:rPr>
          <w:i/>
          <w:sz w:val="20"/>
        </w:rPr>
        <w:t>caudal de ventilación </w:t>
      </w:r>
      <w:r>
        <w:rPr>
          <w:sz w:val="20"/>
        </w:rPr>
        <w:t>en el tiempo en función de la ocupación, uso u otros factores.</w:t>
      </w:r>
    </w:p>
    <w:p>
      <w:pPr>
        <w:spacing w:after="0"/>
        <w:jc w:val="both"/>
        <w:rPr>
          <w:sz w:val="20"/>
        </w:rPr>
        <w:sectPr>
          <w:pgSz w:w="11910" w:h="16840"/>
          <w:pgMar w:header="724" w:footer="636" w:top="1320" w:bottom="820" w:left="1200" w:right="738"/>
        </w:sectPr>
      </w:pPr>
    </w:p>
    <w:p>
      <w:pPr>
        <w:pStyle w:val="BodyText"/>
        <w:spacing w:before="89"/>
        <w:ind w:left="218" w:right="392"/>
        <w:jc w:val="both"/>
      </w:pPr>
      <w:r>
        <w:rPr>
          <w:b/>
        </w:rPr>
        <w:t>Ventilación mecánica: </w:t>
      </w:r>
      <w:r>
        <w:rPr/>
        <w:t>ventilación en la que la renovación del aire se produce por el funcionamiento de aparatos electro-mecánicos dispuestos al efecto. Puede ser con </w:t>
      </w:r>
      <w:r>
        <w:rPr>
          <w:i/>
        </w:rPr>
        <w:t>admisión </w:t>
      </w:r>
      <w:r>
        <w:rPr/>
        <w:t>mecánica, con </w:t>
      </w:r>
      <w:r>
        <w:rPr>
          <w:i/>
        </w:rPr>
        <w:t>extracción </w:t>
      </w:r>
      <w:r>
        <w:rPr/>
        <w:t>me- cánica o equilibrada.</w:t>
      </w:r>
    </w:p>
    <w:p>
      <w:pPr>
        <w:pStyle w:val="BodyText"/>
        <w:spacing w:before="61"/>
        <w:ind w:left="218" w:right="390" w:hanging="1"/>
        <w:jc w:val="both"/>
      </w:pPr>
      <w:r>
        <w:rPr>
          <w:b/>
        </w:rPr>
        <w:t>Ventilación híbrida: </w:t>
      </w:r>
      <w:r>
        <w:rPr/>
        <w:t>ventilación en la que, cuando las condiciones de presión y temperatura ambientales son favorables, la renovación del aire se produce como en la ventilación natural y, cuando son desfavo- rables, como en la ventilación con </w:t>
      </w:r>
      <w:r>
        <w:rPr>
          <w:i/>
        </w:rPr>
        <w:t>extracción </w:t>
      </w:r>
      <w:r>
        <w:rPr/>
        <w:t>mecánica.</w:t>
      </w:r>
    </w:p>
    <w:p>
      <w:pPr>
        <w:pStyle w:val="BodyText"/>
        <w:spacing w:before="60"/>
        <w:ind w:left="218" w:right="391"/>
        <w:jc w:val="both"/>
      </w:pPr>
      <w:r>
        <w:rPr>
          <w:b/>
        </w:rPr>
        <w:t>Ventilación natural: </w:t>
      </w:r>
      <w:r>
        <w:rPr/>
        <w:t>ventilación en la que la renovación del aire se produce exclusivamente por la ac- ción del viento o por la existencia de un gradiente de temperaturas entre el punto de entrada y el de sali- da.</w:t>
      </w:r>
    </w:p>
    <w:p>
      <w:pPr>
        <w:pStyle w:val="BodyText"/>
        <w:spacing w:before="60"/>
        <w:ind w:left="218" w:right="390"/>
        <w:jc w:val="both"/>
      </w:pPr>
      <w:r>
        <w:rPr>
          <w:b/>
        </w:rPr>
        <w:t>Ventilación: </w:t>
      </w:r>
      <w:r>
        <w:rPr/>
        <w:t>proceso de renovación del aire de los </w:t>
      </w:r>
      <w:r>
        <w:rPr>
          <w:i/>
        </w:rPr>
        <w:t>locales </w:t>
      </w:r>
      <w:r>
        <w:rPr/>
        <w:t>para limitar el deterioro de su calidad, desde el punto de vista de su composición, que se realiza mediante entrada de aire exterior y evacuación de aire</w:t>
      </w:r>
      <w:r>
        <w:rPr>
          <w:spacing w:val="-1"/>
        </w:rPr>
        <w:t> </w:t>
      </w:r>
      <w:r>
        <w:rPr/>
        <w:t>viciado.</w:t>
      </w:r>
    </w:p>
    <w:p>
      <w:pPr>
        <w:pStyle w:val="BodyText"/>
        <w:spacing w:before="58"/>
        <w:ind w:left="218" w:right="389" w:hanging="1"/>
        <w:jc w:val="both"/>
      </w:pPr>
      <w:r>
        <w:rPr>
          <w:b/>
        </w:rPr>
        <w:t>Ventilador: </w:t>
      </w:r>
      <w:r>
        <w:rPr/>
        <w:t>aparato electromecánico dotado de un motor y de un conjunto de aspas o de álabes accio- nados por él que se utiliza para extraer o impulsar el aire.</w:t>
      </w:r>
    </w:p>
    <w:p>
      <w:pPr>
        <w:pStyle w:val="BodyText"/>
        <w:spacing w:before="61"/>
        <w:ind w:left="218" w:right="390" w:hanging="1"/>
        <w:jc w:val="both"/>
      </w:pPr>
      <w:r>
        <w:rPr>
          <w:b/>
        </w:rPr>
        <w:t>Zona térmica: </w:t>
      </w:r>
      <w:r>
        <w:rPr/>
        <w:t>zona geográfica que engloba todos los puntos en los que la temperatura media anual, Tm, está comprendida dentro del mismo intervalo de los</w:t>
      </w:r>
      <w:r>
        <w:rPr>
          <w:spacing w:val="-6"/>
        </w:rPr>
        <w:t> </w:t>
      </w:r>
      <w:r>
        <w:rPr/>
        <w:t>siguientes:</w:t>
      </w:r>
    </w:p>
    <w:p>
      <w:pPr>
        <w:pStyle w:val="BodyText"/>
        <w:spacing w:before="62"/>
        <w:ind w:left="218"/>
        <w:jc w:val="both"/>
      </w:pPr>
      <w:r>
        <w:rPr/>
        <w:t>zona W: Tm </w:t>
      </w:r>
      <w:r>
        <w:rPr>
          <w:rFonts w:ascii="Symbol" w:hAnsi="Symbol"/>
        </w:rPr>
        <w:t></w:t>
      </w:r>
      <w:r>
        <w:rPr>
          <w:rFonts w:ascii="Times New Roman" w:hAnsi="Times New Roman"/>
        </w:rPr>
        <w:t> </w:t>
      </w:r>
      <w:r>
        <w:rPr/>
        <w:t>14ºC</w:t>
      </w:r>
    </w:p>
    <w:p>
      <w:pPr>
        <w:pStyle w:val="BodyText"/>
        <w:spacing w:line="300" w:lineRule="auto" w:before="60"/>
        <w:ind w:left="218" w:right="7402"/>
        <w:jc w:val="both"/>
      </w:pPr>
      <w:r>
        <w:rPr/>
        <w:t>zona X: 14ºC </w:t>
      </w:r>
      <w:r>
        <w:rPr>
          <w:rFonts w:ascii="Symbol" w:hAnsi="Symbol"/>
        </w:rPr>
        <w:t></w:t>
      </w:r>
      <w:r>
        <w:rPr>
          <w:rFonts w:ascii="Times New Roman" w:hAnsi="Times New Roman"/>
        </w:rPr>
        <w:t> </w:t>
      </w:r>
      <w:r>
        <w:rPr/>
        <w:t>Tm </w:t>
      </w:r>
      <w:r>
        <w:rPr>
          <w:rFonts w:ascii="Symbol" w:hAnsi="Symbol"/>
        </w:rPr>
        <w:t></w:t>
      </w:r>
      <w:r>
        <w:rPr>
          <w:rFonts w:ascii="Times New Roman" w:hAnsi="Times New Roman"/>
        </w:rPr>
        <w:t> </w:t>
      </w:r>
      <w:r>
        <w:rPr/>
        <w:t>16ºC zona Y: 16ºC </w:t>
      </w:r>
      <w:r>
        <w:rPr>
          <w:rFonts w:ascii="Symbol" w:hAnsi="Symbol"/>
        </w:rPr>
        <w:t></w:t>
      </w:r>
      <w:r>
        <w:rPr>
          <w:rFonts w:ascii="Times New Roman" w:hAnsi="Times New Roman"/>
        </w:rPr>
        <w:t> </w:t>
      </w:r>
      <w:r>
        <w:rPr/>
        <w:t>Tm </w:t>
      </w:r>
      <w:r>
        <w:rPr>
          <w:rFonts w:ascii="Symbol" w:hAnsi="Symbol"/>
        </w:rPr>
        <w:t></w:t>
      </w:r>
      <w:r>
        <w:rPr>
          <w:rFonts w:ascii="Times New Roman" w:hAnsi="Times New Roman"/>
        </w:rPr>
        <w:t> </w:t>
      </w:r>
      <w:r>
        <w:rPr/>
        <w:t>18ºC zona Z: 18ºC </w:t>
      </w:r>
      <w:r>
        <w:rPr>
          <w:rFonts w:ascii="Symbol" w:hAnsi="Symbol"/>
        </w:rPr>
        <w:t></w:t>
      </w:r>
      <w:r>
        <w:rPr>
          <w:rFonts w:ascii="Times New Roman" w:hAnsi="Times New Roman"/>
        </w:rPr>
        <w:t> </w:t>
      </w:r>
      <w:r>
        <w:rPr/>
        <w:t>Tm</w:t>
      </w:r>
    </w:p>
    <w:p>
      <w:pPr>
        <w:spacing w:after="0" w:line="300" w:lineRule="auto"/>
        <w:jc w:val="both"/>
        <w:sectPr>
          <w:pgSz w:w="11910" w:h="16840"/>
          <w:pgMar w:header="724" w:footer="636" w:top="1320" w:bottom="820" w:left="1200" w:right="738"/>
        </w:sectPr>
      </w:pPr>
    </w:p>
    <w:p>
      <w:pPr>
        <w:pStyle w:val="BodyText"/>
      </w:pPr>
    </w:p>
    <w:p>
      <w:pPr>
        <w:pStyle w:val="BodyText"/>
        <w:spacing w:before="9"/>
        <w:rPr>
          <w:sz w:val="21"/>
        </w:rPr>
      </w:pPr>
    </w:p>
    <w:p>
      <w:pPr>
        <w:pStyle w:val="Heading2"/>
        <w:tabs>
          <w:tab w:pos="2089" w:val="left" w:leader="none"/>
        </w:tabs>
        <w:spacing w:before="91"/>
      </w:pPr>
      <w:r>
        <w:rPr/>
        <w:t>Apéndice</w:t>
      </w:r>
      <w:r>
        <w:rPr>
          <w:spacing w:val="-1"/>
        </w:rPr>
        <w:t> </w:t>
      </w:r>
      <w:r>
        <w:rPr/>
        <w:t>B</w:t>
        <w:tab/>
        <w:t>Notación</w:t>
      </w:r>
    </w:p>
    <w:p>
      <w:pPr>
        <w:pStyle w:val="BodyText"/>
        <w:spacing w:before="157"/>
        <w:ind w:left="575" w:right="389" w:hanging="358"/>
        <w:jc w:val="both"/>
      </w:pPr>
      <w:r>
        <w:rPr/>
        <w:t>1 En este apéndice se recogen, ordenados alfabéticamente, los símbolos correspondientes a las mag- nitudes que se utilizan en esta sección del DB junto con sus unidades.</w:t>
      </w:r>
    </w:p>
    <w:p>
      <w:pPr>
        <w:spacing w:before="61"/>
        <w:ind w:left="962" w:right="0" w:firstLine="0"/>
        <w:jc w:val="both"/>
        <w:rPr>
          <w:sz w:val="20"/>
        </w:rPr>
      </w:pPr>
      <w:r>
        <w:rPr>
          <w:position w:val="1"/>
          <w:sz w:val="20"/>
        </w:rPr>
        <w:t>q</w:t>
      </w:r>
      <w:r>
        <w:rPr>
          <w:sz w:val="13"/>
        </w:rPr>
        <w:t>v</w:t>
      </w:r>
      <w:r>
        <w:rPr>
          <w:position w:val="1"/>
          <w:sz w:val="20"/>
        </w:rPr>
        <w:t>: </w:t>
      </w:r>
      <w:r>
        <w:rPr>
          <w:i/>
          <w:position w:val="1"/>
          <w:sz w:val="20"/>
        </w:rPr>
        <w:t>caudal de ventilación </w:t>
      </w:r>
      <w:r>
        <w:rPr>
          <w:position w:val="1"/>
          <w:sz w:val="20"/>
        </w:rPr>
        <w:t>mínimo exigido de un </w:t>
      </w:r>
      <w:r>
        <w:rPr>
          <w:i/>
          <w:position w:val="1"/>
          <w:sz w:val="20"/>
        </w:rPr>
        <w:t>local</w:t>
      </w:r>
      <w:r>
        <w:rPr>
          <w:position w:val="1"/>
          <w:sz w:val="20"/>
        </w:rPr>
        <w:t>, [l/s].</w:t>
      </w:r>
    </w:p>
    <w:p>
      <w:pPr>
        <w:spacing w:before="59"/>
        <w:ind w:left="962" w:right="391" w:firstLine="0"/>
        <w:jc w:val="both"/>
        <w:rPr>
          <w:sz w:val="20"/>
        </w:rPr>
      </w:pPr>
      <w:r>
        <w:rPr>
          <w:position w:val="1"/>
          <w:sz w:val="20"/>
        </w:rPr>
        <w:t>q</w:t>
      </w:r>
      <w:r>
        <w:rPr>
          <w:sz w:val="13"/>
        </w:rPr>
        <w:t>va  </w:t>
      </w:r>
      <w:r>
        <w:rPr>
          <w:i/>
          <w:position w:val="1"/>
          <w:sz w:val="20"/>
        </w:rPr>
        <w:t>caudal de ventilación </w:t>
      </w:r>
      <w:r>
        <w:rPr>
          <w:position w:val="1"/>
          <w:sz w:val="20"/>
        </w:rPr>
        <w:t>correspondiente a cada </w:t>
      </w:r>
      <w:r>
        <w:rPr>
          <w:i/>
          <w:position w:val="1"/>
          <w:sz w:val="20"/>
        </w:rPr>
        <w:t>abertura de admisión </w:t>
      </w:r>
      <w:r>
        <w:rPr>
          <w:position w:val="1"/>
          <w:sz w:val="20"/>
        </w:rPr>
        <w:t>de un local calculado   </w:t>
      </w:r>
      <w:r>
        <w:rPr>
          <w:sz w:val="20"/>
        </w:rPr>
        <w:t>por un procedimiento de </w:t>
      </w:r>
      <w:r>
        <w:rPr>
          <w:i/>
          <w:sz w:val="20"/>
        </w:rPr>
        <w:t>equilibrado de caudales </w:t>
      </w:r>
      <w:r>
        <w:rPr>
          <w:sz w:val="20"/>
        </w:rPr>
        <w:t>de </w:t>
      </w:r>
      <w:r>
        <w:rPr>
          <w:i/>
          <w:sz w:val="20"/>
        </w:rPr>
        <w:t>admisión </w:t>
      </w:r>
      <w:r>
        <w:rPr>
          <w:sz w:val="20"/>
        </w:rPr>
        <w:t>y de </w:t>
      </w:r>
      <w:r>
        <w:rPr>
          <w:i/>
          <w:sz w:val="20"/>
        </w:rPr>
        <w:t>extracción </w:t>
      </w:r>
      <w:r>
        <w:rPr>
          <w:sz w:val="20"/>
        </w:rPr>
        <w:t>y con una hipóte- sis de circulación del aire según la distribución de los locales,</w:t>
      </w:r>
      <w:r>
        <w:rPr>
          <w:spacing w:val="-18"/>
          <w:sz w:val="20"/>
        </w:rPr>
        <w:t> </w:t>
      </w:r>
      <w:r>
        <w:rPr>
          <w:sz w:val="20"/>
        </w:rPr>
        <w:t>[l/s].</w:t>
      </w:r>
    </w:p>
    <w:p>
      <w:pPr>
        <w:spacing w:before="60"/>
        <w:ind w:left="962" w:right="391" w:firstLine="0"/>
        <w:jc w:val="both"/>
        <w:rPr>
          <w:sz w:val="20"/>
        </w:rPr>
      </w:pPr>
      <w:r>
        <w:rPr>
          <w:position w:val="1"/>
          <w:sz w:val="20"/>
        </w:rPr>
        <w:t>q</w:t>
      </w:r>
      <w:r>
        <w:rPr>
          <w:sz w:val="13"/>
        </w:rPr>
        <w:t>ve </w:t>
      </w:r>
      <w:r>
        <w:rPr>
          <w:i/>
          <w:position w:val="1"/>
          <w:sz w:val="20"/>
        </w:rPr>
        <w:t>caudal de ventilación </w:t>
      </w:r>
      <w:r>
        <w:rPr>
          <w:position w:val="1"/>
          <w:sz w:val="20"/>
        </w:rPr>
        <w:t>correspondiente a cada </w:t>
      </w:r>
      <w:r>
        <w:rPr>
          <w:i/>
          <w:position w:val="1"/>
          <w:sz w:val="20"/>
        </w:rPr>
        <w:t>abertura de extracción </w:t>
      </w:r>
      <w:r>
        <w:rPr>
          <w:position w:val="1"/>
          <w:sz w:val="20"/>
        </w:rPr>
        <w:t>de un local calculado  </w:t>
      </w:r>
      <w:r>
        <w:rPr>
          <w:sz w:val="20"/>
        </w:rPr>
        <w:t>por un procedimiento de </w:t>
      </w:r>
      <w:r>
        <w:rPr>
          <w:i/>
          <w:sz w:val="20"/>
        </w:rPr>
        <w:t>equilibrado de caudales </w:t>
      </w:r>
      <w:r>
        <w:rPr>
          <w:sz w:val="20"/>
        </w:rPr>
        <w:t>de </w:t>
      </w:r>
      <w:r>
        <w:rPr>
          <w:i/>
          <w:sz w:val="20"/>
        </w:rPr>
        <w:t>admisión </w:t>
      </w:r>
      <w:r>
        <w:rPr>
          <w:sz w:val="20"/>
        </w:rPr>
        <w:t>y de </w:t>
      </w:r>
      <w:r>
        <w:rPr>
          <w:i/>
          <w:sz w:val="20"/>
        </w:rPr>
        <w:t>extracción </w:t>
      </w:r>
      <w:r>
        <w:rPr>
          <w:sz w:val="20"/>
        </w:rPr>
        <w:t>y con una hipóte- sis de circulación del aire según la distribución de los locales,</w:t>
      </w:r>
      <w:r>
        <w:rPr>
          <w:spacing w:val="-18"/>
          <w:sz w:val="20"/>
        </w:rPr>
        <w:t> </w:t>
      </w:r>
      <w:r>
        <w:rPr>
          <w:sz w:val="20"/>
        </w:rPr>
        <w:t>[l/s].</w:t>
      </w:r>
    </w:p>
    <w:p>
      <w:pPr>
        <w:spacing w:before="60"/>
        <w:ind w:left="962" w:right="390" w:hanging="1"/>
        <w:jc w:val="both"/>
        <w:rPr>
          <w:sz w:val="20"/>
        </w:rPr>
      </w:pPr>
      <w:r>
        <w:rPr>
          <w:position w:val="1"/>
          <w:sz w:val="20"/>
        </w:rPr>
        <w:t>q</w:t>
      </w:r>
      <w:r>
        <w:rPr>
          <w:sz w:val="13"/>
        </w:rPr>
        <w:t>vp   </w:t>
      </w:r>
      <w:r>
        <w:rPr>
          <w:i/>
          <w:position w:val="1"/>
          <w:sz w:val="20"/>
        </w:rPr>
        <w:t>caudal de ventilación </w:t>
      </w:r>
      <w:r>
        <w:rPr>
          <w:position w:val="1"/>
          <w:sz w:val="20"/>
        </w:rPr>
        <w:t>correspondiente a cada </w:t>
      </w:r>
      <w:r>
        <w:rPr>
          <w:i/>
          <w:position w:val="1"/>
          <w:sz w:val="20"/>
        </w:rPr>
        <w:t>abertura de paso </w:t>
      </w:r>
      <w:r>
        <w:rPr>
          <w:position w:val="1"/>
          <w:sz w:val="20"/>
        </w:rPr>
        <w:t>de un local calculado por    </w:t>
      </w:r>
      <w:r>
        <w:rPr>
          <w:sz w:val="20"/>
        </w:rPr>
        <w:t>un procedimiento de </w:t>
      </w:r>
      <w:r>
        <w:rPr>
          <w:i/>
          <w:sz w:val="20"/>
        </w:rPr>
        <w:t>equilibrado de caudales </w:t>
      </w:r>
      <w:r>
        <w:rPr>
          <w:sz w:val="20"/>
        </w:rPr>
        <w:t>de </w:t>
      </w:r>
      <w:r>
        <w:rPr>
          <w:i/>
          <w:sz w:val="20"/>
        </w:rPr>
        <w:t>admisión </w:t>
      </w:r>
      <w:r>
        <w:rPr>
          <w:sz w:val="20"/>
        </w:rPr>
        <w:t>y de </w:t>
      </w:r>
      <w:r>
        <w:rPr>
          <w:i/>
          <w:sz w:val="20"/>
        </w:rPr>
        <w:t>extracción </w:t>
      </w:r>
      <w:r>
        <w:rPr>
          <w:sz w:val="20"/>
        </w:rPr>
        <w:t>y con una hipótesis de circulación del aire según la distribución de los locales,</w:t>
      </w:r>
      <w:r>
        <w:rPr>
          <w:spacing w:val="-13"/>
          <w:sz w:val="20"/>
        </w:rPr>
        <w:t> </w:t>
      </w:r>
      <w:r>
        <w:rPr>
          <w:sz w:val="20"/>
        </w:rPr>
        <w:t>[l/s].</w:t>
      </w:r>
    </w:p>
    <w:p>
      <w:pPr>
        <w:pStyle w:val="BodyText"/>
        <w:spacing w:before="60"/>
        <w:ind w:left="962"/>
        <w:jc w:val="both"/>
      </w:pPr>
      <w:r>
        <w:rPr>
          <w:position w:val="1"/>
        </w:rPr>
        <w:t>q</w:t>
      </w:r>
      <w:r>
        <w:rPr>
          <w:sz w:val="13"/>
        </w:rPr>
        <w:t>vt</w:t>
      </w:r>
      <w:r>
        <w:rPr>
          <w:position w:val="1"/>
        </w:rPr>
        <w:t>: caudal de aire existente en un tramo de un conducto, [l/s].</w:t>
      </w:r>
    </w:p>
    <w:p>
      <w:pPr>
        <w:spacing w:before="57"/>
        <w:ind w:left="962" w:right="0" w:firstLine="0"/>
        <w:jc w:val="both"/>
        <w:rPr>
          <w:sz w:val="20"/>
        </w:rPr>
      </w:pPr>
      <w:r>
        <w:rPr>
          <w:sz w:val="20"/>
        </w:rPr>
        <w:t>S: sección nominal de un tramo de un </w:t>
      </w:r>
      <w:r>
        <w:rPr>
          <w:i/>
          <w:sz w:val="20"/>
        </w:rPr>
        <w:t>conducto de extracción</w:t>
      </w:r>
      <w:r>
        <w:rPr>
          <w:sz w:val="20"/>
        </w:rPr>
        <w:t>, [cm</w:t>
      </w:r>
      <w:r>
        <w:rPr>
          <w:position w:val="7"/>
          <w:sz w:val="13"/>
        </w:rPr>
        <w:t>2</w:t>
      </w:r>
      <w:r>
        <w:rPr>
          <w:sz w:val="20"/>
        </w:rPr>
        <w:t>].</w:t>
      </w:r>
    </w:p>
    <w:p>
      <w:pPr>
        <w:spacing w:after="0"/>
        <w:jc w:val="both"/>
        <w:rPr>
          <w:sz w:val="20"/>
        </w:rPr>
        <w:sectPr>
          <w:pgSz w:w="11910" w:h="16840"/>
          <w:pgMar w:header="724" w:footer="636" w:top="1320" w:bottom="820" w:left="1200" w:right="738"/>
        </w:sectPr>
      </w:pPr>
    </w:p>
    <w:p>
      <w:pPr>
        <w:pStyle w:val="BodyText"/>
      </w:pPr>
    </w:p>
    <w:p>
      <w:pPr>
        <w:pStyle w:val="BodyText"/>
        <w:spacing w:before="9"/>
        <w:rPr>
          <w:sz w:val="21"/>
        </w:rPr>
      </w:pPr>
    </w:p>
    <w:p>
      <w:pPr>
        <w:tabs>
          <w:tab w:pos="2089" w:val="left" w:leader="none"/>
        </w:tabs>
        <w:spacing w:before="91"/>
        <w:ind w:left="218" w:right="418" w:firstLine="0"/>
        <w:jc w:val="left"/>
        <w:rPr>
          <w:b/>
          <w:sz w:val="28"/>
        </w:rPr>
      </w:pPr>
      <w:r>
        <w:rPr>
          <w:b/>
          <w:sz w:val="28"/>
        </w:rPr>
        <w:t>Apéndice</w:t>
      </w:r>
      <w:r>
        <w:rPr>
          <w:b/>
          <w:spacing w:val="-1"/>
          <w:sz w:val="28"/>
        </w:rPr>
        <w:t> </w:t>
      </w:r>
      <w:r>
        <w:rPr>
          <w:b/>
          <w:sz w:val="28"/>
        </w:rPr>
        <w:t>C</w:t>
        <w:tab/>
        <w:t>Condiciones de diseño para la determinación del </w:t>
      </w:r>
      <w:r>
        <w:rPr>
          <w:b/>
          <w:i/>
          <w:sz w:val="28"/>
        </w:rPr>
        <w:t>cau- </w:t>
      </w:r>
      <w:r>
        <w:rPr>
          <w:b/>
          <w:i/>
          <w:sz w:val="28"/>
        </w:rPr>
        <w:t>dal de ventilación </w:t>
      </w:r>
      <w:r>
        <w:rPr>
          <w:b/>
          <w:sz w:val="28"/>
        </w:rPr>
        <w:t>de los </w:t>
      </w:r>
      <w:r>
        <w:rPr>
          <w:b/>
          <w:i/>
          <w:sz w:val="28"/>
        </w:rPr>
        <w:t>locales habitables </w:t>
      </w:r>
      <w:r>
        <w:rPr>
          <w:b/>
          <w:sz w:val="28"/>
        </w:rPr>
        <w:t>de las</w:t>
      </w:r>
      <w:r>
        <w:rPr>
          <w:b/>
          <w:spacing w:val="-7"/>
          <w:sz w:val="28"/>
        </w:rPr>
        <w:t> </w:t>
      </w:r>
      <w:r>
        <w:rPr>
          <w:b/>
          <w:sz w:val="28"/>
        </w:rPr>
        <w:t>viviendas</w:t>
      </w:r>
    </w:p>
    <w:p>
      <w:pPr>
        <w:pStyle w:val="ListParagraph"/>
        <w:numPr>
          <w:ilvl w:val="0"/>
          <w:numId w:val="148"/>
        </w:numPr>
        <w:tabs>
          <w:tab w:pos="579" w:val="left" w:leader="none"/>
        </w:tabs>
        <w:spacing w:line="240" w:lineRule="auto" w:before="158" w:after="0"/>
        <w:ind w:left="578" w:right="391" w:hanging="360"/>
        <w:jc w:val="both"/>
        <w:rPr>
          <w:sz w:val="20"/>
        </w:rPr>
      </w:pPr>
      <w:r>
        <w:rPr>
          <w:sz w:val="20"/>
        </w:rPr>
        <w:t>En este apéndice se establecen las condiciones de diseño para la evaluación del cumplimiento de la</w:t>
      </w:r>
      <w:r>
        <w:rPr>
          <w:position w:val="1"/>
          <w:sz w:val="20"/>
        </w:rPr>
        <w:t> exigencia establecida en el apartado 2, párrafo 1 de esta sección relativa a la concentración de CO</w:t>
      </w:r>
      <w:r>
        <w:rPr>
          <w:sz w:val="13"/>
        </w:rPr>
        <w:t>2</w:t>
      </w:r>
      <w:r>
        <w:rPr>
          <w:position w:val="1"/>
          <w:sz w:val="20"/>
        </w:rPr>
        <w:t>,</w:t>
      </w:r>
      <w:r>
        <w:rPr>
          <w:sz w:val="20"/>
        </w:rPr>
        <w:t> en el caso de que no se empleen los caudales constantes establecidos en la tabla</w:t>
      </w:r>
      <w:r>
        <w:rPr>
          <w:spacing w:val="-23"/>
          <w:sz w:val="20"/>
        </w:rPr>
        <w:t> </w:t>
      </w:r>
      <w:r>
        <w:rPr>
          <w:sz w:val="20"/>
        </w:rPr>
        <w:t>2.1.</w:t>
      </w:r>
    </w:p>
    <w:p>
      <w:pPr>
        <w:pStyle w:val="ListParagraph"/>
        <w:numPr>
          <w:ilvl w:val="0"/>
          <w:numId w:val="148"/>
        </w:numPr>
        <w:tabs>
          <w:tab w:pos="579" w:val="left" w:leader="none"/>
        </w:tabs>
        <w:spacing w:line="240" w:lineRule="auto" w:before="60" w:after="0"/>
        <w:ind w:left="578" w:right="392" w:hanging="361"/>
        <w:jc w:val="both"/>
        <w:rPr>
          <w:sz w:val="20"/>
        </w:rPr>
      </w:pPr>
      <w:r>
        <w:rPr>
          <w:position w:val="1"/>
          <w:sz w:val="20"/>
        </w:rPr>
        <w:t>Las concentraciones de CO</w:t>
      </w:r>
      <w:r>
        <w:rPr>
          <w:sz w:val="13"/>
        </w:rPr>
        <w:t>2 </w:t>
      </w:r>
      <w:r>
        <w:rPr>
          <w:position w:val="1"/>
          <w:sz w:val="20"/>
        </w:rPr>
        <w:t>de la exigencia deben cumplirse para las siguientes condiciones de</w:t>
      </w:r>
      <w:r>
        <w:rPr>
          <w:sz w:val="20"/>
        </w:rPr>
        <w:t> diseño:</w:t>
      </w:r>
    </w:p>
    <w:p>
      <w:pPr>
        <w:pStyle w:val="ListParagraph"/>
        <w:numPr>
          <w:ilvl w:val="1"/>
          <w:numId w:val="148"/>
        </w:numPr>
        <w:tabs>
          <w:tab w:pos="1070" w:val="left" w:leader="none"/>
        </w:tabs>
        <w:spacing w:line="240" w:lineRule="auto" w:before="59" w:after="0"/>
        <w:ind w:left="1069" w:right="393" w:hanging="425"/>
        <w:jc w:val="both"/>
        <w:rPr>
          <w:sz w:val="20"/>
          <w:szCs w:val="20"/>
        </w:rPr>
      </w:pPr>
      <w:r>
        <w:rPr>
          <w:position w:val="1"/>
          <w:sz w:val="20"/>
          <w:szCs w:val="20"/>
        </w:rPr>
        <w:t>generación de CO</w:t>
      </w:r>
      <w:r>
        <w:rPr>
          <w:sz w:val="13"/>
          <w:szCs w:val="13"/>
        </w:rPr>
        <w:t>2 </w:t>
      </w:r>
      <w:r>
        <w:rPr>
          <w:position w:val="1"/>
          <w:sz w:val="20"/>
          <w:szCs w:val="20"/>
        </w:rPr>
        <w:t>de 19 l/hꞏocupante, salvo que se diferencie entre periodos de sueño y </w:t>
      </w:r>
      <w:r>
        <w:rPr>
          <w:spacing w:val="-18"/>
          <w:position w:val="1"/>
          <w:sz w:val="20"/>
          <w:szCs w:val="20"/>
        </w:rPr>
        <w:t>de </w:t>
      </w:r>
      <w:r>
        <w:rPr>
          <w:position w:val="1"/>
          <w:sz w:val="20"/>
          <w:szCs w:val="20"/>
        </w:rPr>
        <w:t>vigilia</w:t>
      </w:r>
      <w:r>
        <w:rPr>
          <w:spacing w:val="-11"/>
          <w:position w:val="1"/>
          <w:sz w:val="20"/>
          <w:szCs w:val="20"/>
        </w:rPr>
        <w:t> </w:t>
      </w:r>
      <w:r>
        <w:rPr>
          <w:position w:val="1"/>
          <w:sz w:val="20"/>
          <w:szCs w:val="20"/>
        </w:rPr>
        <w:t>con</w:t>
      </w:r>
      <w:r>
        <w:rPr>
          <w:spacing w:val="-10"/>
          <w:position w:val="1"/>
          <w:sz w:val="20"/>
          <w:szCs w:val="20"/>
        </w:rPr>
        <w:t> </w:t>
      </w:r>
      <w:r>
        <w:rPr>
          <w:position w:val="1"/>
          <w:sz w:val="20"/>
          <w:szCs w:val="20"/>
        </w:rPr>
        <w:t>generaciones</w:t>
      </w:r>
      <w:r>
        <w:rPr>
          <w:spacing w:val="-10"/>
          <w:position w:val="1"/>
          <w:sz w:val="20"/>
          <w:szCs w:val="20"/>
        </w:rPr>
        <w:t> </w:t>
      </w:r>
      <w:r>
        <w:rPr>
          <w:position w:val="1"/>
          <w:sz w:val="20"/>
          <w:szCs w:val="20"/>
        </w:rPr>
        <w:t>de</w:t>
      </w:r>
      <w:r>
        <w:rPr>
          <w:spacing w:val="-10"/>
          <w:position w:val="1"/>
          <w:sz w:val="20"/>
          <w:szCs w:val="20"/>
        </w:rPr>
        <w:t> </w:t>
      </w:r>
      <w:r>
        <w:rPr>
          <w:position w:val="1"/>
          <w:sz w:val="20"/>
          <w:szCs w:val="20"/>
        </w:rPr>
        <w:t>12</w:t>
      </w:r>
      <w:r>
        <w:rPr>
          <w:spacing w:val="-10"/>
          <w:position w:val="1"/>
          <w:sz w:val="20"/>
          <w:szCs w:val="20"/>
        </w:rPr>
        <w:t> </w:t>
      </w:r>
      <w:r>
        <w:rPr>
          <w:position w:val="1"/>
          <w:sz w:val="20"/>
          <w:szCs w:val="20"/>
        </w:rPr>
        <w:t>l/hꞏocupante</w:t>
      </w:r>
      <w:r>
        <w:rPr>
          <w:spacing w:val="-10"/>
          <w:position w:val="1"/>
          <w:sz w:val="20"/>
          <w:szCs w:val="20"/>
        </w:rPr>
        <w:t> </w:t>
      </w:r>
      <w:r>
        <w:rPr>
          <w:position w:val="1"/>
          <w:sz w:val="20"/>
          <w:szCs w:val="20"/>
        </w:rPr>
        <w:t>y</w:t>
      </w:r>
      <w:r>
        <w:rPr>
          <w:spacing w:val="-11"/>
          <w:position w:val="1"/>
          <w:sz w:val="20"/>
          <w:szCs w:val="20"/>
        </w:rPr>
        <w:t> </w:t>
      </w:r>
      <w:r>
        <w:rPr>
          <w:position w:val="1"/>
          <w:sz w:val="20"/>
          <w:szCs w:val="20"/>
        </w:rPr>
        <w:t>19</w:t>
      </w:r>
      <w:r>
        <w:rPr>
          <w:spacing w:val="-10"/>
          <w:position w:val="1"/>
          <w:sz w:val="20"/>
          <w:szCs w:val="20"/>
        </w:rPr>
        <w:t> </w:t>
      </w:r>
      <w:r>
        <w:rPr>
          <w:position w:val="1"/>
          <w:sz w:val="20"/>
          <w:szCs w:val="20"/>
        </w:rPr>
        <w:t>l/hꞏocupante</w:t>
      </w:r>
      <w:r>
        <w:rPr>
          <w:spacing w:val="-10"/>
          <w:position w:val="1"/>
          <w:sz w:val="20"/>
          <w:szCs w:val="20"/>
        </w:rPr>
        <w:t> </w:t>
      </w:r>
      <w:r>
        <w:rPr>
          <w:position w:val="1"/>
          <w:sz w:val="20"/>
          <w:szCs w:val="20"/>
        </w:rPr>
        <w:t>de</w:t>
      </w:r>
      <w:r>
        <w:rPr>
          <w:spacing w:val="-10"/>
          <w:position w:val="1"/>
          <w:sz w:val="20"/>
          <w:szCs w:val="20"/>
        </w:rPr>
        <w:t> </w:t>
      </w:r>
      <w:r>
        <w:rPr>
          <w:position w:val="1"/>
          <w:sz w:val="20"/>
          <w:szCs w:val="20"/>
        </w:rPr>
        <w:t>CO</w:t>
      </w:r>
      <w:r>
        <w:rPr>
          <w:sz w:val="13"/>
          <w:szCs w:val="13"/>
        </w:rPr>
        <w:t>2</w:t>
      </w:r>
      <w:r>
        <w:rPr>
          <w:position w:val="1"/>
          <w:sz w:val="20"/>
          <w:szCs w:val="20"/>
        </w:rPr>
        <w:t>,</w:t>
      </w:r>
      <w:r>
        <w:rPr>
          <w:spacing w:val="-10"/>
          <w:position w:val="1"/>
          <w:sz w:val="20"/>
          <w:szCs w:val="20"/>
        </w:rPr>
        <w:t> </w:t>
      </w:r>
      <w:r>
        <w:rPr>
          <w:position w:val="1"/>
          <w:sz w:val="20"/>
          <w:szCs w:val="20"/>
        </w:rPr>
        <w:t>respectivamente;</w:t>
      </w:r>
    </w:p>
    <w:p>
      <w:pPr>
        <w:pStyle w:val="ListParagraph"/>
        <w:numPr>
          <w:ilvl w:val="1"/>
          <w:numId w:val="148"/>
        </w:numPr>
        <w:tabs>
          <w:tab w:pos="1070" w:val="left" w:leader="none"/>
        </w:tabs>
        <w:spacing w:line="240" w:lineRule="auto" w:before="60" w:after="0"/>
        <w:ind w:left="1069" w:right="391" w:hanging="425"/>
        <w:jc w:val="both"/>
        <w:rPr>
          <w:sz w:val="20"/>
        </w:rPr>
      </w:pPr>
      <w:r>
        <w:rPr>
          <w:position w:val="1"/>
          <w:sz w:val="20"/>
        </w:rPr>
        <w:t>número de ocupantes, a efectos de generación de CO</w:t>
      </w:r>
      <w:r>
        <w:rPr>
          <w:sz w:val="13"/>
        </w:rPr>
        <w:t>2</w:t>
      </w:r>
      <w:r>
        <w:rPr>
          <w:position w:val="1"/>
          <w:sz w:val="20"/>
        </w:rPr>
        <w:t>, de 2 para viviendas con un único dor-</w:t>
      </w:r>
      <w:r>
        <w:rPr>
          <w:sz w:val="20"/>
        </w:rPr>
        <w:t> mitorio, 3 para viviendas con 2 dormitorios y 4 para viviendas con 3 o más dormitorios. Los ocupantes se sitúan en los distintos </w:t>
      </w:r>
      <w:r>
        <w:rPr>
          <w:i/>
          <w:sz w:val="20"/>
        </w:rPr>
        <w:t>locales </w:t>
      </w:r>
      <w:r>
        <w:rPr>
          <w:sz w:val="20"/>
        </w:rPr>
        <w:t>de la vivienda en función del </w:t>
      </w:r>
      <w:r>
        <w:rPr>
          <w:i/>
          <w:sz w:val="20"/>
        </w:rPr>
        <w:t>escenario de ocupa- </w:t>
      </w:r>
      <w:r>
        <w:rPr>
          <w:i/>
          <w:sz w:val="20"/>
        </w:rPr>
        <w:t>ción</w:t>
      </w:r>
      <w:r>
        <w:rPr>
          <w:sz w:val="20"/>
        </w:rPr>
        <w:t>;</w:t>
      </w:r>
    </w:p>
    <w:p>
      <w:pPr>
        <w:pStyle w:val="ListParagraph"/>
        <w:numPr>
          <w:ilvl w:val="1"/>
          <w:numId w:val="148"/>
        </w:numPr>
        <w:tabs>
          <w:tab w:pos="1070" w:val="left" w:leader="none"/>
        </w:tabs>
        <w:spacing w:line="240" w:lineRule="auto" w:before="61" w:after="0"/>
        <w:ind w:left="1069" w:right="0" w:hanging="426"/>
        <w:jc w:val="both"/>
        <w:rPr>
          <w:sz w:val="20"/>
        </w:rPr>
      </w:pPr>
      <w:r>
        <w:rPr>
          <w:i/>
          <w:sz w:val="20"/>
        </w:rPr>
        <w:t>escenario de ocupación </w:t>
      </w:r>
      <w:r>
        <w:rPr>
          <w:sz w:val="20"/>
        </w:rPr>
        <w:t>acorde con las siguientes</w:t>
      </w:r>
      <w:r>
        <w:rPr>
          <w:spacing w:val="-8"/>
          <w:sz w:val="20"/>
        </w:rPr>
        <w:t> </w:t>
      </w:r>
      <w:r>
        <w:rPr>
          <w:sz w:val="20"/>
        </w:rPr>
        <w:t>condiciones:</w:t>
      </w:r>
    </w:p>
    <w:p>
      <w:pPr>
        <w:pStyle w:val="ListParagraph"/>
        <w:numPr>
          <w:ilvl w:val="2"/>
          <w:numId w:val="148"/>
        </w:numPr>
        <w:tabs>
          <w:tab w:pos="1299" w:val="left" w:leader="none"/>
        </w:tabs>
        <w:spacing w:line="240" w:lineRule="auto" w:before="59" w:after="0"/>
        <w:ind w:left="1296" w:right="392" w:hanging="282"/>
        <w:jc w:val="both"/>
        <w:rPr>
          <w:sz w:val="20"/>
        </w:rPr>
      </w:pPr>
      <w:r>
        <w:rPr>
          <w:sz w:val="20"/>
        </w:rPr>
        <w:t>periodos de sueño para cada uno de los ocupantes de 8 horas ininterrumpidas desde las 24:00 horas a las 08:00 en los</w:t>
      </w:r>
      <w:r>
        <w:rPr>
          <w:spacing w:val="-4"/>
          <w:sz w:val="20"/>
        </w:rPr>
        <w:t> </w:t>
      </w:r>
      <w:r>
        <w:rPr>
          <w:sz w:val="20"/>
        </w:rPr>
        <w:t>dormitorios;</w:t>
      </w:r>
    </w:p>
    <w:p>
      <w:pPr>
        <w:pStyle w:val="ListParagraph"/>
        <w:numPr>
          <w:ilvl w:val="2"/>
          <w:numId w:val="148"/>
        </w:numPr>
        <w:tabs>
          <w:tab w:pos="1298" w:val="left" w:leader="none"/>
        </w:tabs>
        <w:spacing w:line="240" w:lineRule="auto" w:before="61" w:after="0"/>
        <w:ind w:left="1297" w:right="0" w:hanging="307"/>
        <w:jc w:val="both"/>
        <w:rPr>
          <w:sz w:val="20"/>
        </w:rPr>
      </w:pPr>
      <w:r>
        <w:rPr>
          <w:sz w:val="20"/>
        </w:rPr>
        <w:t>ausencias diurnas de la</w:t>
      </w:r>
      <w:r>
        <w:rPr>
          <w:spacing w:val="-1"/>
          <w:sz w:val="20"/>
        </w:rPr>
        <w:t> </w:t>
      </w:r>
      <w:r>
        <w:rPr>
          <w:sz w:val="20"/>
        </w:rPr>
        <w:t>vivienda:</w:t>
      </w:r>
    </w:p>
    <w:p>
      <w:pPr>
        <w:pStyle w:val="ListParagraph"/>
        <w:numPr>
          <w:ilvl w:val="3"/>
          <w:numId w:val="148"/>
        </w:numPr>
        <w:tabs>
          <w:tab w:pos="1714" w:val="left" w:leader="none"/>
        </w:tabs>
        <w:spacing w:line="240" w:lineRule="auto" w:before="59" w:after="0"/>
        <w:ind w:left="1658" w:right="391" w:hanging="363"/>
        <w:jc w:val="both"/>
        <w:rPr>
          <w:sz w:val="20"/>
        </w:rPr>
      </w:pPr>
      <w:r>
        <w:rPr/>
        <w:tab/>
      </w:r>
      <w:r>
        <w:rPr>
          <w:sz w:val="20"/>
        </w:rPr>
        <w:t>de lunes a viernes una ausencia de 13 horas al día para uno de los ocupantes y de 8 horas al día para el</w:t>
      </w:r>
      <w:r>
        <w:rPr>
          <w:spacing w:val="-4"/>
          <w:sz w:val="20"/>
        </w:rPr>
        <w:t> </w:t>
      </w:r>
      <w:r>
        <w:rPr>
          <w:sz w:val="20"/>
        </w:rPr>
        <w:t>resto;</w:t>
      </w:r>
    </w:p>
    <w:p>
      <w:pPr>
        <w:pStyle w:val="ListParagraph"/>
        <w:numPr>
          <w:ilvl w:val="3"/>
          <w:numId w:val="148"/>
        </w:numPr>
        <w:tabs>
          <w:tab w:pos="1659" w:val="left" w:leader="none"/>
        </w:tabs>
        <w:spacing w:line="240" w:lineRule="auto" w:before="59" w:after="0"/>
        <w:ind w:left="1658" w:right="390" w:hanging="363"/>
        <w:jc w:val="both"/>
        <w:rPr>
          <w:sz w:val="20"/>
        </w:rPr>
      </w:pPr>
      <w:r>
        <w:rPr>
          <w:sz w:val="20"/>
        </w:rPr>
        <w:t>los sábados y los domingos dos ausencias de 2 horas de duración por cada ocupante y día;</w:t>
      </w:r>
    </w:p>
    <w:p>
      <w:pPr>
        <w:pStyle w:val="ListParagraph"/>
        <w:numPr>
          <w:ilvl w:val="2"/>
          <w:numId w:val="148"/>
        </w:numPr>
        <w:tabs>
          <w:tab w:pos="1299" w:val="left" w:leader="none"/>
        </w:tabs>
        <w:spacing w:line="240" w:lineRule="auto" w:before="58" w:after="0"/>
        <w:ind w:left="1295" w:right="391" w:hanging="327"/>
        <w:jc w:val="both"/>
        <w:rPr>
          <w:sz w:val="20"/>
        </w:rPr>
      </w:pPr>
      <w:r>
        <w:rPr>
          <w:sz w:val="20"/>
        </w:rPr>
        <w:t>2 ocupantes en el dormitorio principal y 1 ocupante en cada uno de los demás dormitorios. Al limitarse el número máximo de ocupantes a 4, si la vivienda dispone de más de 3 dormitorios no todos los dormitorios están ocupados. En este caso, el sistema de </w:t>
      </w:r>
      <w:r>
        <w:rPr>
          <w:i/>
          <w:sz w:val="20"/>
        </w:rPr>
        <w:t>ventilación </w:t>
      </w:r>
      <w:r>
        <w:rPr>
          <w:sz w:val="20"/>
        </w:rPr>
        <w:t>debe ser capaz de cumplir con las exigencias establecidas en el apartado 2, párrafo 1 de esta sección independientemente de en qué dormitorio se sitúen el ocupante tercero y cuarto y qué dormi- torios queden sin</w:t>
      </w:r>
      <w:r>
        <w:rPr>
          <w:spacing w:val="-2"/>
          <w:sz w:val="20"/>
        </w:rPr>
        <w:t> </w:t>
      </w:r>
      <w:r>
        <w:rPr>
          <w:sz w:val="20"/>
        </w:rPr>
        <w:t>ocupación;</w:t>
      </w:r>
    </w:p>
    <w:p>
      <w:pPr>
        <w:pStyle w:val="ListParagraph"/>
        <w:numPr>
          <w:ilvl w:val="2"/>
          <w:numId w:val="148"/>
        </w:numPr>
        <w:tabs>
          <w:tab w:pos="1299" w:val="left" w:leader="none"/>
        </w:tabs>
        <w:spacing w:line="240" w:lineRule="auto" w:before="60" w:after="0"/>
        <w:ind w:left="1296" w:right="389" w:hanging="333"/>
        <w:jc w:val="both"/>
        <w:rPr>
          <w:sz w:val="20"/>
        </w:rPr>
      </w:pPr>
      <w:r>
        <w:rPr>
          <w:sz w:val="20"/>
        </w:rPr>
        <w:t>estancia simultánea de todos los ocupantes en la sala de estar o comedor de al menos 2 ho- ras continuas de lunes a viernes y de al menos 4 horas continuas los sábados y los domin- gos;</w:t>
      </w:r>
    </w:p>
    <w:p>
      <w:pPr>
        <w:pStyle w:val="ListParagraph"/>
        <w:numPr>
          <w:ilvl w:val="2"/>
          <w:numId w:val="148"/>
        </w:numPr>
        <w:tabs>
          <w:tab w:pos="1299" w:val="left" w:leader="none"/>
        </w:tabs>
        <w:spacing w:line="240" w:lineRule="auto" w:before="60" w:after="0"/>
        <w:ind w:left="1296" w:right="390" w:hanging="310"/>
        <w:jc w:val="both"/>
        <w:rPr>
          <w:sz w:val="20"/>
        </w:rPr>
      </w:pPr>
      <w:r>
        <w:rPr>
          <w:sz w:val="20"/>
        </w:rPr>
        <w:t>estancias de cada ocupante de media hora continua al día en uno de los baños. Si el siste- ma de </w:t>
      </w:r>
      <w:r>
        <w:rPr>
          <w:i/>
          <w:sz w:val="20"/>
        </w:rPr>
        <w:t>ventilación </w:t>
      </w:r>
      <w:r>
        <w:rPr>
          <w:sz w:val="20"/>
        </w:rPr>
        <w:t>es sensible a la presencia de los ocupantes en los baños o aseos, 2 es- tancias breves diarias de cada ocupante de 5 minutos a alguno de ellos. Estas estancias breves puede considerarse que no interrumpen la continuidad de la estancia en la sala de estar o</w:t>
      </w:r>
      <w:r>
        <w:rPr>
          <w:spacing w:val="-3"/>
          <w:sz w:val="20"/>
        </w:rPr>
        <w:t> </w:t>
      </w:r>
      <w:r>
        <w:rPr>
          <w:sz w:val="20"/>
        </w:rPr>
        <w:t>comedor;</w:t>
      </w:r>
    </w:p>
    <w:p>
      <w:pPr>
        <w:pStyle w:val="ListParagraph"/>
        <w:numPr>
          <w:ilvl w:val="2"/>
          <w:numId w:val="148"/>
        </w:numPr>
        <w:tabs>
          <w:tab w:pos="1300" w:val="left" w:leader="none"/>
        </w:tabs>
        <w:spacing w:line="240" w:lineRule="auto" w:before="61" w:after="0"/>
        <w:ind w:left="1296" w:right="391" w:hanging="333"/>
        <w:jc w:val="both"/>
        <w:rPr>
          <w:sz w:val="20"/>
        </w:rPr>
      </w:pPr>
      <w:r>
        <w:rPr>
          <w:sz w:val="20"/>
        </w:rPr>
        <w:t>el resto de horas de ocupación se distribuyen entre los </w:t>
      </w:r>
      <w:r>
        <w:rPr>
          <w:i/>
          <w:sz w:val="20"/>
        </w:rPr>
        <w:t>locales habitables </w:t>
      </w:r>
      <w:r>
        <w:rPr>
          <w:sz w:val="20"/>
        </w:rPr>
        <w:t>de la vivienda con- forme a las necesidades consideradas en cada</w:t>
      </w:r>
      <w:r>
        <w:rPr>
          <w:spacing w:val="-9"/>
          <w:sz w:val="20"/>
        </w:rPr>
        <w:t> </w:t>
      </w:r>
      <w:r>
        <w:rPr>
          <w:sz w:val="20"/>
        </w:rPr>
        <w:t>caso;</w:t>
      </w:r>
    </w:p>
    <w:p>
      <w:pPr>
        <w:pStyle w:val="ListParagraph"/>
        <w:numPr>
          <w:ilvl w:val="1"/>
          <w:numId w:val="148"/>
        </w:numPr>
        <w:tabs>
          <w:tab w:pos="1070" w:val="left" w:leader="none"/>
        </w:tabs>
        <w:spacing w:line="240" w:lineRule="auto" w:before="60" w:after="0"/>
        <w:ind w:left="1069" w:right="0" w:hanging="427"/>
        <w:jc w:val="both"/>
        <w:rPr>
          <w:sz w:val="20"/>
        </w:rPr>
      </w:pPr>
      <w:r>
        <w:rPr>
          <w:sz w:val="20"/>
        </w:rPr>
        <w:t>puertas de las distintas estancias</w:t>
      </w:r>
      <w:r>
        <w:rPr>
          <w:spacing w:val="-4"/>
          <w:sz w:val="20"/>
        </w:rPr>
        <w:t> </w:t>
      </w:r>
      <w:r>
        <w:rPr>
          <w:sz w:val="20"/>
        </w:rPr>
        <w:t>cerradas.</w:t>
      </w:r>
    </w:p>
    <w:p>
      <w:pPr>
        <w:pStyle w:val="ListParagraph"/>
        <w:numPr>
          <w:ilvl w:val="0"/>
          <w:numId w:val="148"/>
        </w:numPr>
        <w:tabs>
          <w:tab w:pos="579" w:val="left" w:leader="none"/>
        </w:tabs>
        <w:spacing w:line="240" w:lineRule="auto" w:before="58" w:after="0"/>
        <w:ind w:left="578" w:right="392" w:hanging="360"/>
        <w:jc w:val="both"/>
        <w:rPr>
          <w:sz w:val="20"/>
        </w:rPr>
      </w:pPr>
      <w:r>
        <w:rPr>
          <w:position w:val="1"/>
          <w:sz w:val="20"/>
        </w:rPr>
        <w:t>Si no se dispone de valores de concentración de CO</w:t>
      </w:r>
      <w:r>
        <w:rPr>
          <w:sz w:val="13"/>
        </w:rPr>
        <w:t>2 </w:t>
      </w:r>
      <w:r>
        <w:rPr>
          <w:position w:val="1"/>
          <w:sz w:val="20"/>
        </w:rPr>
        <w:t>en el aire exterior en el emplazamiento del</w:t>
      </w:r>
      <w:r>
        <w:rPr>
          <w:sz w:val="20"/>
        </w:rPr>
        <w:t> edificio, se considera una media anual de 400</w:t>
      </w:r>
      <w:r>
        <w:rPr>
          <w:spacing w:val="-7"/>
          <w:sz w:val="20"/>
        </w:rPr>
        <w:t> </w:t>
      </w:r>
      <w:r>
        <w:rPr>
          <w:sz w:val="20"/>
        </w:rPr>
        <w:t>ppm.</w:t>
      </w:r>
    </w:p>
    <w:p>
      <w:pPr>
        <w:pStyle w:val="ListParagraph"/>
        <w:numPr>
          <w:ilvl w:val="0"/>
          <w:numId w:val="148"/>
        </w:numPr>
        <w:tabs>
          <w:tab w:pos="579" w:val="left" w:leader="none"/>
        </w:tabs>
        <w:spacing w:line="240" w:lineRule="auto" w:before="62" w:after="0"/>
        <w:ind w:left="578" w:right="391" w:hanging="361"/>
        <w:jc w:val="both"/>
        <w:rPr>
          <w:sz w:val="20"/>
        </w:rPr>
      </w:pPr>
      <w:r>
        <w:rPr>
          <w:sz w:val="20"/>
        </w:rPr>
        <w:t>En ausencia de datos climáticos representativos en el emplazamiento del edificio, puede emplearse el clima de referencia de la zona climática según el apéndice B del DB</w:t>
      </w:r>
      <w:r>
        <w:rPr>
          <w:spacing w:val="-12"/>
          <w:sz w:val="20"/>
        </w:rPr>
        <w:t> </w:t>
      </w:r>
      <w:r>
        <w:rPr>
          <w:sz w:val="20"/>
        </w:rPr>
        <w:t>HE1.</w:t>
      </w:r>
    </w:p>
    <w:p>
      <w:pPr>
        <w:spacing w:after="0" w:line="240" w:lineRule="auto"/>
        <w:jc w:val="both"/>
        <w:rPr>
          <w:sz w:val="20"/>
        </w:rPr>
        <w:sectPr>
          <w:pgSz w:w="11910" w:h="16840"/>
          <w:pgMar w:header="724" w:footer="636" w:top="1320" w:bottom="820" w:left="1200" w:right="738"/>
        </w:sectPr>
      </w:pPr>
    </w:p>
    <w:p>
      <w:pPr>
        <w:pStyle w:val="Heading1"/>
        <w:spacing w:line="240" w:lineRule="auto"/>
        <w:ind w:right="6762"/>
      </w:pPr>
      <w:r>
        <w:rPr/>
        <w:t>Sección HS 4 Suministro de agua</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8"/>
        <w:rPr>
          <w:b/>
          <w:sz w:val="53"/>
        </w:rPr>
      </w:pPr>
    </w:p>
    <w:p>
      <w:pPr>
        <w:pStyle w:val="Heading2"/>
        <w:numPr>
          <w:ilvl w:val="0"/>
          <w:numId w:val="149"/>
        </w:numPr>
        <w:tabs>
          <w:tab w:pos="787" w:val="left" w:leader="none"/>
        </w:tabs>
        <w:spacing w:line="240" w:lineRule="auto" w:before="1" w:after="0"/>
        <w:ind w:left="786" w:right="0" w:hanging="569"/>
        <w:jc w:val="both"/>
      </w:pPr>
      <w:r>
        <w:rPr/>
        <w:t>Generalidades</w:t>
      </w:r>
    </w:p>
    <w:p>
      <w:pPr>
        <w:pStyle w:val="BodyText"/>
        <w:spacing w:before="3"/>
        <w:rPr>
          <w:b/>
          <w:sz w:val="24"/>
        </w:rPr>
      </w:pPr>
    </w:p>
    <w:p>
      <w:pPr>
        <w:pStyle w:val="Heading3"/>
        <w:numPr>
          <w:ilvl w:val="1"/>
          <w:numId w:val="149"/>
        </w:numPr>
        <w:tabs>
          <w:tab w:pos="673" w:val="left" w:leader="none"/>
        </w:tabs>
        <w:spacing w:line="240" w:lineRule="auto" w:before="0" w:after="0"/>
        <w:ind w:left="672" w:right="0" w:hanging="455"/>
        <w:jc w:val="both"/>
      </w:pPr>
      <w:r>
        <w:rPr/>
        <w:t>Ámbito de</w:t>
      </w:r>
      <w:r>
        <w:rPr>
          <w:spacing w:val="-1"/>
        </w:rPr>
        <w:t> </w:t>
      </w:r>
      <w:r>
        <w:rPr/>
        <w:t>aplicación</w:t>
      </w:r>
    </w:p>
    <w:p>
      <w:pPr>
        <w:pStyle w:val="BodyText"/>
        <w:spacing w:before="99"/>
        <w:ind w:left="672" w:right="394" w:hanging="454"/>
        <w:jc w:val="both"/>
      </w:pPr>
      <w:r>
        <w:rPr/>
        <w:t>1   Esta sección se aplica a la instalación de suministro de agua en los edificios incluidos en el ámbito   de aplicación general del CTE. Las ampliaciones, modificaciones, reformas o rehabilitaciones de las instalaciones existentes se consideran incluidas cuando se amplía el número o la capacidad de los aparatos receptores existentes en la</w:t>
      </w:r>
      <w:r>
        <w:rPr>
          <w:spacing w:val="-4"/>
        </w:rPr>
        <w:t> </w:t>
      </w:r>
      <w:r>
        <w:rPr/>
        <w:t>instalación.</w:t>
      </w:r>
    </w:p>
    <w:p>
      <w:pPr>
        <w:pStyle w:val="BodyText"/>
        <w:spacing w:before="5"/>
        <w:rPr>
          <w:sz w:val="24"/>
        </w:rPr>
      </w:pPr>
    </w:p>
    <w:p>
      <w:pPr>
        <w:pStyle w:val="Heading3"/>
        <w:numPr>
          <w:ilvl w:val="1"/>
          <w:numId w:val="149"/>
        </w:numPr>
        <w:tabs>
          <w:tab w:pos="673" w:val="left" w:leader="none"/>
        </w:tabs>
        <w:spacing w:line="240" w:lineRule="auto" w:before="0" w:after="0"/>
        <w:ind w:left="672" w:right="0" w:hanging="455"/>
        <w:jc w:val="left"/>
      </w:pPr>
      <w:r>
        <w:rPr/>
        <w:t>Procedimiento de</w:t>
      </w:r>
      <w:r>
        <w:rPr>
          <w:spacing w:val="-1"/>
        </w:rPr>
        <w:t> </w:t>
      </w:r>
      <w:r>
        <w:rPr/>
        <w:t>verificación</w:t>
      </w:r>
    </w:p>
    <w:p>
      <w:pPr>
        <w:pStyle w:val="ListParagraph"/>
        <w:numPr>
          <w:ilvl w:val="0"/>
          <w:numId w:val="150"/>
        </w:numPr>
        <w:tabs>
          <w:tab w:pos="672" w:val="left" w:leader="none"/>
          <w:tab w:pos="673" w:val="left" w:leader="none"/>
        </w:tabs>
        <w:spacing w:line="240" w:lineRule="auto" w:before="99" w:after="0"/>
        <w:ind w:left="672" w:right="395" w:hanging="454"/>
        <w:jc w:val="left"/>
        <w:rPr>
          <w:sz w:val="20"/>
        </w:rPr>
      </w:pPr>
      <w:r>
        <w:rPr>
          <w:sz w:val="20"/>
        </w:rPr>
        <w:t>Para la aplicación de esta sección debe seguirse la secuencia de verificaciones que se expone a continuación.</w:t>
      </w:r>
    </w:p>
    <w:p>
      <w:pPr>
        <w:pStyle w:val="ListParagraph"/>
        <w:numPr>
          <w:ilvl w:val="0"/>
          <w:numId w:val="150"/>
        </w:numPr>
        <w:tabs>
          <w:tab w:pos="672" w:val="left" w:leader="none"/>
          <w:tab w:pos="673" w:val="left" w:leader="none"/>
        </w:tabs>
        <w:spacing w:line="240" w:lineRule="auto" w:before="59" w:after="0"/>
        <w:ind w:left="672" w:right="0" w:hanging="455"/>
        <w:jc w:val="left"/>
        <w:rPr>
          <w:sz w:val="20"/>
        </w:rPr>
      </w:pPr>
      <w:r>
        <w:rPr>
          <w:sz w:val="20"/>
        </w:rPr>
        <w:t>Cumplimiento de las condiciones de diseño del apartado</w:t>
      </w:r>
      <w:r>
        <w:rPr>
          <w:spacing w:val="-5"/>
          <w:sz w:val="20"/>
        </w:rPr>
        <w:t> </w:t>
      </w:r>
      <w:r>
        <w:rPr>
          <w:sz w:val="20"/>
        </w:rPr>
        <w:t>3.</w:t>
      </w:r>
    </w:p>
    <w:p>
      <w:pPr>
        <w:pStyle w:val="ListParagraph"/>
        <w:numPr>
          <w:ilvl w:val="0"/>
          <w:numId w:val="150"/>
        </w:numPr>
        <w:tabs>
          <w:tab w:pos="672" w:val="left" w:leader="none"/>
          <w:tab w:pos="673" w:val="left" w:leader="none"/>
        </w:tabs>
        <w:spacing w:line="240" w:lineRule="auto" w:before="61" w:after="0"/>
        <w:ind w:left="672" w:right="0" w:hanging="455"/>
        <w:jc w:val="left"/>
        <w:rPr>
          <w:sz w:val="20"/>
        </w:rPr>
      </w:pPr>
      <w:r>
        <w:rPr>
          <w:sz w:val="20"/>
        </w:rPr>
        <w:t>Cumplimiento de las condiciones de dimensionado del apartado</w:t>
      </w:r>
      <w:r>
        <w:rPr>
          <w:spacing w:val="-4"/>
          <w:sz w:val="20"/>
        </w:rPr>
        <w:t> </w:t>
      </w:r>
      <w:r>
        <w:rPr>
          <w:sz w:val="20"/>
        </w:rPr>
        <w:t>4.</w:t>
      </w:r>
    </w:p>
    <w:p>
      <w:pPr>
        <w:pStyle w:val="ListParagraph"/>
        <w:numPr>
          <w:ilvl w:val="0"/>
          <w:numId w:val="150"/>
        </w:numPr>
        <w:tabs>
          <w:tab w:pos="672" w:val="left" w:leader="none"/>
          <w:tab w:pos="673" w:val="left" w:leader="none"/>
        </w:tabs>
        <w:spacing w:line="240" w:lineRule="auto" w:before="61" w:after="0"/>
        <w:ind w:left="672" w:right="0" w:hanging="455"/>
        <w:jc w:val="left"/>
        <w:rPr>
          <w:sz w:val="20"/>
        </w:rPr>
      </w:pPr>
      <w:r>
        <w:rPr>
          <w:sz w:val="20"/>
        </w:rPr>
        <w:t>Cumplimiento de las condiciones de ejecución, del apartado</w:t>
      </w:r>
      <w:r>
        <w:rPr>
          <w:spacing w:val="-5"/>
          <w:sz w:val="20"/>
        </w:rPr>
        <w:t> </w:t>
      </w:r>
      <w:r>
        <w:rPr>
          <w:sz w:val="20"/>
        </w:rPr>
        <w:t>5.</w:t>
      </w:r>
    </w:p>
    <w:p>
      <w:pPr>
        <w:pStyle w:val="ListParagraph"/>
        <w:numPr>
          <w:ilvl w:val="0"/>
          <w:numId w:val="150"/>
        </w:numPr>
        <w:tabs>
          <w:tab w:pos="672" w:val="left" w:leader="none"/>
          <w:tab w:pos="673" w:val="left" w:leader="none"/>
        </w:tabs>
        <w:spacing w:line="240" w:lineRule="auto" w:before="59" w:after="0"/>
        <w:ind w:left="672" w:right="0" w:hanging="455"/>
        <w:jc w:val="left"/>
        <w:rPr>
          <w:sz w:val="20"/>
        </w:rPr>
      </w:pPr>
      <w:r>
        <w:rPr>
          <w:sz w:val="20"/>
        </w:rPr>
        <w:t>Cumplimiento de las condiciones de los productos de construcción del apartado</w:t>
      </w:r>
      <w:r>
        <w:rPr>
          <w:spacing w:val="-10"/>
          <w:sz w:val="20"/>
        </w:rPr>
        <w:t> </w:t>
      </w:r>
      <w:r>
        <w:rPr>
          <w:sz w:val="20"/>
        </w:rPr>
        <w:t>6.</w:t>
      </w:r>
    </w:p>
    <w:p>
      <w:pPr>
        <w:pStyle w:val="ListParagraph"/>
        <w:numPr>
          <w:ilvl w:val="0"/>
          <w:numId w:val="150"/>
        </w:numPr>
        <w:tabs>
          <w:tab w:pos="672" w:val="left" w:leader="none"/>
          <w:tab w:pos="673" w:val="left" w:leader="none"/>
        </w:tabs>
        <w:spacing w:line="240" w:lineRule="auto" w:before="60" w:after="0"/>
        <w:ind w:left="672" w:right="0" w:hanging="455"/>
        <w:jc w:val="left"/>
        <w:rPr>
          <w:sz w:val="20"/>
        </w:rPr>
      </w:pPr>
      <w:r>
        <w:rPr>
          <w:sz w:val="20"/>
        </w:rPr>
        <w:t>Cumplimiento de las condiciones de uso y mantenimiento del apartado</w:t>
      </w:r>
      <w:r>
        <w:rPr>
          <w:spacing w:val="-9"/>
          <w:sz w:val="20"/>
        </w:rPr>
        <w:t> </w:t>
      </w:r>
      <w:r>
        <w:rPr>
          <w:sz w:val="20"/>
        </w:rPr>
        <w:t>7.</w:t>
      </w:r>
    </w:p>
    <w:p>
      <w:pPr>
        <w:pStyle w:val="BodyText"/>
        <w:rPr>
          <w:sz w:val="22"/>
        </w:rPr>
      </w:pPr>
    </w:p>
    <w:p>
      <w:pPr>
        <w:pStyle w:val="BodyText"/>
        <w:spacing w:before="11"/>
        <w:rPr>
          <w:sz w:val="19"/>
        </w:rPr>
      </w:pPr>
    </w:p>
    <w:p>
      <w:pPr>
        <w:pStyle w:val="Heading2"/>
        <w:numPr>
          <w:ilvl w:val="0"/>
          <w:numId w:val="151"/>
        </w:numPr>
        <w:tabs>
          <w:tab w:pos="787" w:val="left" w:leader="none"/>
        </w:tabs>
        <w:spacing w:line="240" w:lineRule="auto" w:before="0" w:after="0"/>
        <w:ind w:left="786" w:right="0" w:hanging="569"/>
        <w:jc w:val="both"/>
      </w:pPr>
      <w:r>
        <w:rPr/>
        <w:t>Caracterización y cuantificación de las</w:t>
      </w:r>
      <w:r>
        <w:rPr>
          <w:spacing w:val="-1"/>
        </w:rPr>
        <w:t> </w:t>
      </w:r>
      <w:r>
        <w:rPr/>
        <w:t>exigencias</w:t>
      </w:r>
    </w:p>
    <w:p>
      <w:pPr>
        <w:pStyle w:val="BodyText"/>
        <w:spacing w:before="3"/>
        <w:rPr>
          <w:b/>
          <w:sz w:val="24"/>
        </w:rPr>
      </w:pPr>
    </w:p>
    <w:p>
      <w:pPr>
        <w:pStyle w:val="Heading3"/>
        <w:numPr>
          <w:ilvl w:val="1"/>
          <w:numId w:val="151"/>
        </w:numPr>
        <w:tabs>
          <w:tab w:pos="673" w:val="left" w:leader="none"/>
        </w:tabs>
        <w:spacing w:line="240" w:lineRule="auto" w:before="0" w:after="0"/>
        <w:ind w:left="672" w:right="0" w:hanging="455"/>
        <w:jc w:val="both"/>
      </w:pPr>
      <w:r>
        <w:rPr/>
        <w:t>Propiedades de la</w:t>
      </w:r>
      <w:r>
        <w:rPr>
          <w:spacing w:val="-1"/>
        </w:rPr>
        <w:t> </w:t>
      </w:r>
      <w:r>
        <w:rPr/>
        <w:t>instalación</w:t>
      </w:r>
    </w:p>
    <w:p>
      <w:pPr>
        <w:pStyle w:val="Heading5"/>
        <w:numPr>
          <w:ilvl w:val="2"/>
          <w:numId w:val="151"/>
        </w:numPr>
        <w:tabs>
          <w:tab w:pos="787" w:val="left" w:leader="none"/>
        </w:tabs>
        <w:spacing w:line="240" w:lineRule="auto" w:before="201" w:after="0"/>
        <w:ind w:left="786" w:right="0" w:hanging="569"/>
        <w:jc w:val="both"/>
      </w:pPr>
      <w:r>
        <w:rPr/>
        <w:t>Calidad del</w:t>
      </w:r>
      <w:r>
        <w:rPr>
          <w:spacing w:val="-3"/>
        </w:rPr>
        <w:t> </w:t>
      </w:r>
      <w:r>
        <w:rPr/>
        <w:t>agua</w:t>
      </w:r>
    </w:p>
    <w:p>
      <w:pPr>
        <w:pStyle w:val="ListParagraph"/>
        <w:numPr>
          <w:ilvl w:val="0"/>
          <w:numId w:val="152"/>
        </w:numPr>
        <w:tabs>
          <w:tab w:pos="673" w:val="left" w:leader="none"/>
        </w:tabs>
        <w:spacing w:line="240" w:lineRule="auto" w:before="98" w:after="0"/>
        <w:ind w:left="672" w:right="397" w:hanging="454"/>
        <w:jc w:val="both"/>
        <w:rPr>
          <w:sz w:val="20"/>
        </w:rPr>
      </w:pPr>
      <w:r>
        <w:rPr>
          <w:sz w:val="20"/>
        </w:rPr>
        <w:t>El agua de la instalación debe cumplir lo establecido en la legislación vigente sobre el agua para consumo</w:t>
      </w:r>
      <w:r>
        <w:rPr>
          <w:spacing w:val="-1"/>
          <w:sz w:val="20"/>
        </w:rPr>
        <w:t> </w:t>
      </w:r>
      <w:r>
        <w:rPr>
          <w:sz w:val="20"/>
        </w:rPr>
        <w:t>humano.</w:t>
      </w:r>
    </w:p>
    <w:p>
      <w:pPr>
        <w:pStyle w:val="ListParagraph"/>
        <w:numPr>
          <w:ilvl w:val="0"/>
          <w:numId w:val="152"/>
        </w:numPr>
        <w:tabs>
          <w:tab w:pos="673" w:val="left" w:leader="none"/>
        </w:tabs>
        <w:spacing w:line="240" w:lineRule="auto" w:before="59" w:after="0"/>
        <w:ind w:left="672" w:right="392" w:hanging="454"/>
        <w:jc w:val="both"/>
        <w:rPr>
          <w:sz w:val="20"/>
        </w:rPr>
      </w:pPr>
      <w:r>
        <w:rPr>
          <w:sz w:val="20"/>
        </w:rPr>
        <w:t>Las compañías suministradoras facilitarán los datos de caudal y presión que servirán de base para el dimensionado de la</w:t>
      </w:r>
      <w:r>
        <w:rPr>
          <w:spacing w:val="-1"/>
          <w:sz w:val="20"/>
        </w:rPr>
        <w:t> </w:t>
      </w:r>
      <w:r>
        <w:rPr>
          <w:sz w:val="20"/>
        </w:rPr>
        <w:t>instalación.</w:t>
      </w:r>
    </w:p>
    <w:p>
      <w:pPr>
        <w:pStyle w:val="ListParagraph"/>
        <w:numPr>
          <w:ilvl w:val="0"/>
          <w:numId w:val="152"/>
        </w:numPr>
        <w:tabs>
          <w:tab w:pos="673" w:val="left" w:leader="none"/>
        </w:tabs>
        <w:spacing w:line="240" w:lineRule="auto" w:before="60" w:after="0"/>
        <w:ind w:left="672" w:right="397" w:hanging="454"/>
        <w:jc w:val="both"/>
        <w:rPr>
          <w:sz w:val="20"/>
        </w:rPr>
      </w:pPr>
      <w:r>
        <w:rPr>
          <w:sz w:val="20"/>
        </w:rPr>
        <w:t>Los materiales que se vayan a utilizar en la instalación, en relación con su afectación al agua que suministren, deben ajustarse a los siguientes</w:t>
      </w:r>
      <w:r>
        <w:rPr>
          <w:spacing w:val="-3"/>
          <w:sz w:val="20"/>
        </w:rPr>
        <w:t> </w:t>
      </w:r>
      <w:r>
        <w:rPr>
          <w:sz w:val="20"/>
        </w:rPr>
        <w:t>requisitos:</w:t>
      </w:r>
    </w:p>
    <w:p>
      <w:pPr>
        <w:pStyle w:val="ListParagraph"/>
        <w:numPr>
          <w:ilvl w:val="1"/>
          <w:numId w:val="152"/>
        </w:numPr>
        <w:tabs>
          <w:tab w:pos="1126" w:val="left" w:leader="none"/>
        </w:tabs>
        <w:spacing w:line="240" w:lineRule="auto" w:before="61" w:after="0"/>
        <w:ind w:left="1126" w:right="392" w:hanging="454"/>
        <w:jc w:val="both"/>
        <w:rPr>
          <w:sz w:val="20"/>
        </w:rPr>
      </w:pPr>
      <w:r>
        <w:rPr>
          <w:sz w:val="20"/>
        </w:rPr>
        <w:t>para las tuberías y accesorios deben emplearse materiales que no produzcan concentraciones de sustancias nocivas que excedan los valores permitidos por la el Real Decreto 140/2003, de 7 de febrero;</w:t>
      </w:r>
    </w:p>
    <w:p>
      <w:pPr>
        <w:pStyle w:val="BodyText"/>
        <w:spacing w:before="5"/>
        <w:rPr>
          <w:sz w:val="30"/>
        </w:rPr>
      </w:pPr>
    </w:p>
    <w:p>
      <w:pPr>
        <w:spacing w:before="0"/>
        <w:ind w:left="1777" w:right="962" w:firstLine="0"/>
        <w:jc w:val="left"/>
        <w:rPr>
          <w:sz w:val="16"/>
        </w:rPr>
      </w:pPr>
      <w:r>
        <w:rPr/>
        <w:pict>
          <v:group style="position:absolute;margin-left:142.940002pt;margin-top:.103903pt;width:.5pt;height:21.45pt;mso-position-horizontal-relative:page;mso-position-vertical-relative:paragraph;z-index:251938816" coordorigin="2859,2" coordsize="10,429">
            <v:line style="position:absolute" from="2864,2" to="2864,187" stroked="true" strokeweight=".48pt" strokecolor="#000000">
              <v:stroke dashstyle="solid"/>
            </v:line>
            <v:line style="position:absolute" from="2864,187" to="2864,431" stroked="true" strokeweight=".48pt" strokecolor="#000000">
              <v:stroke dashstyle="solid"/>
            </v:line>
            <w10:wrap type="none"/>
          </v:group>
        </w:pict>
      </w:r>
      <w:r>
        <w:rPr>
          <w:sz w:val="16"/>
        </w:rPr>
        <w:t>Por accesorio se entienden aquellos elementos o partes de elementos que no siendo tubulares, se encuentren en contacto con el</w:t>
      </w:r>
      <w:r>
        <w:rPr>
          <w:spacing w:val="-5"/>
          <w:sz w:val="16"/>
        </w:rPr>
        <w:t> </w:t>
      </w:r>
      <w:r>
        <w:rPr>
          <w:sz w:val="16"/>
        </w:rPr>
        <w:t>agua.</w:t>
      </w:r>
    </w:p>
    <w:p>
      <w:pPr>
        <w:pStyle w:val="BodyText"/>
        <w:spacing w:before="3"/>
        <w:rPr>
          <w:sz w:val="22"/>
        </w:rPr>
      </w:pPr>
    </w:p>
    <w:p>
      <w:pPr>
        <w:pStyle w:val="ListParagraph"/>
        <w:numPr>
          <w:ilvl w:val="1"/>
          <w:numId w:val="152"/>
        </w:numPr>
        <w:tabs>
          <w:tab w:pos="1125" w:val="left" w:leader="none"/>
          <w:tab w:pos="1126" w:val="left" w:leader="none"/>
        </w:tabs>
        <w:spacing w:line="240" w:lineRule="auto" w:before="94" w:after="0"/>
        <w:ind w:left="1126" w:right="0" w:hanging="454"/>
        <w:jc w:val="left"/>
        <w:rPr>
          <w:sz w:val="20"/>
        </w:rPr>
      </w:pPr>
      <w:r>
        <w:rPr>
          <w:sz w:val="20"/>
        </w:rPr>
        <w:t>no deben modificar la potabilidad, el olor, el color ni el sabor del</w:t>
      </w:r>
      <w:r>
        <w:rPr>
          <w:spacing w:val="-4"/>
          <w:sz w:val="20"/>
        </w:rPr>
        <w:t> </w:t>
      </w:r>
      <w:r>
        <w:rPr>
          <w:sz w:val="20"/>
        </w:rPr>
        <w:t>agua;</w:t>
      </w:r>
    </w:p>
    <w:p>
      <w:pPr>
        <w:pStyle w:val="ListParagraph"/>
        <w:numPr>
          <w:ilvl w:val="1"/>
          <w:numId w:val="152"/>
        </w:numPr>
        <w:tabs>
          <w:tab w:pos="1125" w:val="left" w:leader="none"/>
          <w:tab w:pos="1126" w:val="left" w:leader="none"/>
        </w:tabs>
        <w:spacing w:line="240" w:lineRule="auto" w:before="60" w:after="0"/>
        <w:ind w:left="1126" w:right="0" w:hanging="454"/>
        <w:jc w:val="left"/>
        <w:rPr>
          <w:sz w:val="20"/>
        </w:rPr>
      </w:pPr>
      <w:r>
        <w:rPr>
          <w:sz w:val="20"/>
        </w:rPr>
        <w:t>deben ser resistentes a la corrosión</w:t>
      </w:r>
      <w:r>
        <w:rPr>
          <w:spacing w:val="-3"/>
          <w:sz w:val="20"/>
        </w:rPr>
        <w:t> </w:t>
      </w:r>
      <w:r>
        <w:rPr>
          <w:sz w:val="20"/>
        </w:rPr>
        <w:t>interior;</w:t>
      </w:r>
    </w:p>
    <w:p>
      <w:pPr>
        <w:pStyle w:val="ListParagraph"/>
        <w:numPr>
          <w:ilvl w:val="1"/>
          <w:numId w:val="152"/>
        </w:numPr>
        <w:tabs>
          <w:tab w:pos="1125" w:val="left" w:leader="none"/>
          <w:tab w:pos="1126" w:val="left" w:leader="none"/>
        </w:tabs>
        <w:spacing w:line="240" w:lineRule="auto" w:before="60" w:after="0"/>
        <w:ind w:left="1126" w:right="0" w:hanging="454"/>
        <w:jc w:val="left"/>
        <w:rPr>
          <w:sz w:val="20"/>
        </w:rPr>
      </w:pPr>
      <w:r>
        <w:rPr>
          <w:sz w:val="20"/>
        </w:rPr>
        <w:t>deben ser capaces de funcionar eficazmente en las condiciones de servicio</w:t>
      </w:r>
      <w:r>
        <w:rPr>
          <w:spacing w:val="-4"/>
          <w:sz w:val="20"/>
        </w:rPr>
        <w:t> </w:t>
      </w:r>
      <w:r>
        <w:rPr>
          <w:sz w:val="20"/>
        </w:rPr>
        <w:t>previstas;</w:t>
      </w:r>
    </w:p>
    <w:p>
      <w:pPr>
        <w:spacing w:after="0" w:line="240" w:lineRule="auto"/>
        <w:jc w:val="left"/>
        <w:rPr>
          <w:sz w:val="20"/>
        </w:rPr>
        <w:sectPr>
          <w:headerReference w:type="default" r:id="rId113"/>
          <w:pgSz w:w="11910" w:h="16840"/>
          <w:pgMar w:header="908" w:footer="636" w:top="1320" w:bottom="840" w:left="1200" w:right="740"/>
        </w:sectPr>
      </w:pPr>
    </w:p>
    <w:p>
      <w:pPr>
        <w:pStyle w:val="ListParagraph"/>
        <w:numPr>
          <w:ilvl w:val="1"/>
          <w:numId w:val="152"/>
        </w:numPr>
        <w:tabs>
          <w:tab w:pos="1126" w:val="left" w:leader="none"/>
        </w:tabs>
        <w:spacing w:line="240" w:lineRule="auto" w:before="91" w:after="0"/>
        <w:ind w:left="1126" w:right="0" w:hanging="454"/>
        <w:jc w:val="both"/>
        <w:rPr>
          <w:sz w:val="20"/>
        </w:rPr>
      </w:pPr>
      <w:r>
        <w:rPr>
          <w:sz w:val="20"/>
        </w:rPr>
        <w:t>no deben presentar incompatibilidad electroquímica entre</w:t>
      </w:r>
      <w:r>
        <w:rPr>
          <w:spacing w:val="-1"/>
          <w:sz w:val="20"/>
        </w:rPr>
        <w:t> </w:t>
      </w:r>
      <w:r>
        <w:rPr>
          <w:sz w:val="20"/>
        </w:rPr>
        <w:t>sí;</w:t>
      </w:r>
    </w:p>
    <w:p>
      <w:pPr>
        <w:pStyle w:val="ListParagraph"/>
        <w:numPr>
          <w:ilvl w:val="1"/>
          <w:numId w:val="152"/>
        </w:numPr>
        <w:tabs>
          <w:tab w:pos="1126" w:val="left" w:leader="none"/>
        </w:tabs>
        <w:spacing w:line="240" w:lineRule="auto" w:before="59" w:after="0"/>
        <w:ind w:left="1126" w:right="389" w:hanging="454"/>
        <w:jc w:val="both"/>
        <w:rPr>
          <w:sz w:val="20"/>
        </w:rPr>
      </w:pPr>
      <w:r>
        <w:rPr>
          <w:sz w:val="20"/>
        </w:rPr>
        <w:t>deben ser resistentes a temperaturas de hasta 40ºC, y a las temperaturas exteriores de su en- torno inmediato;</w:t>
      </w:r>
    </w:p>
    <w:p>
      <w:pPr>
        <w:pStyle w:val="ListParagraph"/>
        <w:numPr>
          <w:ilvl w:val="1"/>
          <w:numId w:val="152"/>
        </w:numPr>
        <w:tabs>
          <w:tab w:pos="1126" w:val="left" w:leader="none"/>
        </w:tabs>
        <w:spacing w:line="240" w:lineRule="auto" w:before="61" w:after="0"/>
        <w:ind w:left="1126" w:right="391" w:hanging="454"/>
        <w:jc w:val="both"/>
        <w:rPr>
          <w:sz w:val="20"/>
        </w:rPr>
      </w:pPr>
      <w:r>
        <w:rPr>
          <w:sz w:val="20"/>
        </w:rPr>
        <w:t>deben ser compatibles con el agua suministrada y no deben favorecer la migración de sustan- cias de los materiales en cantidades que sean un riesgo para la salubridad y limpieza del agua de consumo</w:t>
      </w:r>
      <w:r>
        <w:rPr>
          <w:spacing w:val="-2"/>
          <w:sz w:val="20"/>
        </w:rPr>
        <w:t> </w:t>
      </w:r>
      <w:r>
        <w:rPr>
          <w:sz w:val="20"/>
        </w:rPr>
        <w:t>humano;</w:t>
      </w:r>
    </w:p>
    <w:p>
      <w:pPr>
        <w:pStyle w:val="ListParagraph"/>
        <w:numPr>
          <w:ilvl w:val="1"/>
          <w:numId w:val="152"/>
        </w:numPr>
        <w:tabs>
          <w:tab w:pos="1126" w:val="left" w:leader="none"/>
        </w:tabs>
        <w:spacing w:line="240" w:lineRule="auto" w:before="61" w:after="0"/>
        <w:ind w:left="1126" w:right="392" w:hanging="454"/>
        <w:jc w:val="both"/>
        <w:rPr>
          <w:sz w:val="20"/>
        </w:rPr>
      </w:pPr>
      <w:r>
        <w:rPr>
          <w:sz w:val="20"/>
        </w:rPr>
        <w:t>su envejecimiento, fatiga, durabilidad y las restantes características mecánicas, físicas o quí- micas, no deben disminuir la vida útil prevista de la</w:t>
      </w:r>
      <w:r>
        <w:rPr>
          <w:spacing w:val="-5"/>
          <w:sz w:val="20"/>
        </w:rPr>
        <w:t> </w:t>
      </w:r>
      <w:r>
        <w:rPr>
          <w:sz w:val="20"/>
        </w:rPr>
        <w:t>instalación.</w:t>
      </w:r>
    </w:p>
    <w:p>
      <w:pPr>
        <w:pStyle w:val="ListParagraph"/>
        <w:numPr>
          <w:ilvl w:val="0"/>
          <w:numId w:val="152"/>
        </w:numPr>
        <w:tabs>
          <w:tab w:pos="673" w:val="left" w:leader="none"/>
        </w:tabs>
        <w:spacing w:line="240" w:lineRule="auto" w:before="59" w:after="0"/>
        <w:ind w:left="672" w:right="396" w:hanging="454"/>
        <w:jc w:val="both"/>
        <w:rPr>
          <w:sz w:val="20"/>
        </w:rPr>
      </w:pPr>
      <w:r>
        <w:rPr>
          <w:sz w:val="20"/>
        </w:rPr>
        <w:t>Para cumplir las condiciones anteriores pueden utilizarse revestimientos, sistemas de protección o sistemas de tratamiento de</w:t>
      </w:r>
      <w:r>
        <w:rPr>
          <w:spacing w:val="-3"/>
          <w:sz w:val="20"/>
        </w:rPr>
        <w:t> </w:t>
      </w:r>
      <w:r>
        <w:rPr>
          <w:sz w:val="20"/>
        </w:rPr>
        <w:t>agua.</w:t>
      </w:r>
    </w:p>
    <w:p>
      <w:pPr>
        <w:pStyle w:val="ListParagraph"/>
        <w:numPr>
          <w:ilvl w:val="0"/>
          <w:numId w:val="152"/>
        </w:numPr>
        <w:tabs>
          <w:tab w:pos="673" w:val="left" w:leader="none"/>
        </w:tabs>
        <w:spacing w:line="240" w:lineRule="auto" w:before="60" w:after="0"/>
        <w:ind w:left="672" w:right="392" w:hanging="454"/>
        <w:jc w:val="both"/>
        <w:rPr>
          <w:sz w:val="20"/>
        </w:rPr>
      </w:pPr>
      <w:r>
        <w:rPr>
          <w:sz w:val="20"/>
        </w:rPr>
        <w:t>La instalación de suministro de agua debe tener características adecuadas para evitar el desarrollo de gérmenes patógenos y no favorecer el desarrollo de la biocapa</w:t>
      </w:r>
      <w:r>
        <w:rPr>
          <w:spacing w:val="-8"/>
          <w:sz w:val="20"/>
        </w:rPr>
        <w:t> </w:t>
      </w:r>
      <w:r>
        <w:rPr>
          <w:sz w:val="20"/>
        </w:rPr>
        <w:t>(biofilm).</w:t>
      </w:r>
    </w:p>
    <w:p>
      <w:pPr>
        <w:pStyle w:val="BodyText"/>
        <w:spacing w:before="5"/>
        <w:rPr>
          <w:sz w:val="30"/>
        </w:rPr>
      </w:pPr>
    </w:p>
    <w:p>
      <w:pPr>
        <w:spacing w:before="0"/>
        <w:ind w:left="1777" w:right="0" w:firstLine="0"/>
        <w:jc w:val="both"/>
        <w:rPr>
          <w:b/>
          <w:sz w:val="16"/>
        </w:rPr>
      </w:pPr>
      <w:r>
        <w:rPr/>
        <w:pict>
          <v:group style="position:absolute;margin-left:142.940002pt;margin-top:.123921pt;width:.5pt;height:42.8pt;mso-position-horizontal-relative:page;mso-position-vertical-relative:paragraph;z-index:251939840" coordorigin="2859,2" coordsize="10,856">
            <v:line style="position:absolute" from="2864,2" to="2864,246" stroked="true" strokeweight=".48pt" strokecolor="#000000">
              <v:stroke dashstyle="solid"/>
            </v:line>
            <v:line style="position:absolute" from="2864,246" to="2864,431" stroked="true" strokeweight=".48pt" strokecolor="#000000">
              <v:stroke dashstyle="solid"/>
            </v:line>
            <v:line style="position:absolute" from="2864,431" to="2864,614" stroked="true" strokeweight=".48pt" strokecolor="#000000">
              <v:stroke dashstyle="solid"/>
            </v:line>
            <v:line style="position:absolute" from="2864,614" to="2864,858" stroked="true" strokeweight=".48pt" strokecolor="#000000">
              <v:stroke dashstyle="solid"/>
            </v:line>
            <w10:wrap type="none"/>
          </v:group>
        </w:pict>
      </w:r>
      <w:r>
        <w:rPr>
          <w:b/>
          <w:sz w:val="16"/>
        </w:rPr>
        <w:t>Calidad del agua</w:t>
      </w:r>
    </w:p>
    <w:p>
      <w:pPr>
        <w:spacing w:before="60"/>
        <w:ind w:left="1777" w:right="393" w:firstLine="0"/>
        <w:jc w:val="both"/>
        <w:rPr>
          <w:sz w:val="16"/>
        </w:rPr>
      </w:pPr>
      <w:r>
        <w:rPr>
          <w:sz w:val="16"/>
        </w:rPr>
        <w:t>Con respecto a la calidad del agua, destacan especialmente el RD 140/2003 por el que se establecen los criterios sanitarios de la calidad del agua de consumo humano, y el RD 865/2003 por el que se establecen los criterios higiénico-sanitarios para la prevención y control de la legionelosis, que deberán tenerse en cuenta.</w:t>
      </w:r>
    </w:p>
    <w:p>
      <w:pPr>
        <w:pStyle w:val="BodyText"/>
      </w:pPr>
    </w:p>
    <w:p>
      <w:pPr>
        <w:pStyle w:val="BodyText"/>
        <w:spacing w:before="8"/>
        <w:rPr>
          <w:sz w:val="22"/>
        </w:rPr>
      </w:pPr>
    </w:p>
    <w:p>
      <w:pPr>
        <w:pStyle w:val="Heading5"/>
        <w:numPr>
          <w:ilvl w:val="2"/>
          <w:numId w:val="151"/>
        </w:numPr>
        <w:tabs>
          <w:tab w:pos="787" w:val="left" w:leader="none"/>
        </w:tabs>
        <w:spacing w:line="240" w:lineRule="auto" w:before="1" w:after="0"/>
        <w:ind w:left="786" w:right="0" w:hanging="569"/>
        <w:jc w:val="left"/>
      </w:pPr>
      <w:r>
        <w:rPr/>
        <w:t>Protección contra</w:t>
      </w:r>
      <w:r>
        <w:rPr>
          <w:spacing w:val="-2"/>
        </w:rPr>
        <w:t> </w:t>
      </w:r>
      <w:r>
        <w:rPr/>
        <w:t>retornos</w:t>
      </w:r>
    </w:p>
    <w:p>
      <w:pPr>
        <w:pStyle w:val="ListParagraph"/>
        <w:numPr>
          <w:ilvl w:val="0"/>
          <w:numId w:val="153"/>
        </w:numPr>
        <w:tabs>
          <w:tab w:pos="672" w:val="left" w:leader="none"/>
          <w:tab w:pos="673" w:val="left" w:leader="none"/>
        </w:tabs>
        <w:spacing w:line="240" w:lineRule="auto" w:before="98" w:after="0"/>
        <w:ind w:left="672" w:right="397" w:hanging="454"/>
        <w:jc w:val="left"/>
        <w:rPr>
          <w:sz w:val="20"/>
        </w:rPr>
      </w:pPr>
      <w:r>
        <w:rPr>
          <w:sz w:val="20"/>
        </w:rPr>
        <w:t>Se dispondrán sistemas antirretorno para evitar la inversión del sentido del flujo en los puntos que figuran a continuación, así como en cualquier otro que resulte</w:t>
      </w:r>
      <w:r>
        <w:rPr>
          <w:spacing w:val="-5"/>
          <w:sz w:val="20"/>
        </w:rPr>
        <w:t> </w:t>
      </w:r>
      <w:r>
        <w:rPr>
          <w:sz w:val="20"/>
        </w:rPr>
        <w:t>necesario:</w:t>
      </w:r>
    </w:p>
    <w:p>
      <w:pPr>
        <w:pStyle w:val="ListParagraph"/>
        <w:numPr>
          <w:ilvl w:val="1"/>
          <w:numId w:val="153"/>
        </w:numPr>
        <w:tabs>
          <w:tab w:pos="1125" w:val="left" w:leader="none"/>
          <w:tab w:pos="1126" w:val="left" w:leader="none"/>
        </w:tabs>
        <w:spacing w:line="240" w:lineRule="auto" w:before="60" w:after="0"/>
        <w:ind w:left="1126" w:right="0" w:hanging="454"/>
        <w:jc w:val="left"/>
        <w:rPr>
          <w:sz w:val="20"/>
        </w:rPr>
      </w:pPr>
      <w:r>
        <w:rPr>
          <w:sz w:val="20"/>
        </w:rPr>
        <w:t>después de los</w:t>
      </w:r>
      <w:r>
        <w:rPr>
          <w:spacing w:val="-1"/>
          <w:sz w:val="20"/>
        </w:rPr>
        <w:t> </w:t>
      </w:r>
      <w:r>
        <w:rPr>
          <w:sz w:val="20"/>
        </w:rPr>
        <w:t>contadores;</w:t>
      </w:r>
    </w:p>
    <w:p>
      <w:pPr>
        <w:pStyle w:val="ListParagraph"/>
        <w:numPr>
          <w:ilvl w:val="1"/>
          <w:numId w:val="153"/>
        </w:numPr>
        <w:tabs>
          <w:tab w:pos="1125" w:val="left" w:leader="none"/>
          <w:tab w:pos="1126" w:val="left" w:leader="none"/>
        </w:tabs>
        <w:spacing w:line="240" w:lineRule="auto" w:before="61" w:after="0"/>
        <w:ind w:left="1126" w:right="0" w:hanging="454"/>
        <w:jc w:val="left"/>
        <w:rPr>
          <w:sz w:val="20"/>
        </w:rPr>
      </w:pPr>
      <w:r>
        <w:rPr>
          <w:sz w:val="20"/>
        </w:rPr>
        <w:t>en la base de las</w:t>
      </w:r>
      <w:r>
        <w:rPr>
          <w:spacing w:val="-2"/>
          <w:sz w:val="20"/>
        </w:rPr>
        <w:t> </w:t>
      </w:r>
      <w:r>
        <w:rPr>
          <w:sz w:val="20"/>
        </w:rPr>
        <w:t>ascendentes;</w:t>
      </w:r>
    </w:p>
    <w:p>
      <w:pPr>
        <w:pStyle w:val="ListParagraph"/>
        <w:numPr>
          <w:ilvl w:val="1"/>
          <w:numId w:val="153"/>
        </w:numPr>
        <w:tabs>
          <w:tab w:pos="1125" w:val="left" w:leader="none"/>
          <w:tab w:pos="1126" w:val="left" w:leader="none"/>
        </w:tabs>
        <w:spacing w:line="240" w:lineRule="auto" w:before="59" w:after="0"/>
        <w:ind w:left="1126" w:right="0" w:hanging="454"/>
        <w:jc w:val="left"/>
        <w:rPr>
          <w:sz w:val="20"/>
        </w:rPr>
      </w:pPr>
      <w:r>
        <w:rPr>
          <w:sz w:val="20"/>
        </w:rPr>
        <w:t>antes del equipo de tratamiento de</w:t>
      </w:r>
      <w:r>
        <w:rPr>
          <w:spacing w:val="-2"/>
          <w:sz w:val="20"/>
        </w:rPr>
        <w:t> </w:t>
      </w:r>
      <w:r>
        <w:rPr>
          <w:sz w:val="20"/>
        </w:rPr>
        <w:t>agua;</w:t>
      </w:r>
    </w:p>
    <w:p>
      <w:pPr>
        <w:pStyle w:val="ListParagraph"/>
        <w:numPr>
          <w:ilvl w:val="1"/>
          <w:numId w:val="153"/>
        </w:numPr>
        <w:tabs>
          <w:tab w:pos="1125" w:val="left" w:leader="none"/>
          <w:tab w:pos="1126" w:val="left" w:leader="none"/>
        </w:tabs>
        <w:spacing w:line="240" w:lineRule="auto" w:before="60" w:after="0"/>
        <w:ind w:left="1126" w:right="0" w:hanging="454"/>
        <w:jc w:val="left"/>
        <w:rPr>
          <w:sz w:val="20"/>
        </w:rPr>
      </w:pPr>
      <w:r>
        <w:rPr>
          <w:sz w:val="20"/>
        </w:rPr>
        <w:t>en los tubos de alimentación no destinados a usos</w:t>
      </w:r>
      <w:r>
        <w:rPr>
          <w:spacing w:val="-4"/>
          <w:sz w:val="20"/>
        </w:rPr>
        <w:t> </w:t>
      </w:r>
      <w:r>
        <w:rPr>
          <w:sz w:val="20"/>
        </w:rPr>
        <w:t>domésticos;</w:t>
      </w:r>
    </w:p>
    <w:p>
      <w:pPr>
        <w:pStyle w:val="ListParagraph"/>
        <w:numPr>
          <w:ilvl w:val="1"/>
          <w:numId w:val="153"/>
        </w:numPr>
        <w:tabs>
          <w:tab w:pos="1125" w:val="left" w:leader="none"/>
          <w:tab w:pos="1126" w:val="left" w:leader="none"/>
        </w:tabs>
        <w:spacing w:line="240" w:lineRule="auto" w:before="61" w:after="0"/>
        <w:ind w:left="1126" w:right="0" w:hanging="454"/>
        <w:jc w:val="left"/>
        <w:rPr>
          <w:sz w:val="20"/>
        </w:rPr>
      </w:pPr>
      <w:r>
        <w:rPr>
          <w:sz w:val="20"/>
        </w:rPr>
        <w:t>antes de los aparatos de refrigeración o</w:t>
      </w:r>
      <w:r>
        <w:rPr>
          <w:spacing w:val="-5"/>
          <w:sz w:val="20"/>
        </w:rPr>
        <w:t> </w:t>
      </w:r>
      <w:r>
        <w:rPr>
          <w:sz w:val="20"/>
        </w:rPr>
        <w:t>climatización.</w:t>
      </w:r>
    </w:p>
    <w:p>
      <w:pPr>
        <w:pStyle w:val="ListParagraph"/>
        <w:numPr>
          <w:ilvl w:val="0"/>
          <w:numId w:val="153"/>
        </w:numPr>
        <w:tabs>
          <w:tab w:pos="672" w:val="left" w:leader="none"/>
          <w:tab w:pos="673" w:val="left" w:leader="none"/>
        </w:tabs>
        <w:spacing w:line="240" w:lineRule="auto" w:before="59" w:after="0"/>
        <w:ind w:left="672" w:right="391" w:hanging="454"/>
        <w:jc w:val="left"/>
        <w:rPr>
          <w:sz w:val="20"/>
        </w:rPr>
      </w:pPr>
      <w:r>
        <w:rPr>
          <w:sz w:val="20"/>
        </w:rPr>
        <w:t>Las instalaciones de suministro de agua no podrán conectarse directamente a instalaciones de eva- cuación ni a instalaciones de suministro de agua proveniente de otro origen que la red</w:t>
      </w:r>
      <w:r>
        <w:rPr>
          <w:spacing w:val="-8"/>
          <w:sz w:val="20"/>
        </w:rPr>
        <w:t> </w:t>
      </w:r>
      <w:r>
        <w:rPr>
          <w:sz w:val="20"/>
        </w:rPr>
        <w:t>pública.</w:t>
      </w:r>
    </w:p>
    <w:p>
      <w:pPr>
        <w:pStyle w:val="ListParagraph"/>
        <w:numPr>
          <w:ilvl w:val="0"/>
          <w:numId w:val="153"/>
        </w:numPr>
        <w:tabs>
          <w:tab w:pos="672" w:val="left" w:leader="none"/>
          <w:tab w:pos="673" w:val="left" w:leader="none"/>
        </w:tabs>
        <w:spacing w:line="240" w:lineRule="auto" w:before="61" w:after="0"/>
        <w:ind w:left="672" w:right="396" w:hanging="454"/>
        <w:jc w:val="left"/>
        <w:rPr>
          <w:sz w:val="20"/>
        </w:rPr>
      </w:pPr>
      <w:r>
        <w:rPr>
          <w:sz w:val="20"/>
        </w:rPr>
        <w:t>En los aparatos y equipos de la instalación, la llegada de agua se realizará de tal modo que no se produzcan</w:t>
      </w:r>
      <w:r>
        <w:rPr>
          <w:spacing w:val="-1"/>
          <w:sz w:val="20"/>
        </w:rPr>
        <w:t> </w:t>
      </w:r>
      <w:r>
        <w:rPr>
          <w:sz w:val="20"/>
        </w:rPr>
        <w:t>retornos.</w:t>
      </w:r>
    </w:p>
    <w:p>
      <w:pPr>
        <w:pStyle w:val="ListParagraph"/>
        <w:numPr>
          <w:ilvl w:val="0"/>
          <w:numId w:val="153"/>
        </w:numPr>
        <w:tabs>
          <w:tab w:pos="672" w:val="left" w:leader="none"/>
          <w:tab w:pos="673" w:val="left" w:leader="none"/>
        </w:tabs>
        <w:spacing w:line="240" w:lineRule="auto" w:before="60" w:after="0"/>
        <w:ind w:left="672" w:right="393" w:hanging="454"/>
        <w:jc w:val="left"/>
        <w:rPr>
          <w:sz w:val="20"/>
        </w:rPr>
      </w:pPr>
      <w:r>
        <w:rPr>
          <w:sz w:val="20"/>
        </w:rPr>
        <w:t>Los antirretornos se dispondrán combinados con grifos de vaciado de tal forma que siempre sea posible vaciar cualquier tramo de la</w:t>
      </w:r>
      <w:r>
        <w:rPr>
          <w:spacing w:val="-3"/>
          <w:sz w:val="20"/>
        </w:rPr>
        <w:t> </w:t>
      </w:r>
      <w:r>
        <w:rPr>
          <w:sz w:val="20"/>
        </w:rPr>
        <w:t>red.</w:t>
      </w:r>
    </w:p>
    <w:p>
      <w:pPr>
        <w:pStyle w:val="BodyText"/>
        <w:spacing w:before="5"/>
        <w:rPr>
          <w:sz w:val="30"/>
        </w:rPr>
      </w:pPr>
    </w:p>
    <w:p>
      <w:pPr>
        <w:spacing w:before="0"/>
        <w:ind w:left="1777" w:right="0" w:firstLine="0"/>
        <w:jc w:val="both"/>
        <w:rPr>
          <w:b/>
          <w:sz w:val="16"/>
        </w:rPr>
      </w:pPr>
      <w:r>
        <w:rPr/>
        <w:pict>
          <v:group style="position:absolute;margin-left:142.940002pt;margin-top:.123914pt;width:.5pt;height:42.8pt;mso-position-horizontal-relative:page;mso-position-vertical-relative:paragraph;z-index:251940864" coordorigin="2859,2" coordsize="10,856">
            <v:line style="position:absolute" from="2864,2" to="2864,246" stroked="true" strokeweight=".48pt" strokecolor="#000000">
              <v:stroke dashstyle="solid"/>
            </v:line>
            <v:line style="position:absolute" from="2864,246" to="2864,430" stroked="true" strokeweight=".48pt" strokecolor="#000000">
              <v:stroke dashstyle="solid"/>
            </v:line>
            <v:line style="position:absolute" from="2864,430" to="2864,614" stroked="true" strokeweight=".48pt" strokecolor="#000000">
              <v:stroke dashstyle="solid"/>
            </v:line>
            <v:line style="position:absolute" from="2864,614" to="2864,858" stroked="true" strokeweight=".48pt" strokecolor="#000000">
              <v:stroke dashstyle="solid"/>
            </v:line>
            <w10:wrap type="none"/>
          </v:group>
        </w:pict>
      </w:r>
      <w:r>
        <w:rPr>
          <w:b/>
          <w:sz w:val="16"/>
        </w:rPr>
        <w:t>Sistemas antirretorno</w:t>
      </w:r>
    </w:p>
    <w:p>
      <w:pPr>
        <w:spacing w:before="60"/>
        <w:ind w:left="1777" w:right="394" w:firstLine="0"/>
        <w:jc w:val="both"/>
        <w:rPr>
          <w:sz w:val="16"/>
        </w:rPr>
      </w:pPr>
      <w:r>
        <w:rPr>
          <w:sz w:val="16"/>
        </w:rPr>
        <w:t>En el mercado pueden encontrarse distintas soluciones válidas de sistemas antirretorno, como válvulas antirretorno, o desconectadores. Los desconectadores pueden considerarse a estos efectos como válvulas antirretorno.</w:t>
      </w:r>
    </w:p>
    <w:p>
      <w:pPr>
        <w:pStyle w:val="BodyText"/>
      </w:pPr>
    </w:p>
    <w:p>
      <w:pPr>
        <w:pStyle w:val="BodyText"/>
        <w:spacing w:before="8"/>
        <w:rPr>
          <w:sz w:val="22"/>
        </w:rPr>
      </w:pPr>
    </w:p>
    <w:p>
      <w:pPr>
        <w:pStyle w:val="Heading5"/>
        <w:numPr>
          <w:ilvl w:val="2"/>
          <w:numId w:val="151"/>
        </w:numPr>
        <w:tabs>
          <w:tab w:pos="787" w:val="left" w:leader="none"/>
        </w:tabs>
        <w:spacing w:line="240" w:lineRule="auto" w:before="0" w:after="0"/>
        <w:ind w:left="786" w:right="0" w:hanging="569"/>
        <w:jc w:val="left"/>
      </w:pPr>
      <w:r>
        <w:rPr/>
        <w:t>Condiciones mínimas de</w:t>
      </w:r>
      <w:r>
        <w:rPr>
          <w:spacing w:val="-2"/>
        </w:rPr>
        <w:t> </w:t>
      </w:r>
      <w:r>
        <w:rPr/>
        <w:t>suministro</w:t>
      </w:r>
    </w:p>
    <w:p>
      <w:pPr>
        <w:pStyle w:val="ListParagraph"/>
        <w:numPr>
          <w:ilvl w:val="0"/>
          <w:numId w:val="154"/>
        </w:numPr>
        <w:tabs>
          <w:tab w:pos="672" w:val="left" w:leader="none"/>
          <w:tab w:pos="673" w:val="left" w:leader="none"/>
        </w:tabs>
        <w:spacing w:line="240" w:lineRule="auto" w:before="98" w:after="0"/>
        <w:ind w:left="672" w:right="395" w:hanging="454"/>
        <w:jc w:val="left"/>
        <w:rPr>
          <w:sz w:val="20"/>
        </w:rPr>
      </w:pPr>
      <w:r>
        <w:rPr>
          <w:sz w:val="20"/>
        </w:rPr>
        <w:t>La instalación debe suministrar a los aparatos y equipos del equipamiento higiénico los caudales que figuran en la tabla</w:t>
      </w:r>
      <w:r>
        <w:rPr>
          <w:spacing w:val="-1"/>
          <w:sz w:val="20"/>
        </w:rPr>
        <w:t> </w:t>
      </w:r>
      <w:r>
        <w:rPr>
          <w:sz w:val="20"/>
        </w:rPr>
        <w:t>2.1.</w:t>
      </w:r>
    </w:p>
    <w:p>
      <w:pPr>
        <w:spacing w:after="0" w:line="240" w:lineRule="auto"/>
        <w:jc w:val="left"/>
        <w:rPr>
          <w:sz w:val="20"/>
        </w:rPr>
        <w:sectPr>
          <w:pgSz w:w="11910" w:h="16840"/>
          <w:pgMar w:header="908" w:footer="636" w:top="1320" w:bottom="840" w:left="1200" w:right="740"/>
        </w:sectPr>
      </w:pPr>
    </w:p>
    <w:p>
      <w:pPr>
        <w:spacing w:before="91"/>
        <w:ind w:left="1181" w:right="1355" w:firstLine="0"/>
        <w:jc w:val="center"/>
        <w:rPr>
          <w:b/>
          <w:sz w:val="18"/>
        </w:rPr>
      </w:pPr>
      <w:r>
        <w:rPr>
          <w:b/>
          <w:sz w:val="18"/>
        </w:rPr>
        <w:t>Tabla 2.1 Caudal instantáneo mínimo para cada tipo de aparato</w:t>
      </w:r>
    </w:p>
    <w:p>
      <w:pPr>
        <w:pStyle w:val="BodyText"/>
        <w:spacing w:before="3"/>
        <w:rPr>
          <w:b/>
        </w:rPr>
      </w:pPr>
    </w:p>
    <w:tbl>
      <w:tblPr>
        <w:tblW w:w="0" w:type="auto"/>
        <w:jc w:val="left"/>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7"/>
        <w:gridCol w:w="2421"/>
        <w:gridCol w:w="2420"/>
      </w:tblGrid>
      <w:tr>
        <w:trPr>
          <w:trHeight w:val="572" w:hRule="atLeast"/>
        </w:trPr>
        <w:tc>
          <w:tcPr>
            <w:tcW w:w="3687" w:type="dxa"/>
            <w:vMerge w:val="restart"/>
            <w:tcBorders>
              <w:top w:val="single" w:sz="8" w:space="0" w:color="000000"/>
              <w:bottom w:val="single" w:sz="8" w:space="0" w:color="000000"/>
              <w:right w:val="single" w:sz="4" w:space="0" w:color="000000"/>
            </w:tcBorders>
          </w:tcPr>
          <w:p>
            <w:pPr>
              <w:pStyle w:val="TableParagraph"/>
              <w:spacing w:before="8"/>
              <w:jc w:val="left"/>
              <w:rPr>
                <w:b/>
                <w:sz w:val="25"/>
              </w:rPr>
            </w:pPr>
          </w:p>
          <w:p>
            <w:pPr>
              <w:pStyle w:val="TableParagraph"/>
              <w:spacing w:before="1"/>
              <w:ind w:left="1179"/>
              <w:jc w:val="left"/>
              <w:rPr>
                <w:b/>
                <w:sz w:val="18"/>
              </w:rPr>
            </w:pPr>
            <w:r>
              <w:rPr>
                <w:b/>
                <w:sz w:val="18"/>
              </w:rPr>
              <w:t>Tipo de aparato</w:t>
            </w:r>
          </w:p>
        </w:tc>
        <w:tc>
          <w:tcPr>
            <w:tcW w:w="2421" w:type="dxa"/>
            <w:tcBorders>
              <w:top w:val="single" w:sz="8" w:space="0" w:color="000000"/>
              <w:left w:val="single" w:sz="4" w:space="0" w:color="000000"/>
              <w:right w:val="single" w:sz="4" w:space="0" w:color="000000"/>
            </w:tcBorders>
          </w:tcPr>
          <w:p>
            <w:pPr>
              <w:pStyle w:val="TableParagraph"/>
              <w:spacing w:line="240" w:lineRule="atLeast" w:before="117"/>
              <w:ind w:left="539" w:right="117" w:hanging="406"/>
              <w:jc w:val="left"/>
              <w:rPr>
                <w:b/>
                <w:sz w:val="18"/>
              </w:rPr>
            </w:pPr>
            <w:r>
              <w:rPr>
                <w:b/>
                <w:sz w:val="18"/>
              </w:rPr>
              <w:t>Caudal instantáneo míni- mo de agua fría</w:t>
            </w:r>
          </w:p>
        </w:tc>
        <w:tc>
          <w:tcPr>
            <w:tcW w:w="2420" w:type="dxa"/>
            <w:tcBorders>
              <w:top w:val="single" w:sz="8" w:space="0" w:color="000000"/>
              <w:left w:val="single" w:sz="4" w:space="0" w:color="000000"/>
            </w:tcBorders>
          </w:tcPr>
          <w:p>
            <w:pPr>
              <w:pStyle w:val="TableParagraph"/>
              <w:spacing w:line="240" w:lineRule="atLeast" w:before="117"/>
              <w:ind w:left="722" w:right="123" w:hanging="591"/>
              <w:jc w:val="left"/>
              <w:rPr>
                <w:b/>
                <w:sz w:val="18"/>
              </w:rPr>
            </w:pPr>
            <w:r>
              <w:rPr>
                <w:b/>
                <w:sz w:val="18"/>
              </w:rPr>
              <w:t>Caudal instantáneo míni- mo de ACS</w:t>
            </w:r>
          </w:p>
        </w:tc>
      </w:tr>
      <w:tr>
        <w:trPr>
          <w:trHeight w:val="189" w:hRule="atLeast"/>
        </w:trPr>
        <w:tc>
          <w:tcPr>
            <w:tcW w:w="3687" w:type="dxa"/>
            <w:vMerge/>
            <w:tcBorders>
              <w:top w:val="nil"/>
              <w:bottom w:val="single" w:sz="8" w:space="0" w:color="000000"/>
              <w:right w:val="single" w:sz="4" w:space="0" w:color="000000"/>
            </w:tcBorders>
          </w:tcPr>
          <w:p>
            <w:pPr>
              <w:rPr>
                <w:sz w:val="2"/>
                <w:szCs w:val="2"/>
              </w:rPr>
            </w:pPr>
          </w:p>
        </w:tc>
        <w:tc>
          <w:tcPr>
            <w:tcW w:w="2421" w:type="dxa"/>
            <w:tcBorders>
              <w:left w:val="single" w:sz="4" w:space="0" w:color="000000"/>
              <w:bottom w:val="single" w:sz="8" w:space="0" w:color="000000"/>
              <w:right w:val="single" w:sz="4" w:space="0" w:color="000000"/>
            </w:tcBorders>
          </w:tcPr>
          <w:p>
            <w:pPr>
              <w:pStyle w:val="TableParagraph"/>
              <w:spacing w:line="170" w:lineRule="exact"/>
              <w:ind w:left="907" w:right="908"/>
              <w:rPr>
                <w:sz w:val="18"/>
              </w:rPr>
            </w:pPr>
            <w:r>
              <w:rPr>
                <w:sz w:val="18"/>
              </w:rPr>
              <w:t>[dm</w:t>
            </w:r>
            <w:r>
              <w:rPr>
                <w:sz w:val="18"/>
                <w:vertAlign w:val="superscript"/>
              </w:rPr>
              <w:t>3</w:t>
            </w:r>
            <w:r>
              <w:rPr>
                <w:sz w:val="18"/>
                <w:vertAlign w:val="baseline"/>
              </w:rPr>
              <w:t>/s]</w:t>
            </w:r>
          </w:p>
        </w:tc>
        <w:tc>
          <w:tcPr>
            <w:tcW w:w="2420" w:type="dxa"/>
            <w:tcBorders>
              <w:left w:val="single" w:sz="4" w:space="0" w:color="000000"/>
              <w:bottom w:val="single" w:sz="8" w:space="0" w:color="000000"/>
            </w:tcBorders>
          </w:tcPr>
          <w:p>
            <w:pPr>
              <w:pStyle w:val="TableParagraph"/>
              <w:spacing w:line="170" w:lineRule="exact"/>
              <w:ind w:left="906" w:right="912"/>
              <w:rPr>
                <w:sz w:val="18"/>
              </w:rPr>
            </w:pPr>
            <w:r>
              <w:rPr>
                <w:sz w:val="18"/>
              </w:rPr>
              <w:t>[dm</w:t>
            </w:r>
            <w:r>
              <w:rPr>
                <w:sz w:val="18"/>
                <w:vertAlign w:val="superscript"/>
              </w:rPr>
              <w:t>3</w:t>
            </w:r>
            <w:r>
              <w:rPr>
                <w:sz w:val="18"/>
                <w:vertAlign w:val="baseline"/>
              </w:rPr>
              <w:t>/s]</w:t>
            </w:r>
          </w:p>
        </w:tc>
      </w:tr>
      <w:tr>
        <w:trPr>
          <w:trHeight w:val="208" w:hRule="atLeast"/>
        </w:trPr>
        <w:tc>
          <w:tcPr>
            <w:tcW w:w="3687" w:type="dxa"/>
            <w:tcBorders>
              <w:top w:val="single" w:sz="8" w:space="0" w:color="000000"/>
              <w:right w:val="single" w:sz="4" w:space="0" w:color="000000"/>
            </w:tcBorders>
          </w:tcPr>
          <w:p>
            <w:pPr>
              <w:pStyle w:val="TableParagraph"/>
              <w:spacing w:line="188" w:lineRule="exact"/>
              <w:ind w:left="84"/>
              <w:jc w:val="left"/>
              <w:rPr>
                <w:sz w:val="18"/>
              </w:rPr>
            </w:pPr>
            <w:r>
              <w:rPr>
                <w:sz w:val="18"/>
              </w:rPr>
              <w:t>Lavamanos</w:t>
            </w:r>
          </w:p>
        </w:tc>
        <w:tc>
          <w:tcPr>
            <w:tcW w:w="2421" w:type="dxa"/>
            <w:tcBorders>
              <w:top w:val="single" w:sz="8" w:space="0" w:color="000000"/>
              <w:left w:val="single" w:sz="4" w:space="0" w:color="000000"/>
              <w:right w:val="single" w:sz="4" w:space="0" w:color="000000"/>
            </w:tcBorders>
          </w:tcPr>
          <w:p>
            <w:pPr>
              <w:pStyle w:val="TableParagraph"/>
              <w:spacing w:line="188" w:lineRule="exact"/>
              <w:ind w:left="907" w:right="907"/>
              <w:rPr>
                <w:sz w:val="18"/>
              </w:rPr>
            </w:pPr>
            <w:r>
              <w:rPr>
                <w:sz w:val="18"/>
              </w:rPr>
              <w:t>0,05</w:t>
            </w:r>
          </w:p>
        </w:tc>
        <w:tc>
          <w:tcPr>
            <w:tcW w:w="2420" w:type="dxa"/>
            <w:tcBorders>
              <w:top w:val="single" w:sz="8" w:space="0" w:color="000000"/>
              <w:left w:val="single" w:sz="4" w:space="0" w:color="000000"/>
            </w:tcBorders>
          </w:tcPr>
          <w:p>
            <w:pPr>
              <w:pStyle w:val="TableParagraph"/>
              <w:spacing w:line="188" w:lineRule="exact"/>
              <w:ind w:left="905" w:right="912"/>
              <w:rPr>
                <w:sz w:val="18"/>
              </w:rPr>
            </w:pPr>
            <w:r>
              <w:rPr>
                <w:sz w:val="18"/>
              </w:rPr>
              <w:t>0,03</w:t>
            </w:r>
          </w:p>
        </w:tc>
      </w:tr>
      <w:tr>
        <w:trPr>
          <w:trHeight w:val="206" w:hRule="atLeast"/>
        </w:trPr>
        <w:tc>
          <w:tcPr>
            <w:tcW w:w="3687" w:type="dxa"/>
            <w:tcBorders>
              <w:right w:val="single" w:sz="4" w:space="0" w:color="000000"/>
            </w:tcBorders>
          </w:tcPr>
          <w:p>
            <w:pPr>
              <w:pStyle w:val="TableParagraph"/>
              <w:spacing w:line="187" w:lineRule="exact"/>
              <w:ind w:left="84"/>
              <w:jc w:val="left"/>
              <w:rPr>
                <w:sz w:val="18"/>
              </w:rPr>
            </w:pPr>
            <w:r>
              <w:rPr>
                <w:sz w:val="18"/>
              </w:rPr>
              <w:t>Lavabo</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0,10</w:t>
            </w:r>
          </w:p>
        </w:tc>
        <w:tc>
          <w:tcPr>
            <w:tcW w:w="2420" w:type="dxa"/>
            <w:tcBorders>
              <w:left w:val="single" w:sz="4" w:space="0" w:color="000000"/>
            </w:tcBorders>
          </w:tcPr>
          <w:p>
            <w:pPr>
              <w:pStyle w:val="TableParagraph"/>
              <w:spacing w:line="187" w:lineRule="exact"/>
              <w:ind w:left="904" w:right="912"/>
              <w:rPr>
                <w:sz w:val="18"/>
              </w:rPr>
            </w:pPr>
            <w:r>
              <w:rPr>
                <w:sz w:val="18"/>
              </w:rPr>
              <w:t>0,065</w:t>
            </w:r>
          </w:p>
        </w:tc>
      </w:tr>
      <w:tr>
        <w:trPr>
          <w:trHeight w:val="207" w:hRule="atLeast"/>
        </w:trPr>
        <w:tc>
          <w:tcPr>
            <w:tcW w:w="3687" w:type="dxa"/>
            <w:tcBorders>
              <w:right w:val="single" w:sz="4" w:space="0" w:color="000000"/>
            </w:tcBorders>
          </w:tcPr>
          <w:p>
            <w:pPr>
              <w:pStyle w:val="TableParagraph"/>
              <w:spacing w:line="187" w:lineRule="exact"/>
              <w:ind w:left="84"/>
              <w:jc w:val="left"/>
              <w:rPr>
                <w:sz w:val="18"/>
              </w:rPr>
            </w:pPr>
            <w:r>
              <w:rPr>
                <w:sz w:val="18"/>
              </w:rPr>
              <w:t>Ducha</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0,20</w:t>
            </w:r>
          </w:p>
        </w:tc>
        <w:tc>
          <w:tcPr>
            <w:tcW w:w="2420" w:type="dxa"/>
            <w:tcBorders>
              <w:left w:val="single" w:sz="4" w:space="0" w:color="000000"/>
            </w:tcBorders>
          </w:tcPr>
          <w:p>
            <w:pPr>
              <w:pStyle w:val="TableParagraph"/>
              <w:spacing w:line="187" w:lineRule="exact"/>
              <w:ind w:left="905" w:right="912"/>
              <w:rPr>
                <w:sz w:val="18"/>
              </w:rPr>
            </w:pPr>
            <w:r>
              <w:rPr>
                <w:sz w:val="18"/>
              </w:rPr>
              <w:t>0,10</w:t>
            </w:r>
          </w:p>
        </w:tc>
      </w:tr>
      <w:tr>
        <w:trPr>
          <w:trHeight w:val="206" w:hRule="atLeast"/>
        </w:trPr>
        <w:tc>
          <w:tcPr>
            <w:tcW w:w="3687" w:type="dxa"/>
            <w:tcBorders>
              <w:right w:val="single" w:sz="4" w:space="0" w:color="000000"/>
            </w:tcBorders>
          </w:tcPr>
          <w:p>
            <w:pPr>
              <w:pStyle w:val="TableParagraph"/>
              <w:spacing w:line="187" w:lineRule="exact"/>
              <w:ind w:left="84"/>
              <w:jc w:val="left"/>
              <w:rPr>
                <w:sz w:val="18"/>
              </w:rPr>
            </w:pPr>
            <w:r>
              <w:rPr>
                <w:sz w:val="18"/>
              </w:rPr>
              <w:t>Bañera de 1,40 m o más</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0,30</w:t>
            </w:r>
          </w:p>
        </w:tc>
        <w:tc>
          <w:tcPr>
            <w:tcW w:w="2420" w:type="dxa"/>
            <w:tcBorders>
              <w:left w:val="single" w:sz="4" w:space="0" w:color="000000"/>
            </w:tcBorders>
          </w:tcPr>
          <w:p>
            <w:pPr>
              <w:pStyle w:val="TableParagraph"/>
              <w:spacing w:line="187" w:lineRule="exact"/>
              <w:ind w:left="905" w:right="912"/>
              <w:rPr>
                <w:sz w:val="18"/>
              </w:rPr>
            </w:pPr>
            <w:r>
              <w:rPr>
                <w:sz w:val="18"/>
              </w:rPr>
              <w:t>0,20</w:t>
            </w:r>
          </w:p>
        </w:tc>
      </w:tr>
      <w:tr>
        <w:trPr>
          <w:trHeight w:val="207" w:hRule="atLeast"/>
        </w:trPr>
        <w:tc>
          <w:tcPr>
            <w:tcW w:w="3687" w:type="dxa"/>
            <w:tcBorders>
              <w:right w:val="single" w:sz="4" w:space="0" w:color="000000"/>
            </w:tcBorders>
          </w:tcPr>
          <w:p>
            <w:pPr>
              <w:pStyle w:val="TableParagraph"/>
              <w:spacing w:line="187" w:lineRule="exact"/>
              <w:ind w:left="84"/>
              <w:jc w:val="left"/>
              <w:rPr>
                <w:sz w:val="18"/>
              </w:rPr>
            </w:pPr>
            <w:r>
              <w:rPr>
                <w:sz w:val="18"/>
              </w:rPr>
              <w:t>Bañera de menos de 1,40 m</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0,20</w:t>
            </w:r>
          </w:p>
        </w:tc>
        <w:tc>
          <w:tcPr>
            <w:tcW w:w="2420" w:type="dxa"/>
            <w:tcBorders>
              <w:left w:val="single" w:sz="4" w:space="0" w:color="000000"/>
            </w:tcBorders>
          </w:tcPr>
          <w:p>
            <w:pPr>
              <w:pStyle w:val="TableParagraph"/>
              <w:spacing w:line="187" w:lineRule="exact"/>
              <w:ind w:left="905" w:right="912"/>
              <w:rPr>
                <w:sz w:val="18"/>
              </w:rPr>
            </w:pPr>
            <w:r>
              <w:rPr>
                <w:sz w:val="18"/>
              </w:rPr>
              <w:t>0,15</w:t>
            </w:r>
          </w:p>
        </w:tc>
      </w:tr>
      <w:tr>
        <w:trPr>
          <w:trHeight w:val="207" w:hRule="atLeast"/>
        </w:trPr>
        <w:tc>
          <w:tcPr>
            <w:tcW w:w="3687" w:type="dxa"/>
            <w:tcBorders>
              <w:right w:val="single" w:sz="4" w:space="0" w:color="000000"/>
            </w:tcBorders>
          </w:tcPr>
          <w:p>
            <w:pPr>
              <w:pStyle w:val="TableParagraph"/>
              <w:spacing w:line="187" w:lineRule="exact"/>
              <w:ind w:left="84"/>
              <w:jc w:val="left"/>
              <w:rPr>
                <w:sz w:val="18"/>
              </w:rPr>
            </w:pPr>
            <w:r>
              <w:rPr>
                <w:sz w:val="18"/>
              </w:rPr>
              <w:t>Bidé</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0,10</w:t>
            </w:r>
          </w:p>
        </w:tc>
        <w:tc>
          <w:tcPr>
            <w:tcW w:w="2420" w:type="dxa"/>
            <w:tcBorders>
              <w:left w:val="single" w:sz="4" w:space="0" w:color="000000"/>
            </w:tcBorders>
          </w:tcPr>
          <w:p>
            <w:pPr>
              <w:pStyle w:val="TableParagraph"/>
              <w:spacing w:line="187" w:lineRule="exact"/>
              <w:ind w:left="904" w:right="912"/>
              <w:rPr>
                <w:sz w:val="18"/>
              </w:rPr>
            </w:pPr>
            <w:r>
              <w:rPr>
                <w:sz w:val="18"/>
              </w:rPr>
              <w:t>0,065</w:t>
            </w:r>
          </w:p>
        </w:tc>
      </w:tr>
      <w:tr>
        <w:trPr>
          <w:trHeight w:val="206" w:hRule="atLeast"/>
        </w:trPr>
        <w:tc>
          <w:tcPr>
            <w:tcW w:w="3687" w:type="dxa"/>
            <w:tcBorders>
              <w:right w:val="single" w:sz="4" w:space="0" w:color="000000"/>
            </w:tcBorders>
          </w:tcPr>
          <w:p>
            <w:pPr>
              <w:pStyle w:val="TableParagraph"/>
              <w:spacing w:line="187" w:lineRule="exact"/>
              <w:ind w:left="84"/>
              <w:jc w:val="left"/>
              <w:rPr>
                <w:sz w:val="18"/>
              </w:rPr>
            </w:pPr>
            <w:r>
              <w:rPr>
                <w:sz w:val="18"/>
              </w:rPr>
              <w:t>Inodoro con cisterna</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0,10</w:t>
            </w:r>
          </w:p>
        </w:tc>
        <w:tc>
          <w:tcPr>
            <w:tcW w:w="2420" w:type="dxa"/>
            <w:tcBorders>
              <w:left w:val="single" w:sz="4" w:space="0" w:color="000000"/>
            </w:tcBorders>
          </w:tcPr>
          <w:p>
            <w:pPr>
              <w:pStyle w:val="TableParagraph"/>
              <w:spacing w:line="187" w:lineRule="exact"/>
              <w:ind w:right="7"/>
              <w:rPr>
                <w:sz w:val="18"/>
              </w:rPr>
            </w:pPr>
            <w:r>
              <w:rPr>
                <w:w w:val="99"/>
                <w:sz w:val="18"/>
              </w:rPr>
              <w:t>-</w:t>
            </w:r>
          </w:p>
        </w:tc>
      </w:tr>
      <w:tr>
        <w:trPr>
          <w:trHeight w:val="207" w:hRule="atLeast"/>
        </w:trPr>
        <w:tc>
          <w:tcPr>
            <w:tcW w:w="3687" w:type="dxa"/>
            <w:tcBorders>
              <w:right w:val="single" w:sz="4" w:space="0" w:color="000000"/>
            </w:tcBorders>
          </w:tcPr>
          <w:p>
            <w:pPr>
              <w:pStyle w:val="TableParagraph"/>
              <w:spacing w:line="187" w:lineRule="exact"/>
              <w:ind w:left="84"/>
              <w:jc w:val="left"/>
              <w:rPr>
                <w:sz w:val="18"/>
              </w:rPr>
            </w:pPr>
            <w:r>
              <w:rPr>
                <w:sz w:val="18"/>
              </w:rPr>
              <w:t>Inodoro con fluxor</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1,25</w:t>
            </w:r>
          </w:p>
        </w:tc>
        <w:tc>
          <w:tcPr>
            <w:tcW w:w="2420" w:type="dxa"/>
            <w:tcBorders>
              <w:left w:val="single" w:sz="4" w:space="0" w:color="000000"/>
            </w:tcBorders>
          </w:tcPr>
          <w:p>
            <w:pPr>
              <w:pStyle w:val="TableParagraph"/>
              <w:spacing w:line="187" w:lineRule="exact"/>
              <w:ind w:right="7"/>
              <w:rPr>
                <w:sz w:val="18"/>
              </w:rPr>
            </w:pPr>
            <w:r>
              <w:rPr>
                <w:w w:val="99"/>
                <w:sz w:val="18"/>
              </w:rPr>
              <w:t>-</w:t>
            </w:r>
          </w:p>
        </w:tc>
      </w:tr>
      <w:tr>
        <w:trPr>
          <w:trHeight w:val="206" w:hRule="atLeast"/>
        </w:trPr>
        <w:tc>
          <w:tcPr>
            <w:tcW w:w="3687" w:type="dxa"/>
            <w:tcBorders>
              <w:right w:val="single" w:sz="4" w:space="0" w:color="000000"/>
            </w:tcBorders>
          </w:tcPr>
          <w:p>
            <w:pPr>
              <w:pStyle w:val="TableParagraph"/>
              <w:spacing w:line="187" w:lineRule="exact"/>
              <w:ind w:left="84"/>
              <w:jc w:val="left"/>
              <w:rPr>
                <w:sz w:val="18"/>
              </w:rPr>
            </w:pPr>
            <w:r>
              <w:rPr>
                <w:sz w:val="18"/>
              </w:rPr>
              <w:t>Urinarios con grifo temporizado</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0,15</w:t>
            </w:r>
          </w:p>
        </w:tc>
        <w:tc>
          <w:tcPr>
            <w:tcW w:w="2420" w:type="dxa"/>
            <w:tcBorders>
              <w:left w:val="single" w:sz="4" w:space="0" w:color="000000"/>
            </w:tcBorders>
          </w:tcPr>
          <w:p>
            <w:pPr>
              <w:pStyle w:val="TableParagraph"/>
              <w:spacing w:line="187" w:lineRule="exact"/>
              <w:ind w:right="7"/>
              <w:rPr>
                <w:sz w:val="18"/>
              </w:rPr>
            </w:pPr>
            <w:r>
              <w:rPr>
                <w:w w:val="99"/>
                <w:sz w:val="18"/>
              </w:rPr>
              <w:t>-</w:t>
            </w:r>
          </w:p>
        </w:tc>
      </w:tr>
      <w:tr>
        <w:trPr>
          <w:trHeight w:val="206" w:hRule="atLeast"/>
        </w:trPr>
        <w:tc>
          <w:tcPr>
            <w:tcW w:w="3687" w:type="dxa"/>
            <w:tcBorders>
              <w:right w:val="single" w:sz="4" w:space="0" w:color="000000"/>
            </w:tcBorders>
          </w:tcPr>
          <w:p>
            <w:pPr>
              <w:pStyle w:val="TableParagraph"/>
              <w:spacing w:line="186" w:lineRule="exact"/>
              <w:ind w:left="84"/>
              <w:jc w:val="left"/>
              <w:rPr>
                <w:sz w:val="18"/>
              </w:rPr>
            </w:pPr>
            <w:r>
              <w:rPr>
                <w:sz w:val="18"/>
              </w:rPr>
              <w:t>Urinarios con cisterna (c/u)</w:t>
            </w:r>
          </w:p>
        </w:tc>
        <w:tc>
          <w:tcPr>
            <w:tcW w:w="2421" w:type="dxa"/>
            <w:tcBorders>
              <w:left w:val="single" w:sz="4" w:space="0" w:color="000000"/>
              <w:right w:val="single" w:sz="4" w:space="0" w:color="000000"/>
            </w:tcBorders>
          </w:tcPr>
          <w:p>
            <w:pPr>
              <w:pStyle w:val="TableParagraph"/>
              <w:spacing w:line="186" w:lineRule="exact"/>
              <w:ind w:left="907" w:right="907"/>
              <w:rPr>
                <w:sz w:val="18"/>
              </w:rPr>
            </w:pPr>
            <w:r>
              <w:rPr>
                <w:sz w:val="18"/>
              </w:rPr>
              <w:t>0,04</w:t>
            </w:r>
          </w:p>
        </w:tc>
        <w:tc>
          <w:tcPr>
            <w:tcW w:w="2420" w:type="dxa"/>
            <w:tcBorders>
              <w:left w:val="single" w:sz="4" w:space="0" w:color="000000"/>
            </w:tcBorders>
          </w:tcPr>
          <w:p>
            <w:pPr>
              <w:pStyle w:val="TableParagraph"/>
              <w:spacing w:line="186" w:lineRule="exact"/>
              <w:ind w:right="7"/>
              <w:rPr>
                <w:sz w:val="18"/>
              </w:rPr>
            </w:pPr>
            <w:r>
              <w:rPr>
                <w:w w:val="99"/>
                <w:sz w:val="18"/>
              </w:rPr>
              <w:t>-</w:t>
            </w:r>
          </w:p>
        </w:tc>
      </w:tr>
      <w:tr>
        <w:trPr>
          <w:trHeight w:val="207" w:hRule="atLeast"/>
        </w:trPr>
        <w:tc>
          <w:tcPr>
            <w:tcW w:w="3687" w:type="dxa"/>
            <w:tcBorders>
              <w:right w:val="single" w:sz="4" w:space="0" w:color="000000"/>
            </w:tcBorders>
          </w:tcPr>
          <w:p>
            <w:pPr>
              <w:pStyle w:val="TableParagraph"/>
              <w:spacing w:line="187" w:lineRule="exact"/>
              <w:ind w:left="84"/>
              <w:jc w:val="left"/>
              <w:rPr>
                <w:sz w:val="18"/>
              </w:rPr>
            </w:pPr>
            <w:r>
              <w:rPr>
                <w:sz w:val="18"/>
              </w:rPr>
              <w:t>Fregadero doméstico</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0,20</w:t>
            </w:r>
          </w:p>
        </w:tc>
        <w:tc>
          <w:tcPr>
            <w:tcW w:w="2420" w:type="dxa"/>
            <w:tcBorders>
              <w:left w:val="single" w:sz="4" w:space="0" w:color="000000"/>
            </w:tcBorders>
          </w:tcPr>
          <w:p>
            <w:pPr>
              <w:pStyle w:val="TableParagraph"/>
              <w:spacing w:line="187" w:lineRule="exact"/>
              <w:ind w:left="905" w:right="912"/>
              <w:rPr>
                <w:sz w:val="18"/>
              </w:rPr>
            </w:pPr>
            <w:r>
              <w:rPr>
                <w:sz w:val="18"/>
              </w:rPr>
              <w:t>0,10</w:t>
            </w:r>
          </w:p>
        </w:tc>
      </w:tr>
      <w:tr>
        <w:trPr>
          <w:trHeight w:val="206" w:hRule="atLeast"/>
        </w:trPr>
        <w:tc>
          <w:tcPr>
            <w:tcW w:w="3687" w:type="dxa"/>
            <w:tcBorders>
              <w:right w:val="single" w:sz="4" w:space="0" w:color="000000"/>
            </w:tcBorders>
          </w:tcPr>
          <w:p>
            <w:pPr>
              <w:pStyle w:val="TableParagraph"/>
              <w:spacing w:line="187" w:lineRule="exact"/>
              <w:ind w:left="84"/>
              <w:jc w:val="left"/>
              <w:rPr>
                <w:sz w:val="18"/>
              </w:rPr>
            </w:pPr>
            <w:r>
              <w:rPr>
                <w:sz w:val="18"/>
              </w:rPr>
              <w:t>Fregadero no doméstico</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0,30</w:t>
            </w:r>
          </w:p>
        </w:tc>
        <w:tc>
          <w:tcPr>
            <w:tcW w:w="2420" w:type="dxa"/>
            <w:tcBorders>
              <w:left w:val="single" w:sz="4" w:space="0" w:color="000000"/>
            </w:tcBorders>
          </w:tcPr>
          <w:p>
            <w:pPr>
              <w:pStyle w:val="TableParagraph"/>
              <w:spacing w:line="187" w:lineRule="exact"/>
              <w:ind w:left="905" w:right="912"/>
              <w:rPr>
                <w:sz w:val="18"/>
              </w:rPr>
            </w:pPr>
            <w:r>
              <w:rPr>
                <w:sz w:val="18"/>
              </w:rPr>
              <w:t>0,20</w:t>
            </w:r>
          </w:p>
        </w:tc>
      </w:tr>
      <w:tr>
        <w:trPr>
          <w:trHeight w:val="207" w:hRule="atLeast"/>
        </w:trPr>
        <w:tc>
          <w:tcPr>
            <w:tcW w:w="3687" w:type="dxa"/>
            <w:tcBorders>
              <w:right w:val="single" w:sz="4" w:space="0" w:color="000000"/>
            </w:tcBorders>
          </w:tcPr>
          <w:p>
            <w:pPr>
              <w:pStyle w:val="TableParagraph"/>
              <w:spacing w:line="187" w:lineRule="exact"/>
              <w:ind w:left="84"/>
              <w:jc w:val="left"/>
              <w:rPr>
                <w:sz w:val="18"/>
              </w:rPr>
            </w:pPr>
            <w:r>
              <w:rPr>
                <w:sz w:val="18"/>
              </w:rPr>
              <w:t>Lavavajillas doméstico</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0,15</w:t>
            </w:r>
          </w:p>
        </w:tc>
        <w:tc>
          <w:tcPr>
            <w:tcW w:w="2420" w:type="dxa"/>
            <w:tcBorders>
              <w:left w:val="single" w:sz="4" w:space="0" w:color="000000"/>
            </w:tcBorders>
          </w:tcPr>
          <w:p>
            <w:pPr>
              <w:pStyle w:val="TableParagraph"/>
              <w:spacing w:line="187" w:lineRule="exact"/>
              <w:ind w:left="905" w:right="912"/>
              <w:rPr>
                <w:sz w:val="18"/>
              </w:rPr>
            </w:pPr>
            <w:r>
              <w:rPr>
                <w:sz w:val="18"/>
              </w:rPr>
              <w:t>0,10</w:t>
            </w:r>
          </w:p>
        </w:tc>
      </w:tr>
      <w:tr>
        <w:trPr>
          <w:trHeight w:val="206" w:hRule="atLeast"/>
        </w:trPr>
        <w:tc>
          <w:tcPr>
            <w:tcW w:w="3687" w:type="dxa"/>
            <w:tcBorders>
              <w:right w:val="single" w:sz="4" w:space="0" w:color="000000"/>
            </w:tcBorders>
          </w:tcPr>
          <w:p>
            <w:pPr>
              <w:pStyle w:val="TableParagraph"/>
              <w:spacing w:line="187" w:lineRule="exact"/>
              <w:ind w:left="84"/>
              <w:jc w:val="left"/>
              <w:rPr>
                <w:sz w:val="18"/>
              </w:rPr>
            </w:pPr>
            <w:r>
              <w:rPr>
                <w:sz w:val="18"/>
              </w:rPr>
              <w:t>Lavavajillas industrial (20 servicios)</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0,25</w:t>
            </w:r>
          </w:p>
        </w:tc>
        <w:tc>
          <w:tcPr>
            <w:tcW w:w="2420" w:type="dxa"/>
            <w:tcBorders>
              <w:left w:val="single" w:sz="4" w:space="0" w:color="000000"/>
            </w:tcBorders>
          </w:tcPr>
          <w:p>
            <w:pPr>
              <w:pStyle w:val="TableParagraph"/>
              <w:spacing w:line="187" w:lineRule="exact"/>
              <w:ind w:left="905" w:right="912"/>
              <w:rPr>
                <w:sz w:val="18"/>
              </w:rPr>
            </w:pPr>
            <w:r>
              <w:rPr>
                <w:sz w:val="18"/>
              </w:rPr>
              <w:t>0,20</w:t>
            </w:r>
          </w:p>
        </w:tc>
      </w:tr>
      <w:tr>
        <w:trPr>
          <w:trHeight w:val="206" w:hRule="atLeast"/>
        </w:trPr>
        <w:tc>
          <w:tcPr>
            <w:tcW w:w="3687" w:type="dxa"/>
            <w:tcBorders>
              <w:right w:val="single" w:sz="4" w:space="0" w:color="000000"/>
            </w:tcBorders>
          </w:tcPr>
          <w:p>
            <w:pPr>
              <w:pStyle w:val="TableParagraph"/>
              <w:spacing w:line="187" w:lineRule="exact"/>
              <w:ind w:left="84"/>
              <w:jc w:val="left"/>
              <w:rPr>
                <w:sz w:val="18"/>
              </w:rPr>
            </w:pPr>
            <w:r>
              <w:rPr>
                <w:sz w:val="18"/>
              </w:rPr>
              <w:t>Lavadero</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0,20</w:t>
            </w:r>
          </w:p>
        </w:tc>
        <w:tc>
          <w:tcPr>
            <w:tcW w:w="2420" w:type="dxa"/>
            <w:tcBorders>
              <w:left w:val="single" w:sz="4" w:space="0" w:color="000000"/>
            </w:tcBorders>
          </w:tcPr>
          <w:p>
            <w:pPr>
              <w:pStyle w:val="TableParagraph"/>
              <w:spacing w:line="187" w:lineRule="exact"/>
              <w:ind w:left="905" w:right="912"/>
              <w:rPr>
                <w:sz w:val="18"/>
              </w:rPr>
            </w:pPr>
            <w:r>
              <w:rPr>
                <w:sz w:val="18"/>
              </w:rPr>
              <w:t>0,10</w:t>
            </w:r>
          </w:p>
        </w:tc>
      </w:tr>
      <w:tr>
        <w:trPr>
          <w:trHeight w:val="207" w:hRule="atLeast"/>
        </w:trPr>
        <w:tc>
          <w:tcPr>
            <w:tcW w:w="3687" w:type="dxa"/>
            <w:tcBorders>
              <w:right w:val="single" w:sz="4" w:space="0" w:color="000000"/>
            </w:tcBorders>
          </w:tcPr>
          <w:p>
            <w:pPr>
              <w:pStyle w:val="TableParagraph"/>
              <w:spacing w:line="187" w:lineRule="exact"/>
              <w:ind w:left="84"/>
              <w:jc w:val="left"/>
              <w:rPr>
                <w:sz w:val="18"/>
              </w:rPr>
            </w:pPr>
            <w:r>
              <w:rPr>
                <w:sz w:val="18"/>
              </w:rPr>
              <w:t>Lavadora doméstica</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0,20</w:t>
            </w:r>
          </w:p>
        </w:tc>
        <w:tc>
          <w:tcPr>
            <w:tcW w:w="2420" w:type="dxa"/>
            <w:tcBorders>
              <w:left w:val="single" w:sz="4" w:space="0" w:color="000000"/>
            </w:tcBorders>
          </w:tcPr>
          <w:p>
            <w:pPr>
              <w:pStyle w:val="TableParagraph"/>
              <w:spacing w:line="187" w:lineRule="exact"/>
              <w:ind w:left="905" w:right="912"/>
              <w:rPr>
                <w:sz w:val="18"/>
              </w:rPr>
            </w:pPr>
            <w:r>
              <w:rPr>
                <w:sz w:val="18"/>
              </w:rPr>
              <w:t>0,15</w:t>
            </w:r>
          </w:p>
        </w:tc>
      </w:tr>
      <w:tr>
        <w:trPr>
          <w:trHeight w:val="206" w:hRule="atLeast"/>
        </w:trPr>
        <w:tc>
          <w:tcPr>
            <w:tcW w:w="3687" w:type="dxa"/>
            <w:tcBorders>
              <w:right w:val="single" w:sz="4" w:space="0" w:color="000000"/>
            </w:tcBorders>
          </w:tcPr>
          <w:p>
            <w:pPr>
              <w:pStyle w:val="TableParagraph"/>
              <w:spacing w:line="187" w:lineRule="exact"/>
              <w:ind w:left="84"/>
              <w:jc w:val="left"/>
              <w:rPr>
                <w:sz w:val="18"/>
              </w:rPr>
            </w:pPr>
            <w:r>
              <w:rPr>
                <w:sz w:val="18"/>
              </w:rPr>
              <w:t>Lavadora industrial (8 kg)</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0,60</w:t>
            </w:r>
          </w:p>
        </w:tc>
        <w:tc>
          <w:tcPr>
            <w:tcW w:w="2420" w:type="dxa"/>
            <w:tcBorders>
              <w:left w:val="single" w:sz="4" w:space="0" w:color="000000"/>
            </w:tcBorders>
          </w:tcPr>
          <w:p>
            <w:pPr>
              <w:pStyle w:val="TableParagraph"/>
              <w:spacing w:line="187" w:lineRule="exact"/>
              <w:ind w:left="905" w:right="912"/>
              <w:rPr>
                <w:sz w:val="18"/>
              </w:rPr>
            </w:pPr>
            <w:r>
              <w:rPr>
                <w:sz w:val="18"/>
              </w:rPr>
              <w:t>0,40</w:t>
            </w:r>
          </w:p>
        </w:tc>
      </w:tr>
      <w:tr>
        <w:trPr>
          <w:trHeight w:val="207" w:hRule="atLeast"/>
        </w:trPr>
        <w:tc>
          <w:tcPr>
            <w:tcW w:w="3687" w:type="dxa"/>
            <w:tcBorders>
              <w:right w:val="single" w:sz="4" w:space="0" w:color="000000"/>
            </w:tcBorders>
          </w:tcPr>
          <w:p>
            <w:pPr>
              <w:pStyle w:val="TableParagraph"/>
              <w:spacing w:line="187" w:lineRule="exact"/>
              <w:ind w:left="84"/>
              <w:jc w:val="left"/>
              <w:rPr>
                <w:sz w:val="18"/>
              </w:rPr>
            </w:pPr>
            <w:r>
              <w:rPr>
                <w:sz w:val="18"/>
              </w:rPr>
              <w:t>Grifo aislado</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0,15</w:t>
            </w:r>
          </w:p>
        </w:tc>
        <w:tc>
          <w:tcPr>
            <w:tcW w:w="2420" w:type="dxa"/>
            <w:tcBorders>
              <w:left w:val="single" w:sz="4" w:space="0" w:color="000000"/>
            </w:tcBorders>
          </w:tcPr>
          <w:p>
            <w:pPr>
              <w:pStyle w:val="TableParagraph"/>
              <w:spacing w:line="187" w:lineRule="exact"/>
              <w:ind w:left="905" w:right="912"/>
              <w:rPr>
                <w:sz w:val="18"/>
              </w:rPr>
            </w:pPr>
            <w:r>
              <w:rPr>
                <w:sz w:val="18"/>
              </w:rPr>
              <w:t>0,10</w:t>
            </w:r>
          </w:p>
        </w:tc>
      </w:tr>
      <w:tr>
        <w:trPr>
          <w:trHeight w:val="207" w:hRule="atLeast"/>
        </w:trPr>
        <w:tc>
          <w:tcPr>
            <w:tcW w:w="3687" w:type="dxa"/>
            <w:tcBorders>
              <w:right w:val="single" w:sz="4" w:space="0" w:color="000000"/>
            </w:tcBorders>
          </w:tcPr>
          <w:p>
            <w:pPr>
              <w:pStyle w:val="TableParagraph"/>
              <w:spacing w:line="187" w:lineRule="exact"/>
              <w:ind w:left="84"/>
              <w:jc w:val="left"/>
              <w:rPr>
                <w:sz w:val="18"/>
              </w:rPr>
            </w:pPr>
            <w:r>
              <w:rPr>
                <w:sz w:val="18"/>
              </w:rPr>
              <w:t>Grifo garaje</w:t>
            </w:r>
          </w:p>
        </w:tc>
        <w:tc>
          <w:tcPr>
            <w:tcW w:w="2421" w:type="dxa"/>
            <w:tcBorders>
              <w:left w:val="single" w:sz="4" w:space="0" w:color="000000"/>
              <w:right w:val="single" w:sz="4" w:space="0" w:color="000000"/>
            </w:tcBorders>
          </w:tcPr>
          <w:p>
            <w:pPr>
              <w:pStyle w:val="TableParagraph"/>
              <w:spacing w:line="187" w:lineRule="exact"/>
              <w:ind w:left="907" w:right="907"/>
              <w:rPr>
                <w:sz w:val="18"/>
              </w:rPr>
            </w:pPr>
            <w:r>
              <w:rPr>
                <w:sz w:val="18"/>
              </w:rPr>
              <w:t>0,20</w:t>
            </w:r>
          </w:p>
        </w:tc>
        <w:tc>
          <w:tcPr>
            <w:tcW w:w="2420" w:type="dxa"/>
            <w:tcBorders>
              <w:left w:val="single" w:sz="4" w:space="0" w:color="000000"/>
            </w:tcBorders>
          </w:tcPr>
          <w:p>
            <w:pPr>
              <w:pStyle w:val="TableParagraph"/>
              <w:spacing w:line="187" w:lineRule="exact"/>
              <w:ind w:right="7"/>
              <w:rPr>
                <w:sz w:val="18"/>
              </w:rPr>
            </w:pPr>
            <w:r>
              <w:rPr>
                <w:w w:val="99"/>
                <w:sz w:val="18"/>
              </w:rPr>
              <w:t>-</w:t>
            </w:r>
          </w:p>
        </w:tc>
      </w:tr>
      <w:tr>
        <w:trPr>
          <w:trHeight w:val="206" w:hRule="atLeast"/>
        </w:trPr>
        <w:tc>
          <w:tcPr>
            <w:tcW w:w="3687" w:type="dxa"/>
            <w:tcBorders>
              <w:bottom w:val="single" w:sz="4" w:space="0" w:color="000000"/>
              <w:right w:val="single" w:sz="4" w:space="0" w:color="000000"/>
            </w:tcBorders>
          </w:tcPr>
          <w:p>
            <w:pPr>
              <w:pStyle w:val="TableParagraph"/>
              <w:spacing w:line="187" w:lineRule="exact"/>
              <w:ind w:left="84"/>
              <w:jc w:val="left"/>
              <w:rPr>
                <w:sz w:val="18"/>
              </w:rPr>
            </w:pPr>
            <w:r>
              <w:rPr>
                <w:sz w:val="18"/>
              </w:rPr>
              <w:t>Vertedero</w:t>
            </w:r>
          </w:p>
        </w:tc>
        <w:tc>
          <w:tcPr>
            <w:tcW w:w="2421" w:type="dxa"/>
            <w:tcBorders>
              <w:left w:val="single" w:sz="4" w:space="0" w:color="000000"/>
              <w:bottom w:val="single" w:sz="4" w:space="0" w:color="000000"/>
              <w:right w:val="single" w:sz="4" w:space="0" w:color="000000"/>
            </w:tcBorders>
          </w:tcPr>
          <w:p>
            <w:pPr>
              <w:pStyle w:val="TableParagraph"/>
              <w:spacing w:line="187" w:lineRule="exact"/>
              <w:ind w:left="907" w:right="907"/>
              <w:rPr>
                <w:sz w:val="18"/>
              </w:rPr>
            </w:pPr>
            <w:r>
              <w:rPr>
                <w:sz w:val="18"/>
              </w:rPr>
              <w:t>0,20</w:t>
            </w:r>
          </w:p>
        </w:tc>
        <w:tc>
          <w:tcPr>
            <w:tcW w:w="2420" w:type="dxa"/>
            <w:tcBorders>
              <w:left w:val="single" w:sz="4" w:space="0" w:color="000000"/>
              <w:bottom w:val="single" w:sz="4" w:space="0" w:color="000000"/>
            </w:tcBorders>
          </w:tcPr>
          <w:p>
            <w:pPr>
              <w:pStyle w:val="TableParagraph"/>
              <w:spacing w:line="187" w:lineRule="exact"/>
              <w:ind w:right="7"/>
              <w:rPr>
                <w:sz w:val="18"/>
              </w:rPr>
            </w:pPr>
            <w:r>
              <w:rPr>
                <w:w w:val="99"/>
                <w:sz w:val="18"/>
              </w:rPr>
              <w:t>-</w:t>
            </w:r>
          </w:p>
        </w:tc>
      </w:tr>
    </w:tbl>
    <w:p>
      <w:pPr>
        <w:pStyle w:val="BodyText"/>
        <w:spacing w:before="10"/>
        <w:rPr>
          <w:b/>
          <w:sz w:val="24"/>
        </w:rPr>
      </w:pPr>
    </w:p>
    <w:p>
      <w:pPr>
        <w:spacing w:before="0"/>
        <w:ind w:left="1778" w:right="0" w:firstLine="0"/>
        <w:jc w:val="left"/>
        <w:rPr>
          <w:b/>
          <w:sz w:val="16"/>
        </w:rPr>
      </w:pPr>
      <w:r>
        <w:rPr/>
        <w:pict>
          <v:group style="position:absolute;margin-left:143pt;margin-top:.123898pt;width:.5pt;height:54.9pt;mso-position-horizontal-relative:page;mso-position-vertical-relative:paragraph;z-index:251941888" coordorigin="2860,2" coordsize="10,1098">
            <v:line style="position:absolute" from="2865,2" to="2865,307" stroked="true" strokeweight=".48pt" strokecolor="#000000">
              <v:stroke dashstyle="solid"/>
            </v:line>
            <v:line style="position:absolute" from="2865,307" to="2865,491" stroked="true" strokeweight=".48pt" strokecolor="#000000">
              <v:stroke dashstyle="solid"/>
            </v:line>
            <v:line style="position:absolute" from="2865,491" to="2865,794" stroked="true" strokeweight=".48pt" strokecolor="#000000">
              <v:stroke dashstyle="solid"/>
            </v:line>
            <v:line style="position:absolute" from="2865,794" to="2865,1100" stroked="true" strokeweight=".48pt" strokecolor="#000000">
              <v:stroke dashstyle="solid"/>
            </v:line>
            <w10:wrap type="none"/>
          </v:group>
        </w:pict>
      </w:r>
      <w:r>
        <w:rPr>
          <w:b/>
          <w:sz w:val="16"/>
        </w:rPr>
        <w:t>Caudales mínimos instantáneos de suministro</w:t>
      </w:r>
    </w:p>
    <w:p>
      <w:pPr>
        <w:spacing w:before="121"/>
        <w:ind w:left="1778" w:right="398" w:firstLine="0"/>
        <w:jc w:val="left"/>
        <w:rPr>
          <w:sz w:val="16"/>
        </w:rPr>
      </w:pPr>
      <w:r>
        <w:rPr>
          <w:sz w:val="16"/>
        </w:rPr>
        <w:t>La tabla 2.1 recoge los caudales mínimos admisibles, por lo que pueden emplearse caudales mayores de diseño si se considera oportuno.</w:t>
      </w:r>
    </w:p>
    <w:p>
      <w:pPr>
        <w:spacing w:before="119"/>
        <w:ind w:left="1778" w:right="0" w:firstLine="0"/>
        <w:jc w:val="left"/>
        <w:rPr>
          <w:sz w:val="16"/>
        </w:rPr>
      </w:pPr>
      <w:r>
        <w:rPr>
          <w:sz w:val="16"/>
        </w:rPr>
        <w:t>En el dimensionado, deberán tenerse en cuenta los coeficientes de simultaneidad.</w:t>
      </w:r>
    </w:p>
    <w:p>
      <w:pPr>
        <w:pStyle w:val="BodyText"/>
        <w:spacing w:before="6"/>
        <w:rPr>
          <w:sz w:val="27"/>
        </w:rPr>
      </w:pPr>
    </w:p>
    <w:p>
      <w:pPr>
        <w:pStyle w:val="ListParagraph"/>
        <w:numPr>
          <w:ilvl w:val="0"/>
          <w:numId w:val="154"/>
        </w:numPr>
        <w:tabs>
          <w:tab w:pos="673" w:val="left" w:leader="none"/>
        </w:tabs>
        <w:spacing w:line="240" w:lineRule="auto" w:before="94" w:after="0"/>
        <w:ind w:left="672" w:right="0" w:hanging="455"/>
        <w:jc w:val="both"/>
        <w:rPr>
          <w:sz w:val="20"/>
        </w:rPr>
      </w:pPr>
      <w:r>
        <w:rPr>
          <w:sz w:val="20"/>
        </w:rPr>
        <w:t>En los puntos de consumo la presión mínima debe</w:t>
      </w:r>
      <w:r>
        <w:rPr>
          <w:spacing w:val="-5"/>
          <w:sz w:val="20"/>
        </w:rPr>
        <w:t> </w:t>
      </w:r>
      <w:r>
        <w:rPr>
          <w:sz w:val="20"/>
        </w:rPr>
        <w:t>ser:</w:t>
      </w:r>
    </w:p>
    <w:p>
      <w:pPr>
        <w:pStyle w:val="ListParagraph"/>
        <w:numPr>
          <w:ilvl w:val="1"/>
          <w:numId w:val="154"/>
        </w:numPr>
        <w:tabs>
          <w:tab w:pos="1126" w:val="left" w:leader="none"/>
        </w:tabs>
        <w:spacing w:line="240" w:lineRule="auto" w:before="61" w:after="0"/>
        <w:ind w:left="1126" w:right="0" w:hanging="454"/>
        <w:jc w:val="both"/>
        <w:rPr>
          <w:sz w:val="20"/>
        </w:rPr>
      </w:pPr>
      <w:r>
        <w:rPr>
          <w:sz w:val="20"/>
        </w:rPr>
        <w:t>100 kPa para grifos</w:t>
      </w:r>
      <w:r>
        <w:rPr>
          <w:spacing w:val="-5"/>
          <w:sz w:val="20"/>
        </w:rPr>
        <w:t> </w:t>
      </w:r>
      <w:r>
        <w:rPr>
          <w:sz w:val="20"/>
        </w:rPr>
        <w:t>comunes;</w:t>
      </w:r>
    </w:p>
    <w:p>
      <w:pPr>
        <w:pStyle w:val="ListParagraph"/>
        <w:numPr>
          <w:ilvl w:val="1"/>
          <w:numId w:val="154"/>
        </w:numPr>
        <w:tabs>
          <w:tab w:pos="1126" w:val="left" w:leader="none"/>
        </w:tabs>
        <w:spacing w:line="240" w:lineRule="auto" w:before="60" w:after="0"/>
        <w:ind w:left="1126" w:right="0" w:hanging="454"/>
        <w:jc w:val="both"/>
        <w:rPr>
          <w:sz w:val="20"/>
        </w:rPr>
      </w:pPr>
      <w:r>
        <w:rPr>
          <w:sz w:val="20"/>
        </w:rPr>
        <w:t>150 kPa para fluxores y</w:t>
      </w:r>
      <w:r>
        <w:rPr>
          <w:spacing w:val="-5"/>
          <w:sz w:val="20"/>
        </w:rPr>
        <w:t> </w:t>
      </w:r>
      <w:r>
        <w:rPr>
          <w:sz w:val="20"/>
        </w:rPr>
        <w:t>calentadores.</w:t>
      </w:r>
    </w:p>
    <w:p>
      <w:pPr>
        <w:pStyle w:val="ListParagraph"/>
        <w:numPr>
          <w:ilvl w:val="0"/>
          <w:numId w:val="154"/>
        </w:numPr>
        <w:tabs>
          <w:tab w:pos="673" w:val="left" w:leader="none"/>
        </w:tabs>
        <w:spacing w:line="240" w:lineRule="auto" w:before="59" w:after="0"/>
        <w:ind w:left="672" w:right="0" w:hanging="455"/>
        <w:jc w:val="both"/>
        <w:rPr>
          <w:sz w:val="20"/>
        </w:rPr>
      </w:pPr>
      <w:r>
        <w:rPr>
          <w:sz w:val="20"/>
        </w:rPr>
        <w:t>La presión en cualquier punto de consumo no debe superar 500</w:t>
      </w:r>
      <w:r>
        <w:rPr>
          <w:spacing w:val="-5"/>
          <w:sz w:val="20"/>
        </w:rPr>
        <w:t> </w:t>
      </w:r>
      <w:r>
        <w:rPr>
          <w:sz w:val="20"/>
        </w:rPr>
        <w:t>kPa.</w:t>
      </w:r>
    </w:p>
    <w:p>
      <w:pPr>
        <w:pStyle w:val="ListParagraph"/>
        <w:numPr>
          <w:ilvl w:val="0"/>
          <w:numId w:val="154"/>
        </w:numPr>
        <w:tabs>
          <w:tab w:pos="673" w:val="left" w:leader="none"/>
        </w:tabs>
        <w:spacing w:line="240" w:lineRule="auto" w:before="61" w:after="0"/>
        <w:ind w:left="672" w:right="390" w:hanging="454"/>
        <w:jc w:val="both"/>
        <w:rPr>
          <w:sz w:val="20"/>
        </w:rPr>
      </w:pPr>
      <w:r>
        <w:rPr>
          <w:sz w:val="20"/>
        </w:rPr>
        <w:t>La temperatura de ACS en los puntos de consumo debe estar comprendida entre 50ºC y 65ºC ex- cepto en las instalaciones ubicadas en edificios dedicados a uso exclusivo de vivienda siempre que estas no afecten al ambiente exterior de dichos</w:t>
      </w:r>
      <w:r>
        <w:rPr>
          <w:spacing w:val="-3"/>
          <w:sz w:val="20"/>
        </w:rPr>
        <w:t> </w:t>
      </w:r>
      <w:r>
        <w:rPr>
          <w:sz w:val="20"/>
        </w:rPr>
        <w:t>edificios.</w:t>
      </w:r>
    </w:p>
    <w:p>
      <w:pPr>
        <w:pStyle w:val="BodyText"/>
        <w:spacing w:before="6"/>
        <w:rPr>
          <w:sz w:val="17"/>
        </w:rPr>
      </w:pPr>
    </w:p>
    <w:p>
      <w:pPr>
        <w:pStyle w:val="Heading5"/>
        <w:numPr>
          <w:ilvl w:val="2"/>
          <w:numId w:val="151"/>
        </w:numPr>
        <w:tabs>
          <w:tab w:pos="787" w:val="left" w:leader="none"/>
        </w:tabs>
        <w:spacing w:line="240" w:lineRule="auto" w:before="0" w:after="0"/>
        <w:ind w:left="786" w:right="0" w:hanging="569"/>
        <w:jc w:val="both"/>
      </w:pPr>
      <w:r>
        <w:rPr/>
        <w:t>Mantenimiento</w:t>
      </w:r>
    </w:p>
    <w:p>
      <w:pPr>
        <w:pStyle w:val="ListParagraph"/>
        <w:numPr>
          <w:ilvl w:val="0"/>
          <w:numId w:val="155"/>
        </w:numPr>
        <w:tabs>
          <w:tab w:pos="673" w:val="left" w:leader="none"/>
        </w:tabs>
        <w:spacing w:line="240" w:lineRule="auto" w:before="97" w:after="0"/>
        <w:ind w:left="672" w:right="389" w:hanging="454"/>
        <w:jc w:val="both"/>
        <w:rPr>
          <w:sz w:val="20"/>
        </w:rPr>
      </w:pPr>
      <w:r>
        <w:rPr>
          <w:sz w:val="20"/>
        </w:rPr>
        <w:t>Excepto en viviendas aisladas y adosadas, los elementos y equipos de la instalación que lo requie- ran, tales como el grupo de presión, los sistemas de tratamiento de agua o los contadores, deben instalarse en locales cuyas dimensiones sean suficientes para que pueda llevarse a cabo su man- tenimiento</w:t>
      </w:r>
      <w:r>
        <w:rPr>
          <w:spacing w:val="-1"/>
          <w:sz w:val="20"/>
        </w:rPr>
        <w:t> </w:t>
      </w:r>
      <w:r>
        <w:rPr>
          <w:sz w:val="20"/>
        </w:rPr>
        <w:t>adecuadamente.</w:t>
      </w:r>
    </w:p>
    <w:p>
      <w:pPr>
        <w:pStyle w:val="ListParagraph"/>
        <w:numPr>
          <w:ilvl w:val="0"/>
          <w:numId w:val="155"/>
        </w:numPr>
        <w:tabs>
          <w:tab w:pos="673" w:val="left" w:leader="none"/>
        </w:tabs>
        <w:spacing w:line="240" w:lineRule="auto" w:before="61" w:after="0"/>
        <w:ind w:left="672" w:right="394" w:hanging="454"/>
        <w:jc w:val="both"/>
        <w:rPr>
          <w:sz w:val="20"/>
        </w:rPr>
      </w:pPr>
      <w:r>
        <w:rPr>
          <w:sz w:val="20"/>
        </w:rPr>
        <w:t>Las redes de tuberías, incluso en las instalaciones interiores particulares si fuera posible, deben diseñarse de tal forma que sean accesibles para su mantenimiento y reparación, para lo cual deben estar a la vista, alojadas en huecos o patinillos registrables o disponer de arquetas o</w:t>
      </w:r>
      <w:r>
        <w:rPr>
          <w:spacing w:val="-7"/>
          <w:sz w:val="20"/>
        </w:rPr>
        <w:t> </w:t>
      </w:r>
      <w:r>
        <w:rPr>
          <w:sz w:val="20"/>
        </w:rPr>
        <w:t>registros.</w:t>
      </w:r>
    </w:p>
    <w:p>
      <w:pPr>
        <w:pStyle w:val="BodyText"/>
        <w:spacing w:before="5"/>
        <w:rPr>
          <w:sz w:val="24"/>
        </w:rPr>
      </w:pPr>
    </w:p>
    <w:p>
      <w:pPr>
        <w:pStyle w:val="Heading3"/>
        <w:numPr>
          <w:ilvl w:val="1"/>
          <w:numId w:val="151"/>
        </w:numPr>
        <w:tabs>
          <w:tab w:pos="673" w:val="left" w:leader="none"/>
        </w:tabs>
        <w:spacing w:line="240" w:lineRule="auto" w:before="1" w:after="0"/>
        <w:ind w:left="672" w:right="0" w:hanging="455"/>
        <w:jc w:val="both"/>
      </w:pPr>
      <w:r>
        <w:rPr/>
        <w:t>Señalización</w:t>
      </w:r>
    </w:p>
    <w:p>
      <w:pPr>
        <w:pStyle w:val="BodyText"/>
        <w:spacing w:before="98"/>
        <w:ind w:left="672" w:right="396" w:hanging="454"/>
        <w:jc w:val="both"/>
      </w:pPr>
      <w:r>
        <w:rPr/>
        <w:t>1  Si se dispone una instalación para suministrar agua que no sea apta para el consumo, las tuberías,  los grifos y los demás puntos terminales de esta instalación deben estar adecuadamente señalados para que puedan ser identificados como tales de forma fácil e</w:t>
      </w:r>
      <w:r>
        <w:rPr>
          <w:spacing w:val="-5"/>
        </w:rPr>
        <w:t> </w:t>
      </w:r>
      <w:r>
        <w:rPr/>
        <w:t>inequívoca.</w:t>
      </w:r>
    </w:p>
    <w:p>
      <w:pPr>
        <w:spacing w:after="0"/>
        <w:jc w:val="both"/>
        <w:sectPr>
          <w:pgSz w:w="11910" w:h="16840"/>
          <w:pgMar w:header="908" w:footer="636" w:top="1320" w:bottom="840" w:left="1200" w:right="740"/>
        </w:sectPr>
      </w:pPr>
    </w:p>
    <w:p>
      <w:pPr>
        <w:pStyle w:val="BodyText"/>
        <w:spacing w:before="2"/>
        <w:rPr>
          <w:sz w:val="19"/>
        </w:rPr>
      </w:pPr>
    </w:p>
    <w:p>
      <w:pPr>
        <w:pStyle w:val="Heading3"/>
        <w:numPr>
          <w:ilvl w:val="1"/>
          <w:numId w:val="151"/>
        </w:numPr>
        <w:tabs>
          <w:tab w:pos="673" w:val="left" w:leader="none"/>
        </w:tabs>
        <w:spacing w:line="240" w:lineRule="auto" w:before="92" w:after="0"/>
        <w:ind w:left="672" w:right="0" w:hanging="455"/>
        <w:jc w:val="left"/>
      </w:pPr>
      <w:r>
        <w:rPr/>
        <w:t>Ahorro de</w:t>
      </w:r>
      <w:r>
        <w:rPr>
          <w:spacing w:val="-1"/>
        </w:rPr>
        <w:t> </w:t>
      </w:r>
      <w:r>
        <w:rPr/>
        <w:t>agua</w:t>
      </w:r>
    </w:p>
    <w:p>
      <w:pPr>
        <w:pStyle w:val="ListParagraph"/>
        <w:numPr>
          <w:ilvl w:val="0"/>
          <w:numId w:val="156"/>
        </w:numPr>
        <w:tabs>
          <w:tab w:pos="672" w:val="left" w:leader="none"/>
          <w:tab w:pos="673" w:val="left" w:leader="none"/>
        </w:tabs>
        <w:spacing w:line="240" w:lineRule="auto" w:before="98" w:after="0"/>
        <w:ind w:left="672" w:right="396" w:hanging="454"/>
        <w:jc w:val="left"/>
        <w:rPr>
          <w:sz w:val="20"/>
        </w:rPr>
      </w:pPr>
      <w:r>
        <w:rPr>
          <w:sz w:val="20"/>
        </w:rPr>
        <w:t>Debe disponerse un sistema de contabilización tanto de agua fría como de agua caliente para cada unidad de consumo</w:t>
      </w:r>
      <w:r>
        <w:rPr>
          <w:spacing w:val="-2"/>
          <w:sz w:val="20"/>
        </w:rPr>
        <w:t> </w:t>
      </w:r>
      <w:r>
        <w:rPr>
          <w:sz w:val="20"/>
        </w:rPr>
        <w:t>individualizable.</w:t>
      </w:r>
    </w:p>
    <w:p>
      <w:pPr>
        <w:pStyle w:val="ListParagraph"/>
        <w:numPr>
          <w:ilvl w:val="0"/>
          <w:numId w:val="156"/>
        </w:numPr>
        <w:tabs>
          <w:tab w:pos="672" w:val="left" w:leader="none"/>
          <w:tab w:pos="673" w:val="left" w:leader="none"/>
        </w:tabs>
        <w:spacing w:line="240" w:lineRule="auto" w:before="61" w:after="0"/>
        <w:ind w:left="672" w:right="393" w:hanging="454"/>
        <w:jc w:val="left"/>
        <w:rPr>
          <w:sz w:val="20"/>
        </w:rPr>
      </w:pPr>
      <w:r>
        <w:rPr>
          <w:sz w:val="20"/>
        </w:rPr>
        <w:t>En las redes de ACS debe disponerse una red de retorno cuando la longitud de la tubería de ida al punto de consumo más alejado sea igual o mayor que 15</w:t>
      </w:r>
      <w:r>
        <w:rPr>
          <w:spacing w:val="-6"/>
          <w:sz w:val="20"/>
        </w:rPr>
        <w:t> </w:t>
      </w:r>
      <w:r>
        <w:rPr>
          <w:sz w:val="20"/>
        </w:rPr>
        <w:t>m.</w:t>
      </w:r>
    </w:p>
    <w:p>
      <w:pPr>
        <w:pStyle w:val="BodyText"/>
        <w:spacing w:before="5"/>
        <w:rPr>
          <w:sz w:val="30"/>
        </w:rPr>
      </w:pPr>
    </w:p>
    <w:p>
      <w:pPr>
        <w:spacing w:before="0"/>
        <w:ind w:left="1778" w:right="397" w:firstLine="0"/>
        <w:jc w:val="both"/>
        <w:rPr>
          <w:sz w:val="16"/>
        </w:rPr>
      </w:pPr>
      <w:r>
        <w:rPr/>
        <w:pict>
          <v:group style="position:absolute;margin-left:143pt;margin-top:.123894pt;width:.5pt;height:33.6pt;mso-position-horizontal-relative:page;mso-position-vertical-relative:paragraph;z-index:251942912" coordorigin="2860,2" coordsize="10,672">
            <v:line style="position:absolute" from="2865,2" to="2865,186" stroked="true" strokeweight=".48pt" strokecolor="#000000">
              <v:stroke dashstyle="solid"/>
            </v:line>
            <v:line style="position:absolute" from="2865,186" to="2865,370" stroked="true" strokeweight=".48pt" strokecolor="#000000">
              <v:stroke dashstyle="solid"/>
            </v:line>
            <v:line style="position:absolute" from="2865,370" to="2865,674" stroked="true" strokeweight=".48pt" strokecolor="#000000">
              <v:stroke dashstyle="solid"/>
            </v:line>
            <w10:wrap type="none"/>
          </v:group>
        </w:pict>
      </w:r>
      <w:r>
        <w:rPr>
          <w:sz w:val="16"/>
        </w:rPr>
        <w:t>El objetivo de la red de retorno cuando la longitud de la tubería de ida al punto de consumo más alejado es mayor o igual a 15m es favorecer el ahorro de agua y energía. Pueden existir otras soluciones que satisfagan este objetivo.</w:t>
      </w:r>
    </w:p>
    <w:p>
      <w:pPr>
        <w:pStyle w:val="BodyText"/>
        <w:spacing w:before="5"/>
        <w:rPr>
          <w:sz w:val="27"/>
        </w:rPr>
      </w:pPr>
    </w:p>
    <w:p>
      <w:pPr>
        <w:pStyle w:val="ListParagraph"/>
        <w:numPr>
          <w:ilvl w:val="0"/>
          <w:numId w:val="156"/>
        </w:numPr>
        <w:tabs>
          <w:tab w:pos="672" w:val="left" w:leader="none"/>
          <w:tab w:pos="673" w:val="left" w:leader="none"/>
        </w:tabs>
        <w:spacing w:line="240" w:lineRule="auto" w:before="94" w:after="0"/>
        <w:ind w:left="672" w:right="390" w:hanging="454"/>
        <w:jc w:val="left"/>
        <w:rPr>
          <w:sz w:val="20"/>
        </w:rPr>
      </w:pPr>
      <w:r>
        <w:rPr>
          <w:sz w:val="20"/>
        </w:rPr>
        <w:t>En las zonas de pública concurrencia de los edificios, los grifos de los lavabos y las cisternas deben estar dotados de dispositivos de ahorro de</w:t>
      </w:r>
      <w:r>
        <w:rPr>
          <w:spacing w:val="-6"/>
          <w:sz w:val="20"/>
        </w:rPr>
        <w:t> </w:t>
      </w:r>
      <w:r>
        <w:rPr>
          <w:sz w:val="20"/>
        </w:rPr>
        <w:t>agua.</w:t>
      </w:r>
    </w:p>
    <w:p>
      <w:pPr>
        <w:pStyle w:val="BodyText"/>
        <w:spacing w:before="5"/>
        <w:rPr>
          <w:sz w:val="30"/>
        </w:rPr>
      </w:pPr>
    </w:p>
    <w:p>
      <w:pPr>
        <w:spacing w:before="0"/>
        <w:ind w:left="1778" w:right="0" w:firstLine="0"/>
        <w:jc w:val="left"/>
        <w:rPr>
          <w:b/>
          <w:sz w:val="16"/>
        </w:rPr>
      </w:pPr>
      <w:r>
        <w:rPr/>
        <w:pict>
          <v:group style="position:absolute;margin-left:143pt;margin-top:.123896pt;width:.5pt;height:73.2pt;mso-position-horizontal-relative:page;mso-position-vertical-relative:paragraph;z-index:251943936" coordorigin="2860,2" coordsize="10,1464">
            <v:line style="position:absolute" from="2865,2" to="2865,246" stroked="true" strokeweight=".48pt" strokecolor="#000000">
              <v:stroke dashstyle="solid"/>
            </v:line>
            <v:line style="position:absolute" from="2865,246" to="2865,491" stroked="true" strokeweight=".48pt" strokecolor="#000000">
              <v:stroke dashstyle="solid"/>
            </v:line>
            <v:line style="position:absolute" from="2865,491" to="2865,734" stroked="true" strokeweight=".48pt" strokecolor="#000000">
              <v:stroke dashstyle="solid"/>
            </v:line>
            <v:line style="position:absolute" from="2865,734" to="2865,978" stroked="true" strokeweight=".48pt" strokecolor="#000000">
              <v:stroke dashstyle="solid"/>
            </v:line>
            <v:line style="position:absolute" from="2865,978" to="2865,1223" stroked="true" strokeweight=".48pt" strokecolor="#000000">
              <v:stroke dashstyle="solid"/>
            </v:line>
            <v:line style="position:absolute" from="2865,1223" to="2865,1466" stroked="true" strokeweight=".48pt" strokecolor="#000000">
              <v:stroke dashstyle="solid"/>
            </v:line>
            <w10:wrap type="none"/>
          </v:group>
        </w:pict>
      </w:r>
      <w:r>
        <w:rPr>
          <w:b/>
          <w:sz w:val="16"/>
        </w:rPr>
        <w:t>Dispositivos de ahorro de agua</w:t>
      </w:r>
    </w:p>
    <w:p>
      <w:pPr>
        <w:spacing w:before="60"/>
        <w:ind w:left="1778" w:right="0" w:firstLine="0"/>
        <w:jc w:val="left"/>
        <w:rPr>
          <w:sz w:val="16"/>
        </w:rPr>
      </w:pPr>
      <w:r>
        <w:rPr>
          <w:sz w:val="16"/>
        </w:rPr>
        <w:t>Entre los dispositivos que pueden instalarse con este fin se encuentran:</w:t>
      </w:r>
    </w:p>
    <w:p>
      <w:pPr>
        <w:pStyle w:val="ListParagraph"/>
        <w:numPr>
          <w:ilvl w:val="1"/>
          <w:numId w:val="156"/>
        </w:numPr>
        <w:tabs>
          <w:tab w:pos="1876" w:val="left" w:leader="none"/>
        </w:tabs>
        <w:spacing w:line="240" w:lineRule="auto" w:before="61" w:after="0"/>
        <w:ind w:left="1876" w:right="0" w:hanging="98"/>
        <w:jc w:val="left"/>
        <w:rPr>
          <w:sz w:val="16"/>
        </w:rPr>
      </w:pPr>
      <w:r>
        <w:rPr>
          <w:sz w:val="16"/>
        </w:rPr>
        <w:t>aireadores, dispositivos termoestáticos, sensores infrarrojos, pulsador temporizado, etc. en</w:t>
      </w:r>
      <w:r>
        <w:rPr>
          <w:spacing w:val="-12"/>
          <w:sz w:val="16"/>
        </w:rPr>
        <w:t> </w:t>
      </w:r>
      <w:r>
        <w:rPr>
          <w:sz w:val="16"/>
        </w:rPr>
        <w:t>grifos;</w:t>
      </w:r>
    </w:p>
    <w:p>
      <w:pPr>
        <w:pStyle w:val="ListParagraph"/>
        <w:numPr>
          <w:ilvl w:val="1"/>
          <w:numId w:val="156"/>
        </w:numPr>
        <w:tabs>
          <w:tab w:pos="1876" w:val="left" w:leader="none"/>
        </w:tabs>
        <w:spacing w:line="240" w:lineRule="auto" w:before="59" w:after="0"/>
        <w:ind w:left="1876" w:right="0" w:hanging="98"/>
        <w:jc w:val="left"/>
        <w:rPr>
          <w:sz w:val="16"/>
        </w:rPr>
      </w:pPr>
      <w:r>
        <w:rPr>
          <w:sz w:val="16"/>
        </w:rPr>
        <w:t>llaves de regulación antes de los puntos de</w:t>
      </w:r>
      <w:r>
        <w:rPr>
          <w:spacing w:val="-3"/>
          <w:sz w:val="16"/>
        </w:rPr>
        <w:t> </w:t>
      </w:r>
      <w:r>
        <w:rPr>
          <w:sz w:val="16"/>
        </w:rPr>
        <w:t>consumo;</w:t>
      </w:r>
    </w:p>
    <w:p>
      <w:pPr>
        <w:pStyle w:val="ListParagraph"/>
        <w:numPr>
          <w:ilvl w:val="1"/>
          <w:numId w:val="156"/>
        </w:numPr>
        <w:tabs>
          <w:tab w:pos="1876" w:val="left" w:leader="none"/>
        </w:tabs>
        <w:spacing w:line="240" w:lineRule="auto" w:before="60" w:after="0"/>
        <w:ind w:left="1876" w:right="0" w:hanging="98"/>
        <w:jc w:val="left"/>
        <w:rPr>
          <w:sz w:val="16"/>
        </w:rPr>
      </w:pPr>
      <w:r>
        <w:rPr>
          <w:sz w:val="16"/>
        </w:rPr>
        <w:t>cisternas de media descarga, de descarga</w:t>
      </w:r>
      <w:r>
        <w:rPr>
          <w:spacing w:val="-4"/>
          <w:sz w:val="16"/>
        </w:rPr>
        <w:t> </w:t>
      </w:r>
      <w:r>
        <w:rPr>
          <w:sz w:val="16"/>
        </w:rPr>
        <w:t>interrumpible;</w:t>
      </w:r>
    </w:p>
    <w:p>
      <w:pPr>
        <w:pStyle w:val="ListParagraph"/>
        <w:numPr>
          <w:ilvl w:val="1"/>
          <w:numId w:val="156"/>
        </w:numPr>
        <w:tabs>
          <w:tab w:pos="1876" w:val="left" w:leader="none"/>
        </w:tabs>
        <w:spacing w:line="240" w:lineRule="auto" w:before="61" w:after="0"/>
        <w:ind w:left="1876" w:right="0" w:hanging="98"/>
        <w:jc w:val="left"/>
        <w:rPr>
          <w:sz w:val="16"/>
        </w:rPr>
      </w:pPr>
      <w:r>
        <w:rPr>
          <w:sz w:val="16"/>
        </w:rPr>
        <w:t>etc.</w:t>
      </w:r>
    </w:p>
    <w:p>
      <w:pPr>
        <w:pStyle w:val="BodyText"/>
      </w:pPr>
    </w:p>
    <w:p>
      <w:pPr>
        <w:pStyle w:val="BodyText"/>
      </w:pPr>
    </w:p>
    <w:p>
      <w:pPr>
        <w:pStyle w:val="BodyText"/>
        <w:spacing w:before="2"/>
        <w:rPr>
          <w:sz w:val="19"/>
        </w:rPr>
      </w:pPr>
    </w:p>
    <w:p>
      <w:pPr>
        <w:pStyle w:val="Heading2"/>
        <w:numPr>
          <w:ilvl w:val="0"/>
          <w:numId w:val="157"/>
        </w:numPr>
        <w:tabs>
          <w:tab w:pos="787" w:val="left" w:leader="none"/>
        </w:tabs>
        <w:spacing w:line="240" w:lineRule="auto" w:before="91" w:after="0"/>
        <w:ind w:left="786" w:right="0" w:hanging="569"/>
        <w:jc w:val="both"/>
      </w:pPr>
      <w:r>
        <w:rPr/>
        <w:t>Diseño</w:t>
      </w:r>
    </w:p>
    <w:p>
      <w:pPr>
        <w:pStyle w:val="BodyText"/>
        <w:spacing w:before="157"/>
        <w:ind w:left="672" w:right="391" w:hanging="454"/>
        <w:jc w:val="both"/>
      </w:pPr>
      <w:r>
        <w:rPr/>
        <w:t>1  La instalación de suministro de agua desarrollada en el proyecto del edificio debe estar compuesta   de una acometida, una instalación general y, en función de si la contabilización es única o múltiple, de derivaciones colectivas o instalaciones</w:t>
      </w:r>
      <w:r>
        <w:rPr>
          <w:spacing w:val="-3"/>
        </w:rPr>
        <w:t> </w:t>
      </w:r>
      <w:r>
        <w:rPr/>
        <w:t>particulares.</w:t>
      </w:r>
    </w:p>
    <w:p>
      <w:pPr>
        <w:pStyle w:val="BodyText"/>
        <w:spacing w:before="6"/>
        <w:rPr>
          <w:sz w:val="24"/>
        </w:rPr>
      </w:pPr>
    </w:p>
    <w:p>
      <w:pPr>
        <w:pStyle w:val="Heading3"/>
        <w:numPr>
          <w:ilvl w:val="1"/>
          <w:numId w:val="157"/>
        </w:numPr>
        <w:tabs>
          <w:tab w:pos="673" w:val="left" w:leader="none"/>
        </w:tabs>
        <w:spacing w:line="240" w:lineRule="auto" w:before="0" w:after="0"/>
        <w:ind w:left="672" w:right="0" w:hanging="455"/>
        <w:jc w:val="both"/>
      </w:pPr>
      <w:r>
        <w:rPr/>
        <w:t>Esquema general de la</w:t>
      </w:r>
      <w:r>
        <w:rPr>
          <w:spacing w:val="-1"/>
        </w:rPr>
        <w:t> </w:t>
      </w:r>
      <w:r>
        <w:rPr/>
        <w:t>instalación</w:t>
      </w:r>
    </w:p>
    <w:p>
      <w:pPr>
        <w:pStyle w:val="BodyText"/>
        <w:spacing w:before="99"/>
        <w:ind w:left="218"/>
        <w:jc w:val="both"/>
      </w:pPr>
      <w:r>
        <w:rPr/>
        <w:t>1 El esquema general de la instalación debe ser de uno de los dos tipos siguientes:</w:t>
      </w:r>
    </w:p>
    <w:p>
      <w:pPr>
        <w:pStyle w:val="ListParagraph"/>
        <w:numPr>
          <w:ilvl w:val="0"/>
          <w:numId w:val="158"/>
        </w:numPr>
        <w:tabs>
          <w:tab w:pos="1126" w:val="left" w:leader="none"/>
        </w:tabs>
        <w:spacing w:line="240" w:lineRule="auto" w:before="61" w:after="0"/>
        <w:ind w:left="1126" w:right="391" w:hanging="454"/>
        <w:jc w:val="both"/>
        <w:rPr>
          <w:sz w:val="20"/>
        </w:rPr>
      </w:pPr>
      <w:r>
        <w:rPr>
          <w:sz w:val="20"/>
        </w:rPr>
        <w:t>Red con contador general único, según el esquema de la figura 3.1, y compuesta por la aco- metida, la instalación general que contiene un armario o arqueta del contador general, un tubo de alimentación y un distribuidor principal; y las derivaciones</w:t>
      </w:r>
      <w:r>
        <w:rPr>
          <w:spacing w:val="-7"/>
          <w:sz w:val="20"/>
        </w:rPr>
        <w:t> </w:t>
      </w:r>
      <w:r>
        <w:rPr>
          <w:sz w:val="20"/>
        </w:rPr>
        <w:t>colectivas.</w:t>
      </w:r>
    </w:p>
    <w:p>
      <w:pPr>
        <w:spacing w:after="0" w:line="240" w:lineRule="auto"/>
        <w:jc w:val="both"/>
        <w:rPr>
          <w:sz w:val="20"/>
        </w:rPr>
        <w:sectPr>
          <w:pgSz w:w="11910" w:h="16840"/>
          <w:pgMar w:header="908" w:footer="636" w:top="1320" w:bottom="840" w:left="1200" w:right="740"/>
        </w:sectPr>
      </w:pPr>
    </w:p>
    <w:p>
      <w:pPr>
        <w:pStyle w:val="BodyText"/>
        <w:spacing w:before="2"/>
        <w:rPr>
          <w:sz w:val="8"/>
        </w:rPr>
      </w:pPr>
    </w:p>
    <w:p>
      <w:pPr>
        <w:pStyle w:val="BodyText"/>
        <w:ind w:left="2443"/>
      </w:pPr>
      <w:r>
        <w:rPr/>
        <w:drawing>
          <wp:inline distT="0" distB="0" distL="0" distR="0">
            <wp:extent cx="3706680" cy="1813559"/>
            <wp:effectExtent l="0" t="0" r="0" b="0"/>
            <wp:docPr id="25" name="image105.png" descr="hs4-1_vp"/>
            <wp:cNvGraphicFramePr>
              <a:graphicFrameLocks noChangeAspect="1"/>
            </wp:cNvGraphicFramePr>
            <a:graphic>
              <a:graphicData uri="http://schemas.openxmlformats.org/drawingml/2006/picture">
                <pic:pic>
                  <pic:nvPicPr>
                    <pic:cNvPr id="26" name="image105.png"/>
                    <pic:cNvPicPr/>
                  </pic:nvPicPr>
                  <pic:blipFill>
                    <a:blip r:embed="rId114" cstate="print"/>
                    <a:stretch>
                      <a:fillRect/>
                    </a:stretch>
                  </pic:blipFill>
                  <pic:spPr>
                    <a:xfrm>
                      <a:off x="0" y="0"/>
                      <a:ext cx="3706680" cy="1813559"/>
                    </a:xfrm>
                    <a:prstGeom prst="rect">
                      <a:avLst/>
                    </a:prstGeom>
                  </pic:spPr>
                </pic:pic>
              </a:graphicData>
            </a:graphic>
          </wp:inline>
        </w:drawing>
      </w:r>
      <w:r>
        <w:rPr/>
      </w:r>
    </w:p>
    <w:p>
      <w:pPr>
        <w:pStyle w:val="BodyText"/>
        <w:spacing w:before="9"/>
        <w:rPr>
          <w:sz w:val="28"/>
        </w:rPr>
      </w:pPr>
      <w:r>
        <w:rPr/>
        <w:drawing>
          <wp:anchor distT="0" distB="0" distL="0" distR="0" allowOverlap="1" layoutInCell="1" locked="0" behindDoc="0" simplePos="0" relativeHeight="280">
            <wp:simplePos x="0" y="0"/>
            <wp:positionH relativeFrom="page">
              <wp:posOffset>1980566</wp:posOffset>
            </wp:positionH>
            <wp:positionV relativeFrom="paragraph">
              <wp:posOffset>241388</wp:posOffset>
            </wp:positionV>
            <wp:extent cx="233918" cy="76200"/>
            <wp:effectExtent l="0" t="0" r="0" b="0"/>
            <wp:wrapTopAndBottom/>
            <wp:docPr id="27" name="image106.png"/>
            <wp:cNvGraphicFramePr>
              <a:graphicFrameLocks noChangeAspect="1"/>
            </wp:cNvGraphicFramePr>
            <a:graphic>
              <a:graphicData uri="http://schemas.openxmlformats.org/drawingml/2006/picture">
                <pic:pic>
                  <pic:nvPicPr>
                    <pic:cNvPr id="28" name="image106.png"/>
                    <pic:cNvPicPr/>
                  </pic:nvPicPr>
                  <pic:blipFill>
                    <a:blip r:embed="rId115" cstate="print"/>
                    <a:stretch>
                      <a:fillRect/>
                    </a:stretch>
                  </pic:blipFill>
                  <pic:spPr>
                    <a:xfrm>
                      <a:off x="0" y="0"/>
                      <a:ext cx="233918" cy="76200"/>
                    </a:xfrm>
                    <a:prstGeom prst="rect">
                      <a:avLst/>
                    </a:prstGeom>
                  </pic:spPr>
                </pic:pic>
              </a:graphicData>
            </a:graphic>
          </wp:anchor>
        </w:drawing>
      </w:r>
      <w:r>
        <w:rPr/>
        <w:drawing>
          <wp:anchor distT="0" distB="0" distL="0" distR="0" allowOverlap="1" layoutInCell="1" locked="0" behindDoc="0" simplePos="0" relativeHeight="281">
            <wp:simplePos x="0" y="0"/>
            <wp:positionH relativeFrom="page">
              <wp:posOffset>2435229</wp:posOffset>
            </wp:positionH>
            <wp:positionV relativeFrom="paragraph">
              <wp:posOffset>244554</wp:posOffset>
            </wp:positionV>
            <wp:extent cx="912781" cy="53435"/>
            <wp:effectExtent l="0" t="0" r="0" b="0"/>
            <wp:wrapTopAndBottom/>
            <wp:docPr id="29" name="image107.png"/>
            <wp:cNvGraphicFramePr>
              <a:graphicFrameLocks noChangeAspect="1"/>
            </wp:cNvGraphicFramePr>
            <a:graphic>
              <a:graphicData uri="http://schemas.openxmlformats.org/drawingml/2006/picture">
                <pic:pic>
                  <pic:nvPicPr>
                    <pic:cNvPr id="30" name="image107.png"/>
                    <pic:cNvPicPr/>
                  </pic:nvPicPr>
                  <pic:blipFill>
                    <a:blip r:embed="rId116" cstate="print"/>
                    <a:stretch>
                      <a:fillRect/>
                    </a:stretch>
                  </pic:blipFill>
                  <pic:spPr>
                    <a:xfrm>
                      <a:off x="0" y="0"/>
                      <a:ext cx="912781" cy="53435"/>
                    </a:xfrm>
                    <a:prstGeom prst="rect">
                      <a:avLst/>
                    </a:prstGeom>
                  </pic:spPr>
                </pic:pic>
              </a:graphicData>
            </a:graphic>
          </wp:anchor>
        </w:drawing>
      </w:r>
      <w:r>
        <w:rPr/>
        <w:drawing>
          <wp:anchor distT="0" distB="0" distL="0" distR="0" allowOverlap="1" layoutInCell="1" locked="0" behindDoc="0" simplePos="0" relativeHeight="282">
            <wp:simplePos x="0" y="0"/>
            <wp:positionH relativeFrom="page">
              <wp:posOffset>4386514</wp:posOffset>
            </wp:positionH>
            <wp:positionV relativeFrom="paragraph">
              <wp:posOffset>235054</wp:posOffset>
            </wp:positionV>
            <wp:extent cx="230269" cy="88677"/>
            <wp:effectExtent l="0" t="0" r="0" b="0"/>
            <wp:wrapTopAndBottom/>
            <wp:docPr id="31" name="image108.png"/>
            <wp:cNvGraphicFramePr>
              <a:graphicFrameLocks noChangeAspect="1"/>
            </wp:cNvGraphicFramePr>
            <a:graphic>
              <a:graphicData uri="http://schemas.openxmlformats.org/drawingml/2006/picture">
                <pic:pic>
                  <pic:nvPicPr>
                    <pic:cNvPr id="32" name="image108.png"/>
                    <pic:cNvPicPr/>
                  </pic:nvPicPr>
                  <pic:blipFill>
                    <a:blip r:embed="rId117" cstate="print"/>
                    <a:stretch>
                      <a:fillRect/>
                    </a:stretch>
                  </pic:blipFill>
                  <pic:spPr>
                    <a:xfrm>
                      <a:off x="0" y="0"/>
                      <a:ext cx="230269" cy="88677"/>
                    </a:xfrm>
                    <a:prstGeom prst="rect">
                      <a:avLst/>
                    </a:prstGeom>
                  </pic:spPr>
                </pic:pic>
              </a:graphicData>
            </a:graphic>
          </wp:anchor>
        </w:drawing>
      </w:r>
      <w:r>
        <w:rPr/>
        <w:drawing>
          <wp:anchor distT="0" distB="0" distL="0" distR="0" allowOverlap="1" layoutInCell="1" locked="0" behindDoc="0" simplePos="0" relativeHeight="283">
            <wp:simplePos x="0" y="0"/>
            <wp:positionH relativeFrom="page">
              <wp:posOffset>4837986</wp:posOffset>
            </wp:positionH>
            <wp:positionV relativeFrom="paragraph">
              <wp:posOffset>244554</wp:posOffset>
            </wp:positionV>
            <wp:extent cx="730295" cy="53435"/>
            <wp:effectExtent l="0" t="0" r="0" b="0"/>
            <wp:wrapTopAndBottom/>
            <wp:docPr id="33" name="image109.png"/>
            <wp:cNvGraphicFramePr>
              <a:graphicFrameLocks noChangeAspect="1"/>
            </wp:cNvGraphicFramePr>
            <a:graphic>
              <a:graphicData uri="http://schemas.openxmlformats.org/drawingml/2006/picture">
                <pic:pic>
                  <pic:nvPicPr>
                    <pic:cNvPr id="34" name="image109.png"/>
                    <pic:cNvPicPr/>
                  </pic:nvPicPr>
                  <pic:blipFill>
                    <a:blip r:embed="rId118" cstate="print"/>
                    <a:stretch>
                      <a:fillRect/>
                    </a:stretch>
                  </pic:blipFill>
                  <pic:spPr>
                    <a:xfrm>
                      <a:off x="0" y="0"/>
                      <a:ext cx="730295" cy="53435"/>
                    </a:xfrm>
                    <a:prstGeom prst="rect">
                      <a:avLst/>
                    </a:prstGeom>
                  </pic:spPr>
                </pic:pic>
              </a:graphicData>
            </a:graphic>
          </wp:anchor>
        </w:drawing>
      </w:r>
      <w:r>
        <w:rPr/>
        <w:drawing>
          <wp:anchor distT="0" distB="0" distL="0" distR="0" allowOverlap="1" layoutInCell="1" locked="0" behindDoc="0" simplePos="0" relativeHeight="284">
            <wp:simplePos x="0" y="0"/>
            <wp:positionH relativeFrom="page">
              <wp:posOffset>1980566</wp:posOffset>
            </wp:positionH>
            <wp:positionV relativeFrom="paragraph">
              <wp:posOffset>495367</wp:posOffset>
            </wp:positionV>
            <wp:extent cx="235089" cy="66675"/>
            <wp:effectExtent l="0" t="0" r="0" b="0"/>
            <wp:wrapTopAndBottom/>
            <wp:docPr id="35" name="image110.png"/>
            <wp:cNvGraphicFramePr>
              <a:graphicFrameLocks noChangeAspect="1"/>
            </wp:cNvGraphicFramePr>
            <a:graphic>
              <a:graphicData uri="http://schemas.openxmlformats.org/drawingml/2006/picture">
                <pic:pic>
                  <pic:nvPicPr>
                    <pic:cNvPr id="36" name="image110.png"/>
                    <pic:cNvPicPr/>
                  </pic:nvPicPr>
                  <pic:blipFill>
                    <a:blip r:embed="rId119" cstate="print"/>
                    <a:stretch>
                      <a:fillRect/>
                    </a:stretch>
                  </pic:blipFill>
                  <pic:spPr>
                    <a:xfrm>
                      <a:off x="0" y="0"/>
                      <a:ext cx="235089" cy="66675"/>
                    </a:xfrm>
                    <a:prstGeom prst="rect">
                      <a:avLst/>
                    </a:prstGeom>
                  </pic:spPr>
                </pic:pic>
              </a:graphicData>
            </a:graphic>
          </wp:anchor>
        </w:drawing>
      </w:r>
      <w:r>
        <w:rPr/>
        <w:drawing>
          <wp:anchor distT="0" distB="0" distL="0" distR="0" allowOverlap="1" layoutInCell="1" locked="0" behindDoc="0" simplePos="0" relativeHeight="285">
            <wp:simplePos x="0" y="0"/>
            <wp:positionH relativeFrom="page">
              <wp:posOffset>2435229</wp:posOffset>
            </wp:positionH>
            <wp:positionV relativeFrom="paragraph">
              <wp:posOffset>482701</wp:posOffset>
            </wp:positionV>
            <wp:extent cx="1790644" cy="53435"/>
            <wp:effectExtent l="0" t="0" r="0" b="0"/>
            <wp:wrapTopAndBottom/>
            <wp:docPr id="37" name="image111.png"/>
            <wp:cNvGraphicFramePr>
              <a:graphicFrameLocks noChangeAspect="1"/>
            </wp:cNvGraphicFramePr>
            <a:graphic>
              <a:graphicData uri="http://schemas.openxmlformats.org/drawingml/2006/picture">
                <pic:pic>
                  <pic:nvPicPr>
                    <pic:cNvPr id="38" name="image111.png"/>
                    <pic:cNvPicPr/>
                  </pic:nvPicPr>
                  <pic:blipFill>
                    <a:blip r:embed="rId120" cstate="print"/>
                    <a:stretch>
                      <a:fillRect/>
                    </a:stretch>
                  </pic:blipFill>
                  <pic:spPr>
                    <a:xfrm>
                      <a:off x="0" y="0"/>
                      <a:ext cx="1790644" cy="53435"/>
                    </a:xfrm>
                    <a:prstGeom prst="rect">
                      <a:avLst/>
                    </a:prstGeom>
                  </pic:spPr>
                </pic:pic>
              </a:graphicData>
            </a:graphic>
          </wp:anchor>
        </w:drawing>
      </w:r>
      <w:r>
        <w:rPr/>
        <w:pict>
          <v:group style="position:absolute;margin-left:348.261292pt;margin-top:34.492424pt;width:11pt;height:10.75pt;mso-position-horizontal-relative:page;mso-position-vertical-relative:paragraph;z-index:-251365376;mso-wrap-distance-left:0;mso-wrap-distance-right:0" coordorigin="6965,690" coordsize="220,215">
            <v:shape style="position:absolute;left:6967;top:747;width:110;height:50" coordorigin="6968,748" coordsize="110,50" path="m7077,798l7072,778,7062,763,7042,753,7022,748,7002,753,6987,763,6973,778,6968,798e" filled="false" stroked="true" strokeweight=".249199pt" strokecolor="#000000">
              <v:path arrowok="t"/>
              <v:stroke dashstyle="solid"/>
            </v:shape>
            <v:shape style="position:absolute;left:6967;top:692;width:215;height:210" coordorigin="6968,692" coordsize="215,210" path="m7077,798l7133,852,7182,798,7177,763,7163,738,7143,713,7107,698,7077,692,7042,698,7017,713,6992,738,6977,763,6968,798,6977,832,6992,862,7017,882,7042,897,7077,902,7107,897,7143,882,7163,862,7177,832,7182,798e" filled="false" stroked="true" strokeweight=".249175pt" strokecolor="#000000">
              <v:path arrowok="t"/>
              <v:stroke dashstyle="solid"/>
            </v:shape>
            <w10:wrap type="topAndBottom"/>
          </v:group>
        </w:pict>
      </w:r>
      <w:r>
        <w:rPr/>
        <w:drawing>
          <wp:anchor distT="0" distB="0" distL="0" distR="0" allowOverlap="1" layoutInCell="1" locked="0" behindDoc="0" simplePos="0" relativeHeight="287">
            <wp:simplePos x="0" y="0"/>
            <wp:positionH relativeFrom="page">
              <wp:posOffset>4837986</wp:posOffset>
            </wp:positionH>
            <wp:positionV relativeFrom="paragraph">
              <wp:posOffset>470035</wp:posOffset>
            </wp:positionV>
            <wp:extent cx="789911" cy="66675"/>
            <wp:effectExtent l="0" t="0" r="0" b="0"/>
            <wp:wrapTopAndBottom/>
            <wp:docPr id="39" name="image112.png"/>
            <wp:cNvGraphicFramePr>
              <a:graphicFrameLocks noChangeAspect="1"/>
            </wp:cNvGraphicFramePr>
            <a:graphic>
              <a:graphicData uri="http://schemas.openxmlformats.org/drawingml/2006/picture">
                <pic:pic>
                  <pic:nvPicPr>
                    <pic:cNvPr id="40" name="image112.png"/>
                    <pic:cNvPicPr/>
                  </pic:nvPicPr>
                  <pic:blipFill>
                    <a:blip r:embed="rId121" cstate="print"/>
                    <a:stretch>
                      <a:fillRect/>
                    </a:stretch>
                  </pic:blipFill>
                  <pic:spPr>
                    <a:xfrm>
                      <a:off x="0" y="0"/>
                      <a:ext cx="789911" cy="66675"/>
                    </a:xfrm>
                    <a:prstGeom prst="rect">
                      <a:avLst/>
                    </a:prstGeom>
                  </pic:spPr>
                </pic:pic>
              </a:graphicData>
            </a:graphic>
          </wp:anchor>
        </w:drawing>
      </w:r>
      <w:r>
        <w:rPr/>
        <w:pict>
          <v:group style="position:absolute;margin-left:155.950089pt;margin-top:57.755054pt;width:18.5pt;height:3.75pt;mso-position-horizontal-relative:page;mso-position-vertical-relative:paragraph;z-index:-251363328;mso-wrap-distance-left:0;mso-wrap-distance-right:0" coordorigin="3119,1155" coordsize="370,75">
            <v:line style="position:absolute" from="3264,1188" to="3119,1188" stroked="true" strokeweight=".249212pt" strokecolor="#000000">
              <v:stroke dashstyle="solid"/>
            </v:line>
            <v:shape style="position:absolute;left:3263;top:1157;width:81;height:70" coordorigin="3264,1158" coordsize="81,70" path="m3264,1158l3344,1227,3344,1158e" filled="false" stroked="true" strokeweight=".249179pt" strokecolor="#000000">
              <v:path arrowok="t"/>
              <v:stroke dashstyle="solid"/>
            </v:shape>
            <v:line style="position:absolute" from="3261,1192" to="3266,1192" stroked="true" strokeweight="3.490641pt" strokecolor="#000000">
              <v:stroke dashstyle="solid"/>
            </v:line>
            <v:line style="position:absolute" from="3264,1227" to="3344,1158" stroked="true" strokeweight=".249179pt" strokecolor="#000000">
              <v:stroke dashstyle="solid"/>
            </v:line>
            <v:shape style="position:absolute;left:3288;top:1177;width:26;height:25" coordorigin="3288,1178" coordsize="26,25" path="m3314,1188l3308,1183,3303,1178,3293,1183,3288,1188,3293,1197,3303,1202,3308,1197,3314,1188e" filled="false" stroked="true" strokeweight=".249175pt" strokecolor="#000000">
              <v:path arrowok="t"/>
              <v:stroke dashstyle="solid"/>
            </v:shape>
            <v:line style="position:absolute" from="3488,1188" to="3344,1188" stroked="true" strokeweight=".249212pt" strokecolor="#000000">
              <v:stroke dashstyle="solid"/>
            </v:line>
            <v:shape style="position:absolute;left:3308;top:1182;width:6;height:15" coordorigin="3308,1183" coordsize="6,15" path="m3308,1183l3308,1197,3314,1188,3308,1183xe" filled="true" fillcolor="#000000" stroked="false">
              <v:path arrowok="t"/>
              <v:fill type="solid"/>
            </v:shape>
            <v:shape style="position:absolute;left:3308;top:1182;width:6;height:15" coordorigin="3308,1183" coordsize="6,15" path="m3314,1188l3308,1183,3308,1197,3314,1188xe" filled="false" stroked="true" strokeweight=".249146pt" strokecolor="#000000">
              <v:path arrowok="t"/>
              <v:stroke dashstyle="solid"/>
            </v:shape>
            <v:shape style="position:absolute;left:3303;top:1177;width:5;height:20" coordorigin="3303,1178" coordsize="5,20" path="m3303,1178l3308,1197,3308,1183,3303,1178xe" filled="true" fillcolor="#000000" stroked="false">
              <v:path arrowok="t"/>
              <v:fill type="solid"/>
            </v:shape>
            <v:shape style="position:absolute;left:3303;top:1177;width:5;height:20" coordorigin="3303,1178" coordsize="5,20" path="m3303,1178l3308,1197,3308,1183,3303,1178xe" filled="false" stroked="true" strokeweight=".249141pt" strokecolor="#000000">
              <v:path arrowok="t"/>
              <v:stroke dashstyle="solid"/>
            </v:shape>
            <v:shape style="position:absolute;left:3303;top:1177;width:5;height:25" coordorigin="3303,1178" coordsize="5,25" path="m3303,1178l3303,1202,3308,1197,3303,1178xe" filled="true" fillcolor="#000000" stroked="false">
              <v:path arrowok="t"/>
              <v:fill type="solid"/>
            </v:shape>
            <v:shape style="position:absolute;left:3303;top:1177;width:5;height:25" coordorigin="3303,1178" coordsize="5,25" path="m3308,1197l3303,1178,3303,1202,3308,1197xe" filled="false" stroked="true" strokeweight=".24914pt" strokecolor="#000000">
              <v:path arrowok="t"/>
              <v:stroke dashstyle="solid"/>
            </v:shape>
            <v:shape style="position:absolute;left:3293;top:1177;width:10;height:25" coordorigin="3293,1178" coordsize="10,25" path="m3303,1178l3293,1183,3303,1202,3303,1178xe" filled="true" fillcolor="#000000" stroked="false">
              <v:path arrowok="t"/>
              <v:fill type="solid"/>
            </v:shape>
            <v:shape style="position:absolute;left:3293;top:1177;width:10;height:25" coordorigin="3293,1178" coordsize="10,25" path="m3293,1183l3303,1202,3303,1178,3293,1183xe" filled="false" stroked="true" strokeweight=".249147pt" strokecolor="#000000">
              <v:path arrowok="t"/>
              <v:stroke dashstyle="solid"/>
            </v:shape>
            <v:shape style="position:absolute;left:3293;top:1182;width:10;height:20" coordorigin="3293,1183" coordsize="10,20" path="m3293,1183l3293,1197,3303,1202,3293,1183xe" filled="true" fillcolor="#000000" stroked="false">
              <v:path arrowok="t"/>
              <v:fill type="solid"/>
            </v:shape>
            <v:shape style="position:absolute;left:3293;top:1182;width:10;height:20" coordorigin="3293,1183" coordsize="10,20" path="m3303,1202l3293,1183,3293,1197,3303,1202xe" filled="false" stroked="true" strokeweight=".249152pt" strokecolor="#000000">
              <v:path arrowok="t"/>
              <v:stroke dashstyle="solid"/>
            </v:shape>
            <v:shape style="position:absolute;left:3288;top:1182;width:5;height:15" coordorigin="3288,1183" coordsize="5,15" path="m3293,1183l3288,1188,3293,1197,3293,1183xe" filled="true" fillcolor="#000000" stroked="false">
              <v:path arrowok="t"/>
              <v:fill type="solid"/>
            </v:shape>
            <v:shape style="position:absolute;left:3288;top:1182;width:5;height:15" coordorigin="3288,1183" coordsize="5,15" path="m3288,1188l3293,1197,3293,1183,3288,1188xe" filled="false" stroked="true" strokeweight=".249144pt" strokecolor="#000000">
              <v:path arrowok="t"/>
              <v:stroke dashstyle="solid"/>
            </v:shape>
            <w10:wrap type="topAndBottom"/>
          </v:group>
        </w:pict>
      </w:r>
      <w:r>
        <w:rPr/>
        <w:drawing>
          <wp:anchor distT="0" distB="0" distL="0" distR="0" allowOverlap="1" layoutInCell="1" locked="0" behindDoc="0" simplePos="0" relativeHeight="289">
            <wp:simplePos x="0" y="0"/>
            <wp:positionH relativeFrom="page">
              <wp:posOffset>2435229</wp:posOffset>
            </wp:positionH>
            <wp:positionV relativeFrom="paragraph">
              <wp:posOffset>717340</wp:posOffset>
            </wp:positionV>
            <wp:extent cx="1352897" cy="57150"/>
            <wp:effectExtent l="0" t="0" r="0" b="0"/>
            <wp:wrapTopAndBottom/>
            <wp:docPr id="41" name="image113.png"/>
            <wp:cNvGraphicFramePr>
              <a:graphicFrameLocks noChangeAspect="1"/>
            </wp:cNvGraphicFramePr>
            <a:graphic>
              <a:graphicData uri="http://schemas.openxmlformats.org/drawingml/2006/picture">
                <pic:pic>
                  <pic:nvPicPr>
                    <pic:cNvPr id="42" name="image113.png"/>
                    <pic:cNvPicPr/>
                  </pic:nvPicPr>
                  <pic:blipFill>
                    <a:blip r:embed="rId122" cstate="print"/>
                    <a:stretch>
                      <a:fillRect/>
                    </a:stretch>
                  </pic:blipFill>
                  <pic:spPr>
                    <a:xfrm>
                      <a:off x="0" y="0"/>
                      <a:ext cx="1352897" cy="57150"/>
                    </a:xfrm>
                    <a:prstGeom prst="rect">
                      <a:avLst/>
                    </a:prstGeom>
                  </pic:spPr>
                </pic:pic>
              </a:graphicData>
            </a:graphic>
          </wp:anchor>
        </w:drawing>
      </w:r>
      <w:r>
        <w:rPr/>
        <w:pict>
          <v:group style="position:absolute;margin-left:345.394836pt;margin-top:53.990143pt;width:18.25pt;height:5.55pt;mso-position-horizontal-relative:page;mso-position-vertical-relative:paragraph;z-index:-251361280;mso-wrap-distance-left:0;mso-wrap-distance-right:0" coordorigin="6908,1080" coordsize="365,111">
            <v:line style="position:absolute" from="7272,1188" to="7087,1188" stroked="true" strokeweight=".249212pt" strokecolor="#000000">
              <v:stroke dashstyle="solid"/>
            </v:line>
            <v:shape style="position:absolute;left:7062;top:1082;width:55;height:30" coordorigin="7062,1082" coordsize="55,30" path="m7117,1112l7112,1097,7102,1087,7087,1082,7077,1087,7067,1097,7062,1112e" filled="false" stroked="true" strokeweight=".249195pt" strokecolor="#000000">
              <v:path arrowok="t"/>
              <v:stroke dashstyle="solid"/>
            </v:shape>
            <v:line style="position:absolute" from="7117,1137" to="7062,1137" stroked="true" strokeweight=".249212pt" strokecolor="#000000">
              <v:stroke dashstyle="solid"/>
            </v:line>
            <v:line style="position:absolute" from="7087,1188" to="7087,1137" stroked="true" strokeweight=".249137pt" strokecolor="#000000">
              <v:stroke dashstyle="solid"/>
            </v:line>
            <v:line style="position:absolute" from="7062,1137" to="7062,1112" stroked="true" strokeweight=".249137pt" strokecolor="#000000">
              <v:stroke dashstyle="solid"/>
            </v:line>
            <v:line style="position:absolute" from="7087,1188" to="6908,1188" stroked="true" strokeweight=".249212pt" strokecolor="#000000">
              <v:stroke dashstyle="solid"/>
            </v:line>
            <v:line style="position:absolute" from="7117,1112" to="7117,1137" stroked="true" strokeweight=".249137pt" strokecolor="#000000">
              <v:stroke dashstyle="solid"/>
            </v:line>
            <w10:wrap type="topAndBottom"/>
          </v:group>
        </w:pict>
      </w:r>
      <w:r>
        <w:rPr/>
        <w:drawing>
          <wp:anchor distT="0" distB="0" distL="0" distR="0" allowOverlap="1" layoutInCell="1" locked="0" behindDoc="0" simplePos="0" relativeHeight="291">
            <wp:simplePos x="0" y="0"/>
            <wp:positionH relativeFrom="page">
              <wp:posOffset>4837986</wp:posOffset>
            </wp:positionH>
            <wp:positionV relativeFrom="paragraph">
              <wp:posOffset>717340</wp:posOffset>
            </wp:positionV>
            <wp:extent cx="853422" cy="57150"/>
            <wp:effectExtent l="0" t="0" r="0" b="0"/>
            <wp:wrapTopAndBottom/>
            <wp:docPr id="43" name="image114.png"/>
            <wp:cNvGraphicFramePr>
              <a:graphicFrameLocks noChangeAspect="1"/>
            </wp:cNvGraphicFramePr>
            <a:graphic>
              <a:graphicData uri="http://schemas.openxmlformats.org/drawingml/2006/picture">
                <pic:pic>
                  <pic:nvPicPr>
                    <pic:cNvPr id="44" name="image114.png"/>
                    <pic:cNvPicPr/>
                  </pic:nvPicPr>
                  <pic:blipFill>
                    <a:blip r:embed="rId123" cstate="print"/>
                    <a:stretch>
                      <a:fillRect/>
                    </a:stretch>
                  </pic:blipFill>
                  <pic:spPr>
                    <a:xfrm>
                      <a:off x="0" y="0"/>
                      <a:ext cx="853422" cy="57150"/>
                    </a:xfrm>
                    <a:prstGeom prst="rect">
                      <a:avLst/>
                    </a:prstGeom>
                  </pic:spPr>
                </pic:pic>
              </a:graphicData>
            </a:graphic>
          </wp:anchor>
        </w:drawing>
      </w:r>
      <w:r>
        <w:rPr/>
        <w:pict>
          <v:group style="position:absolute;margin-left:156.448593pt;margin-top:77.227829pt;width:16.25pt;height:2pt;mso-position-horizontal-relative:page;mso-position-vertical-relative:paragraph;z-index:-251359232;mso-wrap-distance-left:0;mso-wrap-distance-right:0" coordorigin="3129,1545" coordsize="325,40">
            <v:rect style="position:absolute;left:3413;top:1562;width:5;height:5" filled="false" stroked="true" strokeweight=".249174pt" strokecolor="#000000">
              <v:stroke dashstyle="solid"/>
            </v:rect>
            <v:shape style="position:absolute;left:3393;top:1562;width:5;height:5" coordorigin="3394,1562" coordsize="5,5" path="m3399,1562l3394,1562,3394,1567,3399,1562e" filled="false" stroked="true" strokeweight=".249174pt" strokecolor="#000000">
              <v:path arrowok="t"/>
              <v:stroke dashstyle="solid"/>
            </v:shape>
            <v:rect style="position:absolute;left:3433;top:1562;width:5;height:5" filled="false" stroked="true" strokeweight=".249174pt" strokecolor="#000000">
              <v:stroke dashstyle="solid"/>
            </v:rect>
            <v:rect style="position:absolute;left:3368;top:1562;width:5;height:5" filled="false" stroked="true" strokeweight=".249174pt" strokecolor="#000000">
              <v:stroke dashstyle="solid"/>
            </v:rect>
            <v:rect style="position:absolute;left:3328;top:1562;width:5;height:5" filled="false" stroked="true" strokeweight=".249174pt" strokecolor="#000000">
              <v:stroke dashstyle="solid"/>
            </v:rect>
            <v:rect style="position:absolute;left:3283;top:1562;width:5;height:5" filled="false" stroked="true" strokeweight=".249174pt" strokecolor="#000000">
              <v:stroke dashstyle="solid"/>
            </v:rect>
            <v:rect style="position:absolute;left:3243;top:1562;width:5;height:5" filled="false" stroked="true" strokeweight=".249174pt" strokecolor="#000000">
              <v:stroke dashstyle="solid"/>
            </v:rect>
            <v:rect style="position:absolute;left:3198;top:1562;width:5;height:5" filled="false" stroked="true" strokeweight=".249174pt" strokecolor="#000000">
              <v:stroke dashstyle="solid"/>
            </v:rect>
            <v:shape style="position:absolute;left:3158;top:1562;width:5;height:5" coordorigin="3159,1562" coordsize="5,5" path="m3164,1562l3159,1562,3159,1567,3164,1562e" filled="false" stroked="true" strokeweight=".249174pt" strokecolor="#000000">
              <v:path arrowok="t"/>
              <v:stroke dashstyle="solid"/>
            </v:shape>
            <v:shape style="position:absolute;left:3308;top:1562;width:2;height:5" coordorigin="3308,1562" coordsize="0,5" path="m3308,1562l3308,1567,3308,1562e" filled="false" stroked="true" strokeweight=".249137pt" strokecolor="#000000">
              <v:path arrowok="t"/>
              <v:stroke dashstyle="solid"/>
            </v:shape>
            <v:shape style="position:absolute;left:3218;top:1562;width:5;height:5" coordorigin="3219,1562" coordsize="5,5" path="m3224,1562l3219,1562,3224,1567,3224,1562e" filled="false" stroked="true" strokeweight=".249174pt" strokecolor="#000000">
              <v:path arrowok="t"/>
              <v:stroke dashstyle="solid"/>
            </v:shape>
            <v:rect style="position:absolute;left:3133;top:1562;width:5;height:5" filled="false" stroked="true" strokeweight=".249174pt" strokecolor="#000000">
              <v:stroke dashstyle="solid"/>
            </v:rect>
            <v:rect style="position:absolute;left:3178;top:1562;width:5;height:5" filled="false" stroked="true" strokeweight=".249174pt" strokecolor="#000000">
              <v:stroke dashstyle="solid"/>
            </v:rect>
            <v:rect style="position:absolute;left:3263;top:1562;width:5;height:5" filled="false" stroked="true" strokeweight=".249174pt" strokecolor="#000000">
              <v:stroke dashstyle="solid"/>
            </v:rect>
            <v:rect style="position:absolute;left:3348;top:1562;width:5;height:5" filled="false" stroked="true" strokeweight=".249174pt" strokecolor="#000000">
              <v:stroke dashstyle="solid"/>
            </v:rect>
            <v:line style="position:absolute" from="3453,1547" to="3129,1547" stroked="true" strokeweight=".249212pt" strokecolor="#000000">
              <v:stroke dashstyle="solid"/>
            </v:line>
            <v:line style="position:absolute" from="3453,1582" to="3129,1582" stroked="true" strokeweight=".249212pt" strokecolor="#000000">
              <v:stroke dashstyle="solid"/>
            </v:line>
            <w10:wrap type="topAndBottom"/>
          </v:group>
        </w:pict>
      </w:r>
      <w:r>
        <w:rPr/>
        <w:drawing>
          <wp:anchor distT="0" distB="0" distL="0" distR="0" allowOverlap="1" layoutInCell="1" locked="0" behindDoc="0" simplePos="0" relativeHeight="293">
            <wp:simplePos x="0" y="0"/>
            <wp:positionH relativeFrom="page">
              <wp:posOffset>2428910</wp:posOffset>
            </wp:positionH>
            <wp:positionV relativeFrom="paragraph">
              <wp:posOffset>945962</wp:posOffset>
            </wp:positionV>
            <wp:extent cx="1575886" cy="133350"/>
            <wp:effectExtent l="0" t="0" r="0" b="0"/>
            <wp:wrapTopAndBottom/>
            <wp:docPr id="45" name="image115.png"/>
            <wp:cNvGraphicFramePr>
              <a:graphicFrameLocks noChangeAspect="1"/>
            </wp:cNvGraphicFramePr>
            <a:graphic>
              <a:graphicData uri="http://schemas.openxmlformats.org/drawingml/2006/picture">
                <pic:pic>
                  <pic:nvPicPr>
                    <pic:cNvPr id="46" name="image115.png"/>
                    <pic:cNvPicPr/>
                  </pic:nvPicPr>
                  <pic:blipFill>
                    <a:blip r:embed="rId124" cstate="print"/>
                    <a:stretch>
                      <a:fillRect/>
                    </a:stretch>
                  </pic:blipFill>
                  <pic:spPr>
                    <a:xfrm>
                      <a:off x="0" y="0"/>
                      <a:ext cx="1575886" cy="133350"/>
                    </a:xfrm>
                    <a:prstGeom prst="rect">
                      <a:avLst/>
                    </a:prstGeom>
                  </pic:spPr>
                </pic:pic>
              </a:graphicData>
            </a:graphic>
          </wp:anchor>
        </w:drawing>
      </w:r>
      <w:r>
        <w:rPr/>
        <w:pict>
          <v:group style="position:absolute;margin-left:345.394836pt;margin-top:71.243889pt;width:22.2pt;height:9.75pt;mso-position-horizontal-relative:page;mso-position-vertical-relative:paragraph;z-index:-251357184;mso-wrap-distance-left:0;mso-wrap-distance-right:0" coordorigin="6908,1425" coordsize="444,195">
            <v:shape style="position:absolute;left:7097;top:1427;width:61;height:55" coordorigin="7097,1427" coordsize="61,55" path="m7097,1477l7097,1467,7097,1462,7097,1457,7097,1452,7097,1447,7097,1442,7102,1437,7107,1432,7112,1432,7112,1427,7117,1427,7122,1427,7128,1427,7133,1427,7138,1427,7143,1432,7148,1437,7153,1442,7153,1447,7153,1452,7158,1452,7158,1457,7158,1462,7158,1467,7158,1472,7158,1482e" filled="false" stroked="true" strokeweight=".249178pt" strokecolor="#000000">
              <v:path arrowok="t"/>
              <v:stroke dashstyle="solid"/>
            </v:shape>
            <v:line style="position:absolute" from="7097,1492" to="7077,1492" stroked="true" strokeweight=".249212pt" strokecolor="#000000">
              <v:stroke dashstyle="solid"/>
            </v:line>
            <v:line style="position:absolute" from="7352,1617" to="6908,1617" stroked="true" strokeweight=".249212pt" strokecolor="#000000">
              <v:stroke dashstyle="solid"/>
            </v:line>
            <v:line style="position:absolute" from="7097,1617" to="7097,1477" stroked="true" strokeweight=".249137pt" strokecolor="#000000">
              <v:stroke dashstyle="solid"/>
            </v:line>
            <v:line style="position:absolute" from="7097,1492" to="7122,1492" stroked="true" strokeweight=".249212pt" strokecolor="#000000">
              <v:stroke dashstyle="solid"/>
            </v:line>
            <w10:wrap type="topAndBottom"/>
          </v:group>
        </w:pict>
      </w:r>
      <w:r>
        <w:rPr/>
        <w:drawing>
          <wp:anchor distT="0" distB="0" distL="0" distR="0" allowOverlap="1" layoutInCell="1" locked="0" behindDoc="0" simplePos="0" relativeHeight="295">
            <wp:simplePos x="0" y="0"/>
            <wp:positionH relativeFrom="page">
              <wp:posOffset>4837986</wp:posOffset>
            </wp:positionH>
            <wp:positionV relativeFrom="paragraph">
              <wp:posOffset>945962</wp:posOffset>
            </wp:positionV>
            <wp:extent cx="917128" cy="66675"/>
            <wp:effectExtent l="0" t="0" r="0" b="0"/>
            <wp:wrapTopAndBottom/>
            <wp:docPr id="47" name="image116.png"/>
            <wp:cNvGraphicFramePr>
              <a:graphicFrameLocks noChangeAspect="1"/>
            </wp:cNvGraphicFramePr>
            <a:graphic>
              <a:graphicData uri="http://schemas.openxmlformats.org/drawingml/2006/picture">
                <pic:pic>
                  <pic:nvPicPr>
                    <pic:cNvPr id="48" name="image116.png"/>
                    <pic:cNvPicPr/>
                  </pic:nvPicPr>
                  <pic:blipFill>
                    <a:blip r:embed="rId125" cstate="print"/>
                    <a:stretch>
                      <a:fillRect/>
                    </a:stretch>
                  </pic:blipFill>
                  <pic:spPr>
                    <a:xfrm>
                      <a:off x="0" y="0"/>
                      <a:ext cx="917128" cy="66675"/>
                    </a:xfrm>
                    <a:prstGeom prst="rect">
                      <a:avLst/>
                    </a:prstGeom>
                  </pic:spPr>
                </pic:pic>
              </a:graphicData>
            </a:graphic>
          </wp:anchor>
        </w:drawing>
      </w:r>
      <w:r>
        <w:rPr/>
        <w:pict>
          <v:group style="position:absolute;margin-left:155.950089pt;margin-top:94.980247pt;width:18.5pt;height:3.75pt;mso-position-horizontal-relative:page;mso-position-vertical-relative:paragraph;z-index:-251355136;mso-wrap-distance-left:0;mso-wrap-distance-right:0" coordorigin="3119,1900" coordsize="370,75">
            <v:line style="position:absolute" from="3261,1937" to="3266,1937" stroked="true" strokeweight="3.490641pt" strokecolor="#000000">
              <v:stroke dashstyle="solid"/>
            </v:line>
            <v:shape style="position:absolute;left:3263;top:1902;width:81;height:70" coordorigin="3264,1902" coordsize="81,70" path="m3344,1902l3344,1972,3264,1902e" filled="false" stroked="true" strokeweight=".249179pt" strokecolor="#000000">
              <v:path arrowok="t"/>
              <v:stroke dashstyle="solid"/>
            </v:shape>
            <v:line style="position:absolute" from="3264,1942" to="3119,1942" stroked="true" strokeweight=".249212pt" strokecolor="#000000">
              <v:stroke dashstyle="solid"/>
            </v:line>
            <v:line style="position:absolute" from="3488,1942" to="3344,1942" stroked="true" strokeweight=".249212pt" strokecolor="#000000">
              <v:stroke dashstyle="solid"/>
            </v:line>
            <w10:wrap type="topAndBottom"/>
          </v:group>
        </w:pict>
      </w:r>
      <w:r>
        <w:rPr/>
        <w:drawing>
          <wp:anchor distT="0" distB="0" distL="0" distR="0" allowOverlap="1" layoutInCell="1" locked="0" behindDoc="0" simplePos="0" relativeHeight="297">
            <wp:simplePos x="0" y="0"/>
            <wp:positionH relativeFrom="page">
              <wp:posOffset>2428910</wp:posOffset>
            </wp:positionH>
            <wp:positionV relativeFrom="paragraph">
              <wp:posOffset>1184083</wp:posOffset>
            </wp:positionV>
            <wp:extent cx="815760" cy="62674"/>
            <wp:effectExtent l="0" t="0" r="0" b="0"/>
            <wp:wrapTopAndBottom/>
            <wp:docPr id="49" name="image117.png"/>
            <wp:cNvGraphicFramePr>
              <a:graphicFrameLocks noChangeAspect="1"/>
            </wp:cNvGraphicFramePr>
            <a:graphic>
              <a:graphicData uri="http://schemas.openxmlformats.org/drawingml/2006/picture">
                <pic:pic>
                  <pic:nvPicPr>
                    <pic:cNvPr id="50" name="image117.png"/>
                    <pic:cNvPicPr/>
                  </pic:nvPicPr>
                  <pic:blipFill>
                    <a:blip r:embed="rId126" cstate="print"/>
                    <a:stretch>
                      <a:fillRect/>
                    </a:stretch>
                  </pic:blipFill>
                  <pic:spPr>
                    <a:xfrm>
                      <a:off x="0" y="0"/>
                      <a:ext cx="815760" cy="62674"/>
                    </a:xfrm>
                    <a:prstGeom prst="rect">
                      <a:avLst/>
                    </a:prstGeom>
                  </pic:spPr>
                </pic:pic>
              </a:graphicData>
            </a:graphic>
          </wp:anchor>
        </w:drawing>
      </w:r>
      <w:r>
        <w:rPr/>
        <w:pict>
          <v:group style="position:absolute;margin-left:345.394836pt;margin-top:95.229576pt;width:18.25pt;height:3.5pt;mso-position-horizontal-relative:page;mso-position-vertical-relative:paragraph;z-index:-251353088;mso-wrap-distance-left:0;mso-wrap-distance-right:0" coordorigin="6908,1905" coordsize="365,70">
            <v:line style="position:absolute" from="7022,1942" to="6908,1942" stroked="true" strokeweight=".249212pt" strokecolor="#000000">
              <v:stroke dashstyle="solid"/>
            </v:line>
            <v:rect style="position:absolute;left:7022;top:1907;width:136;height:65" filled="false" stroked="true" strokeweight=".249198pt" strokecolor="#000000">
              <v:stroke dashstyle="solid"/>
            </v:rect>
            <v:shape style="position:absolute;left:7022;top:1907;width:136;height:65" coordorigin="7022,1907" coordsize="136,65" path="m7022,1907l7158,1942,7022,1972e" filled="false" stroked="true" strokeweight=".249198pt" strokecolor="#000000">
              <v:path arrowok="t"/>
              <v:stroke dashstyle="solid"/>
            </v:shape>
            <v:line style="position:absolute" from="7272,1942" to="7158,1942" stroked="true" strokeweight=".249212pt" strokecolor="#000000">
              <v:stroke dashstyle="solid"/>
            </v:line>
            <w10:wrap type="topAndBottom"/>
          </v:group>
        </w:pict>
      </w:r>
      <w:r>
        <w:rPr/>
        <w:drawing>
          <wp:anchor distT="0" distB="0" distL="0" distR="0" allowOverlap="1" layoutInCell="1" locked="0" behindDoc="0" simplePos="0" relativeHeight="299">
            <wp:simplePos x="0" y="0"/>
            <wp:positionH relativeFrom="page">
              <wp:posOffset>4834820</wp:posOffset>
            </wp:positionH>
            <wp:positionV relativeFrom="paragraph">
              <wp:posOffset>1184083</wp:posOffset>
            </wp:positionV>
            <wp:extent cx="1167871" cy="62674"/>
            <wp:effectExtent l="0" t="0" r="0" b="0"/>
            <wp:wrapTopAndBottom/>
            <wp:docPr id="51" name="image118.png"/>
            <wp:cNvGraphicFramePr>
              <a:graphicFrameLocks noChangeAspect="1"/>
            </wp:cNvGraphicFramePr>
            <a:graphic>
              <a:graphicData uri="http://schemas.openxmlformats.org/drawingml/2006/picture">
                <pic:pic>
                  <pic:nvPicPr>
                    <pic:cNvPr id="52" name="image118.png"/>
                    <pic:cNvPicPr/>
                  </pic:nvPicPr>
                  <pic:blipFill>
                    <a:blip r:embed="rId127" cstate="print"/>
                    <a:stretch>
                      <a:fillRect/>
                    </a:stretch>
                  </pic:blipFill>
                  <pic:spPr>
                    <a:xfrm>
                      <a:off x="0" y="0"/>
                      <a:ext cx="1167871" cy="62674"/>
                    </a:xfrm>
                    <a:prstGeom prst="rect">
                      <a:avLst/>
                    </a:prstGeom>
                  </pic:spPr>
                </pic:pic>
              </a:graphicData>
            </a:graphic>
          </wp:anchor>
        </w:drawing>
      </w:r>
      <w:r>
        <w:rPr/>
        <w:pict>
          <v:group style="position:absolute;margin-left:157.320023pt;margin-top:113.729973pt;width:10pt;height:9.75pt;mso-position-horizontal-relative:page;mso-position-vertical-relative:paragraph;z-index:-251351040;mso-wrap-distance-left:0;mso-wrap-distance-right:0" coordorigin="3146,2275" coordsize="200,195">
            <v:line style="position:absolute" from="3303,2417" to="3254,2467" stroked="true" strokeweight=".249174pt" strokecolor="#000000">
              <v:stroke dashstyle="solid"/>
            </v:line>
            <v:line style="position:absolute" from="3149,2277" to="3149,2347" stroked="true" strokeweight=".249137pt" strokecolor="#000000">
              <v:stroke dashstyle="solid"/>
            </v:line>
            <v:line style="position:absolute" from="3149,2317" to="3278,2442" stroked="true" strokeweight=".249176pt" strokecolor="#000000">
              <v:stroke dashstyle="solid"/>
            </v:line>
            <v:line style="position:absolute" from="3344,2277" to="3344,2347" stroked="true" strokeweight=".249137pt" strokecolor="#000000">
              <v:stroke dashstyle="solid"/>
            </v:line>
            <v:line style="position:absolute" from="3264,2317" to="3344,2317" stroked="true" strokeweight=".249212pt" strokecolor="#000000">
              <v:stroke dashstyle="solid"/>
            </v:line>
            <v:shape style="position:absolute;left:3148;top:2277;width:115;height:40" coordorigin="3149,2277" coordsize="115,40" path="m3149,2277l3149,2317,3264,2317e" filled="false" stroked="true" strokeweight=".249204pt" strokecolor="#000000">
              <v:path arrowok="t"/>
              <v:stroke dashstyle="solid"/>
            </v:shape>
            <w10:wrap type="topAndBottom"/>
          </v:group>
        </w:pict>
      </w:r>
      <w:r>
        <w:rPr/>
        <w:drawing>
          <wp:anchor distT="0" distB="0" distL="0" distR="0" allowOverlap="1" layoutInCell="1" locked="0" behindDoc="0" simplePos="0" relativeHeight="301">
            <wp:simplePos x="0" y="0"/>
            <wp:positionH relativeFrom="page">
              <wp:posOffset>2435229</wp:posOffset>
            </wp:positionH>
            <wp:positionV relativeFrom="paragraph">
              <wp:posOffset>1434554</wp:posOffset>
            </wp:positionV>
            <wp:extent cx="239619" cy="51339"/>
            <wp:effectExtent l="0" t="0" r="0" b="0"/>
            <wp:wrapTopAndBottom/>
            <wp:docPr id="53" name="image119.png"/>
            <wp:cNvGraphicFramePr>
              <a:graphicFrameLocks noChangeAspect="1"/>
            </wp:cNvGraphicFramePr>
            <a:graphic>
              <a:graphicData uri="http://schemas.openxmlformats.org/drawingml/2006/picture">
                <pic:pic>
                  <pic:nvPicPr>
                    <pic:cNvPr id="54" name="image119.png"/>
                    <pic:cNvPicPr/>
                  </pic:nvPicPr>
                  <pic:blipFill>
                    <a:blip r:embed="rId128" cstate="print"/>
                    <a:stretch>
                      <a:fillRect/>
                    </a:stretch>
                  </pic:blipFill>
                  <pic:spPr>
                    <a:xfrm>
                      <a:off x="0" y="0"/>
                      <a:ext cx="239619" cy="51339"/>
                    </a:xfrm>
                    <a:prstGeom prst="rect">
                      <a:avLst/>
                    </a:prstGeom>
                  </pic:spPr>
                </pic:pic>
              </a:graphicData>
            </a:graphic>
          </wp:anchor>
        </w:drawing>
      </w:r>
    </w:p>
    <w:p>
      <w:pPr>
        <w:pStyle w:val="BodyText"/>
        <w:spacing w:before="8"/>
        <w:rPr>
          <w:sz w:val="9"/>
        </w:rPr>
      </w:pPr>
    </w:p>
    <w:p>
      <w:pPr>
        <w:pStyle w:val="BodyText"/>
        <w:spacing w:before="2"/>
        <w:rPr>
          <w:sz w:val="9"/>
        </w:rPr>
      </w:pPr>
    </w:p>
    <w:p>
      <w:pPr>
        <w:pStyle w:val="BodyText"/>
        <w:spacing w:before="1"/>
        <w:rPr>
          <w:sz w:val="8"/>
        </w:rPr>
      </w:pPr>
    </w:p>
    <w:p>
      <w:pPr>
        <w:pStyle w:val="BodyText"/>
        <w:spacing w:before="5"/>
        <w:rPr>
          <w:sz w:val="8"/>
        </w:rPr>
      </w:pPr>
    </w:p>
    <w:p>
      <w:pPr>
        <w:pStyle w:val="BodyText"/>
        <w:rPr>
          <w:sz w:val="16"/>
        </w:rPr>
      </w:pPr>
    </w:p>
    <w:p>
      <w:pPr>
        <w:spacing w:before="138"/>
        <w:ind w:left="1181" w:right="1355" w:firstLine="0"/>
        <w:jc w:val="center"/>
        <w:rPr>
          <w:b/>
          <w:sz w:val="18"/>
        </w:rPr>
      </w:pPr>
      <w:r>
        <w:rPr>
          <w:b/>
          <w:sz w:val="18"/>
        </w:rPr>
        <w:t>Figura 3.1 Esquema de red con contador general</w:t>
      </w:r>
    </w:p>
    <w:p>
      <w:pPr>
        <w:pStyle w:val="BodyText"/>
        <w:spacing w:before="1"/>
        <w:rPr>
          <w:b/>
        </w:rPr>
      </w:pPr>
    </w:p>
    <w:p>
      <w:pPr>
        <w:pStyle w:val="ListParagraph"/>
        <w:numPr>
          <w:ilvl w:val="0"/>
          <w:numId w:val="158"/>
        </w:numPr>
        <w:tabs>
          <w:tab w:pos="1126" w:val="left" w:leader="none"/>
        </w:tabs>
        <w:spacing w:line="240" w:lineRule="auto" w:before="0" w:after="0"/>
        <w:ind w:left="1126" w:right="393" w:hanging="454"/>
        <w:jc w:val="both"/>
        <w:rPr>
          <w:sz w:val="20"/>
        </w:rPr>
      </w:pPr>
      <w:r>
        <w:rPr/>
        <w:pict>
          <v:group style="position:absolute;margin-left:139.75pt;margin-top:37.619888pt;width:329.15pt;height:183.15pt;mso-position-horizontal-relative:page;mso-position-vertical-relative:paragraph;z-index:-251348992;mso-wrap-distance-left:0;mso-wrap-distance-right:0" coordorigin="2795,752" coordsize="6583,3663">
            <v:shape style="position:absolute;left:2795;top:752;width:6583;height:3633" type="#_x0000_t75" stroked="false">
              <v:imagedata r:id="rId129" o:title=""/>
            </v:shape>
            <v:shape style="position:absolute;left:3019;top:4294;width:370;height:121" type="#_x0000_t75" stroked="false">
              <v:imagedata r:id="rId130" o:title=""/>
            </v:shape>
            <v:line style="position:absolute" from="7174,4357" to="7034,4357" stroked="true" strokeweight=".249806pt" strokecolor="#000000">
              <v:stroke dashstyle="solid"/>
            </v:line>
            <v:shape style="position:absolute;left:6949;top:4312;width:86;height:91" coordorigin="6949,4312" coordsize="86,91" path="m7034,4312l6949,4402,7034,4402e" filled="false" stroked="true" strokeweight=".249486pt" strokecolor="#000000">
              <v:path arrowok="t"/>
              <v:stroke dashstyle="solid"/>
            </v:shape>
            <v:shape style="position:absolute;left:6949;top:4312;width:86;height:86" coordorigin="6949,4312" coordsize="86,86" path="m7034,4312l6949,4312,6949,4397e" filled="false" stroked="true" strokeweight=".249504pt" strokecolor="#000000">
              <v:path arrowok="t"/>
              <v:stroke dashstyle="solid"/>
            </v:shape>
            <v:line style="position:absolute" from="6949,4357" to="6810,4357" stroked="true" strokeweight=".249806pt" strokecolor="#000000">
              <v:stroke dashstyle="solid"/>
            </v:line>
            <v:line style="position:absolute" from="7034,4312" to="7034,4397" stroked="true" strokeweight=".249201pt" strokecolor="#000000">
              <v:stroke dashstyle="solid"/>
            </v:line>
            <v:shape style="position:absolute;left:7520;top:4299;width:1379;height:85" type="#_x0000_t75" stroked="false">
              <v:imagedata r:id="rId131" o:title=""/>
            </v:shape>
            <w10:wrap type="topAndBottom"/>
          </v:group>
        </w:pict>
      </w:r>
      <w:r>
        <w:rPr/>
        <w:drawing>
          <wp:anchor distT="0" distB="0" distL="0" distR="0" allowOverlap="1" layoutInCell="1" locked="0" behindDoc="0" simplePos="0" relativeHeight="303">
            <wp:simplePos x="0" y="0"/>
            <wp:positionH relativeFrom="page">
              <wp:posOffset>1917590</wp:posOffset>
            </wp:positionH>
            <wp:positionV relativeFrom="paragraph">
              <wp:posOffset>2981598</wp:posOffset>
            </wp:positionV>
            <wp:extent cx="234602" cy="66675"/>
            <wp:effectExtent l="0" t="0" r="0" b="0"/>
            <wp:wrapTopAndBottom/>
            <wp:docPr id="55" name="image123.png"/>
            <wp:cNvGraphicFramePr>
              <a:graphicFrameLocks noChangeAspect="1"/>
            </wp:cNvGraphicFramePr>
            <a:graphic>
              <a:graphicData uri="http://schemas.openxmlformats.org/drawingml/2006/picture">
                <pic:pic>
                  <pic:nvPicPr>
                    <pic:cNvPr id="56" name="image123.png"/>
                    <pic:cNvPicPr/>
                  </pic:nvPicPr>
                  <pic:blipFill>
                    <a:blip r:embed="rId132" cstate="print"/>
                    <a:stretch>
                      <a:fillRect/>
                    </a:stretch>
                  </pic:blipFill>
                  <pic:spPr>
                    <a:xfrm>
                      <a:off x="0" y="0"/>
                      <a:ext cx="234602" cy="66675"/>
                    </a:xfrm>
                    <a:prstGeom prst="rect">
                      <a:avLst/>
                    </a:prstGeom>
                  </pic:spPr>
                </pic:pic>
              </a:graphicData>
            </a:graphic>
          </wp:anchor>
        </w:drawing>
      </w:r>
      <w:r>
        <w:rPr/>
        <w:drawing>
          <wp:anchor distT="0" distB="0" distL="0" distR="0" allowOverlap="1" layoutInCell="1" locked="0" behindDoc="0" simplePos="0" relativeHeight="304">
            <wp:simplePos x="0" y="0"/>
            <wp:positionH relativeFrom="page">
              <wp:posOffset>2372369</wp:posOffset>
            </wp:positionH>
            <wp:positionV relativeFrom="paragraph">
              <wp:posOffset>2968902</wp:posOffset>
            </wp:positionV>
            <wp:extent cx="1786926" cy="53435"/>
            <wp:effectExtent l="0" t="0" r="0" b="0"/>
            <wp:wrapTopAndBottom/>
            <wp:docPr id="57" name="image124.png"/>
            <wp:cNvGraphicFramePr>
              <a:graphicFrameLocks noChangeAspect="1"/>
            </wp:cNvGraphicFramePr>
            <a:graphic>
              <a:graphicData uri="http://schemas.openxmlformats.org/drawingml/2006/picture">
                <pic:pic>
                  <pic:nvPicPr>
                    <pic:cNvPr id="58" name="image124.png"/>
                    <pic:cNvPicPr/>
                  </pic:nvPicPr>
                  <pic:blipFill>
                    <a:blip r:embed="rId133" cstate="print"/>
                    <a:stretch>
                      <a:fillRect/>
                    </a:stretch>
                  </pic:blipFill>
                  <pic:spPr>
                    <a:xfrm>
                      <a:off x="0" y="0"/>
                      <a:ext cx="1786926" cy="53435"/>
                    </a:xfrm>
                    <a:prstGeom prst="rect">
                      <a:avLst/>
                    </a:prstGeom>
                  </pic:spPr>
                </pic:pic>
              </a:graphicData>
            </a:graphic>
          </wp:anchor>
        </w:drawing>
      </w:r>
      <w:r>
        <w:rPr/>
        <w:pict>
          <v:group style="position:absolute;margin-left:343.341827pt;margin-top:230.247864pt;width:11pt;height:10.8pt;mso-position-horizontal-relative:page;mso-position-vertical-relative:paragraph;z-index:-251345920;mso-wrap-distance-left:0;mso-wrap-distance-right:0" coordorigin="6867,4605" coordsize="220,216">
            <v:shape style="position:absolute;left:6869;top:4607;width:215;height:211" coordorigin="6869,4607" coordsize="215,211" path="m7084,4713l7064,4653,7009,4613,6979,4607,6944,4613,6919,4628,6894,4653,6879,4678,6869,4713,6879,4748,6894,4778,6919,4798,6944,4813,6979,4818,7009,4813,7044,4798,7064,4778,7079,4748,7084,4713e" filled="false" stroked="true" strokeweight=".24951pt" strokecolor="#000000">
              <v:path arrowok="t"/>
              <v:stroke dashstyle="solid"/>
            </v:shape>
            <v:shape style="position:absolute;left:6979;top:4712;width:106;height:55" coordorigin="6979,4713" coordsize="106,55" path="m6979,4713l6984,4733,6994,4753,7009,4763,7034,4768,7049,4763,7069,4753,7079,4733,7084,4713e" filled="false" stroked="true" strokeweight=".249676pt" strokecolor="#000000">
              <v:path arrowok="t"/>
              <v:stroke dashstyle="solid"/>
            </v:shape>
            <v:shape style="position:absolute;left:6869;top:4662;width:110;height:50" coordorigin="6869,4663" coordsize="110,50" path="m6979,4713l6974,4693,6964,4678,6944,4668,6924,4663,6904,4668,6889,4678,6874,4693,6869,4713e" filled="false" stroked="true" strokeweight=".249702pt" strokecolor="#000000">
              <v:path arrowok="t"/>
              <v:stroke dashstyle="solid"/>
            </v:shape>
            <w10:wrap type="topAndBottom"/>
          </v:group>
        </w:pict>
      </w:r>
      <w:r>
        <w:rPr/>
        <w:drawing>
          <wp:anchor distT="0" distB="0" distL="0" distR="0" allowOverlap="1" layoutInCell="1" locked="0" behindDoc="0" simplePos="0" relativeHeight="306">
            <wp:simplePos x="0" y="0"/>
            <wp:positionH relativeFrom="page">
              <wp:posOffset>4775743</wp:posOffset>
            </wp:positionH>
            <wp:positionV relativeFrom="paragraph">
              <wp:posOffset>2956205</wp:posOffset>
            </wp:positionV>
            <wp:extent cx="788273" cy="66675"/>
            <wp:effectExtent l="0" t="0" r="0" b="0"/>
            <wp:wrapTopAndBottom/>
            <wp:docPr id="59" name="image125.png"/>
            <wp:cNvGraphicFramePr>
              <a:graphicFrameLocks noChangeAspect="1"/>
            </wp:cNvGraphicFramePr>
            <a:graphic>
              <a:graphicData uri="http://schemas.openxmlformats.org/drawingml/2006/picture">
                <pic:pic>
                  <pic:nvPicPr>
                    <pic:cNvPr id="60" name="image125.png"/>
                    <pic:cNvPicPr/>
                  </pic:nvPicPr>
                  <pic:blipFill>
                    <a:blip r:embed="rId134" cstate="print"/>
                    <a:stretch>
                      <a:fillRect/>
                    </a:stretch>
                  </pic:blipFill>
                  <pic:spPr>
                    <a:xfrm>
                      <a:off x="0" y="0"/>
                      <a:ext cx="788273" cy="66675"/>
                    </a:xfrm>
                    <a:prstGeom prst="rect">
                      <a:avLst/>
                    </a:prstGeom>
                  </pic:spPr>
                </pic:pic>
              </a:graphicData>
            </a:graphic>
          </wp:anchor>
        </w:drawing>
      </w:r>
      <w:r>
        <w:rPr/>
        <w:pict>
          <v:group style="position:absolute;margin-left:150.991394pt;margin-top:253.565979pt;width:18.5pt;height:3.75pt;mso-position-horizontal-relative:page;mso-position-vertical-relative:paragraph;z-index:-251343872;mso-wrap-distance-left:0;mso-wrap-distance-right:0" coordorigin="3020,5071" coordsize="370,75">
            <v:shape style="position:absolute;left:3209;top:5098;width:6;height:15" coordorigin="3209,5099" coordsize="6,15" path="m3209,5099l3209,5114,3215,5104,3209,5099xe" filled="true" fillcolor="#000000" stroked="false">
              <v:path arrowok="t"/>
              <v:fill type="solid"/>
            </v:shape>
            <v:shape style="position:absolute;left:3209;top:5098;width:6;height:15" coordorigin="3209,5099" coordsize="6,15" path="m3215,5104l3209,5099,3209,5114,3215,5104xe" filled="false" stroked="true" strokeweight=".249272pt" strokecolor="#000000">
              <v:path arrowok="t"/>
              <v:stroke dashstyle="solid"/>
            </v:shape>
            <v:shape style="position:absolute;left:3204;top:5093;width:5;height:20" coordorigin="3204,5094" coordsize="5,20" path="m3204,5094l3209,5114,3209,5099,3204,5094xe" filled="true" fillcolor="#000000" stroked="false">
              <v:path arrowok="t"/>
              <v:fill type="solid"/>
            </v:shape>
            <v:shape style="position:absolute;left:3204;top:5093;width:5;height:20" coordorigin="3204,5094" coordsize="5,20" path="m3204,5094l3209,5114,3209,5099,3204,5094xe" filled="false" stroked="true" strokeweight=".249236pt" strokecolor="#000000">
              <v:path arrowok="t"/>
              <v:stroke dashstyle="solid"/>
            </v:shape>
            <v:shape style="position:absolute;left:3204;top:5093;width:5;height:25" coordorigin="3204,5094" coordsize="5,25" path="m3204,5094l3204,5119,3209,5114,3204,5094xe" filled="true" fillcolor="#000000" stroked="false">
              <v:path arrowok="t"/>
              <v:fill type="solid"/>
            </v:shape>
            <v:shape style="position:absolute;left:3204;top:5093;width:5;height:25" coordorigin="3204,5094" coordsize="5,25" path="m3209,5114l3204,5094,3204,5119,3209,5114xe" filled="false" stroked="true" strokeweight=".249224pt" strokecolor="#000000">
              <v:path arrowok="t"/>
              <v:stroke dashstyle="solid"/>
            </v:shape>
            <v:shape style="position:absolute;left:3194;top:5093;width:10;height:25" coordorigin="3194,5094" coordsize="10,25" path="m3204,5094l3194,5099,3204,5119,3204,5094xe" filled="true" fillcolor="#000000" stroked="false">
              <v:path arrowok="t"/>
              <v:fill type="solid"/>
            </v:shape>
            <v:shape style="position:absolute;left:3194;top:5093;width:10;height:25" coordorigin="3194,5094" coordsize="10,25" path="m3194,5099l3204,5119,3204,5094,3194,5099xe" filled="false" stroked="true" strokeweight=".249284pt" strokecolor="#000000">
              <v:path arrowok="t"/>
              <v:stroke dashstyle="solid"/>
            </v:shape>
            <v:shape style="position:absolute;left:3194;top:5098;width:10;height:20" coordorigin="3194,5099" coordsize="10,20" path="m3194,5099l3194,5114,3204,5119,3194,5099xe" filled="true" fillcolor="#000000" stroked="false">
              <v:path arrowok="t"/>
              <v:fill type="solid"/>
            </v:shape>
            <v:shape style="position:absolute;left:3194;top:5098;width:10;height:20" coordorigin="3194,5099" coordsize="10,20" path="m3204,5119l3194,5099,3194,5114,3204,5119xe" filled="false" stroked="true" strokeweight=".249321pt" strokecolor="#000000">
              <v:path arrowok="t"/>
              <v:stroke dashstyle="solid"/>
            </v:shape>
            <v:shape style="position:absolute;left:3189;top:5098;width:5;height:15" coordorigin="3189,5099" coordsize="5,15" path="m3194,5099l3189,5104,3194,5114,3194,5099xe" filled="true" fillcolor="#000000" stroked="false">
              <v:path arrowok="t"/>
              <v:fill type="solid"/>
            </v:shape>
            <v:shape style="position:absolute;left:3189;top:5098;width:5;height:15" coordorigin="3189,5099" coordsize="5,15" path="m3189,5104l3194,5114,3194,5099,3189,5104xe" filled="false" stroked="true" strokeweight=".249261pt" strokecolor="#000000">
              <v:path arrowok="t"/>
              <v:stroke dashstyle="solid"/>
            </v:shape>
            <v:line style="position:absolute" from="3164,5104" to="3020,5104" stroked="true" strokeweight=".249806pt" strokecolor="#000000">
              <v:stroke dashstyle="solid"/>
            </v:line>
            <v:shape style="position:absolute;left:3164;top:5073;width:81;height:70" coordorigin="3164,5074" coordsize="81,70" path="m3164,5074l3245,5144,3245,5074e" filled="false" stroked="true" strokeweight=".249545pt" strokecolor="#000000">
              <v:path arrowok="t"/>
              <v:stroke dashstyle="solid"/>
            </v:shape>
            <v:line style="position:absolute" from="3162,5109" to="3167,5109" stroked="true" strokeweight="3.49897pt" strokecolor="#000000">
              <v:stroke dashstyle="solid"/>
            </v:line>
            <v:line style="position:absolute" from="3164,5144" to="3245,5074" stroked="true" strokeweight=".249545pt" strokecolor="#000000">
              <v:stroke dashstyle="solid"/>
            </v:line>
            <v:shape style="position:absolute;left:3189;top:5093;width:26;height:25" coordorigin="3189,5094" coordsize="26,25" path="m3215,5104l3209,5099,3204,5094,3194,5099,3189,5104,3194,5114,3204,5119,3209,5114,3215,5104e" filled="false" stroked="true" strokeweight=".249509pt" strokecolor="#000000">
              <v:path arrowok="t"/>
              <v:stroke dashstyle="solid"/>
            </v:shape>
            <v:line style="position:absolute" from="3389,5104" to="3245,5104" stroked="true" strokeweight=".249806pt" strokecolor="#000000">
              <v:stroke dashstyle="solid"/>
            </v:line>
            <w10:wrap type="topAndBottom"/>
          </v:group>
        </w:pict>
      </w:r>
      <w:r>
        <w:rPr/>
        <w:drawing>
          <wp:anchor distT="0" distB="0" distL="0" distR="0" allowOverlap="1" layoutInCell="1" locked="0" behindDoc="0" simplePos="0" relativeHeight="308">
            <wp:simplePos x="0" y="0"/>
            <wp:positionH relativeFrom="page">
              <wp:posOffset>2372369</wp:posOffset>
            </wp:positionH>
            <wp:positionV relativeFrom="paragraph">
              <wp:posOffset>3204100</wp:posOffset>
            </wp:positionV>
            <wp:extent cx="1345592" cy="56959"/>
            <wp:effectExtent l="0" t="0" r="0" b="0"/>
            <wp:wrapTopAndBottom/>
            <wp:docPr id="61" name="image126.png"/>
            <wp:cNvGraphicFramePr>
              <a:graphicFrameLocks noChangeAspect="1"/>
            </wp:cNvGraphicFramePr>
            <a:graphic>
              <a:graphicData uri="http://schemas.openxmlformats.org/drawingml/2006/picture">
                <pic:pic>
                  <pic:nvPicPr>
                    <pic:cNvPr id="62" name="image126.png"/>
                    <pic:cNvPicPr/>
                  </pic:nvPicPr>
                  <pic:blipFill>
                    <a:blip r:embed="rId135" cstate="print"/>
                    <a:stretch>
                      <a:fillRect/>
                    </a:stretch>
                  </pic:blipFill>
                  <pic:spPr>
                    <a:xfrm>
                      <a:off x="0" y="0"/>
                      <a:ext cx="1345592" cy="56959"/>
                    </a:xfrm>
                    <a:prstGeom prst="rect">
                      <a:avLst/>
                    </a:prstGeom>
                  </pic:spPr>
                </pic:pic>
              </a:graphicData>
            </a:graphic>
          </wp:anchor>
        </w:drawing>
      </w:r>
      <w:r>
        <w:rPr/>
        <w:pict>
          <v:group style="position:absolute;margin-left:340.484802pt;margin-top:249.792038pt;width:18.25pt;height:5.55pt;mso-position-horizontal-relative:page;mso-position-vertical-relative:paragraph;z-index:-251341824;mso-wrap-distance-left:0;mso-wrap-distance-right:0" coordorigin="6810,4996" coordsize="365,111">
            <v:line style="position:absolute" from="6989,5104" to="6810,5104" stroked="true" strokeweight=".249806pt" strokecolor="#000000">
              <v:stroke dashstyle="solid"/>
            </v:line>
            <v:line style="position:absolute" from="7174,5104" to="6989,5104" stroked="true" strokeweight=".249806pt" strokecolor="#000000">
              <v:stroke dashstyle="solid"/>
            </v:line>
            <v:line style="position:absolute" from="7019,5028" to="7019,5053" stroked="true" strokeweight=".249201pt" strokecolor="#000000">
              <v:stroke dashstyle="solid"/>
            </v:line>
            <v:line style="position:absolute" from="6964,5053" to="6964,5028" stroked="true" strokeweight=".249201pt" strokecolor="#000000">
              <v:stroke dashstyle="solid"/>
            </v:line>
            <v:line style="position:absolute" from="6989,5104" to="6989,5053" stroked="true" strokeweight=".249201pt" strokecolor="#000000">
              <v:stroke dashstyle="solid"/>
            </v:line>
            <v:line style="position:absolute" from="7019,5053" to="6964,5053" stroked="true" strokeweight=".249806pt" strokecolor="#000000">
              <v:stroke dashstyle="solid"/>
            </v:line>
            <v:shape style="position:absolute;left:6964;top:4998;width:55;height:30" coordorigin="6964,4998" coordsize="55,30" path="m7019,5028l7014,5013,7004,5003,6989,4998,6979,5003,6969,5013,6964,5028e" filled="false" stroked="true" strokeweight=".249667pt" strokecolor="#000000">
              <v:path arrowok="t"/>
              <v:stroke dashstyle="solid"/>
            </v:shape>
            <w10:wrap type="topAndBottom"/>
          </v:group>
        </w:pict>
      </w:r>
      <w:r>
        <w:rPr/>
        <w:drawing>
          <wp:anchor distT="0" distB="0" distL="0" distR="0" allowOverlap="1" layoutInCell="1" locked="0" behindDoc="0" simplePos="0" relativeHeight="310">
            <wp:simplePos x="0" y="0"/>
            <wp:positionH relativeFrom="page">
              <wp:posOffset>4775743</wp:posOffset>
            </wp:positionH>
            <wp:positionV relativeFrom="paragraph">
              <wp:posOffset>3204100</wp:posOffset>
            </wp:positionV>
            <wp:extent cx="848835" cy="56959"/>
            <wp:effectExtent l="0" t="0" r="0" b="0"/>
            <wp:wrapTopAndBottom/>
            <wp:docPr id="63" name="image127.png"/>
            <wp:cNvGraphicFramePr>
              <a:graphicFrameLocks noChangeAspect="1"/>
            </wp:cNvGraphicFramePr>
            <a:graphic>
              <a:graphicData uri="http://schemas.openxmlformats.org/drawingml/2006/picture">
                <pic:pic>
                  <pic:nvPicPr>
                    <pic:cNvPr id="64" name="image127.png"/>
                    <pic:cNvPicPr/>
                  </pic:nvPicPr>
                  <pic:blipFill>
                    <a:blip r:embed="rId136" cstate="print"/>
                    <a:stretch>
                      <a:fillRect/>
                    </a:stretch>
                  </pic:blipFill>
                  <pic:spPr>
                    <a:xfrm>
                      <a:off x="0" y="0"/>
                      <a:ext cx="848835" cy="56959"/>
                    </a:xfrm>
                    <a:prstGeom prst="rect">
                      <a:avLst/>
                    </a:prstGeom>
                  </pic:spPr>
                </pic:pic>
              </a:graphicData>
            </a:graphic>
          </wp:anchor>
        </w:drawing>
      </w:r>
      <w:r>
        <w:rPr/>
        <w:pict>
          <v:group style="position:absolute;margin-left:151.490036pt;margin-top:273.085114pt;width:16.25pt;height:2pt;mso-position-horizontal-relative:page;mso-position-vertical-relative:paragraph;z-index:-251339776;mso-wrap-distance-left:0;mso-wrap-distance-right:0" coordorigin="3030,5462" coordsize="325,40">
            <v:rect style="position:absolute;left:3314;top:5479;width:5;height:5" filled="false" stroked="true" strokeweight=".249502pt" strokecolor="#000000">
              <v:stroke dashstyle="solid"/>
            </v:rect>
            <v:shape style="position:absolute;left:3294;top:5479;width:5;height:5" coordorigin="3294,5479" coordsize="5,5" path="m3299,5479l3294,5479,3294,5484,3299,5479e" filled="false" stroked="true" strokeweight=".249503pt" strokecolor="#000000">
              <v:path arrowok="t"/>
              <v:stroke dashstyle="solid"/>
            </v:shape>
            <v:rect style="position:absolute;left:3334;top:5479;width:5;height:5" filled="false" stroked="true" strokeweight=".249503pt" strokecolor="#000000">
              <v:stroke dashstyle="solid"/>
            </v:rect>
            <v:rect style="position:absolute;left:3269;top:5479;width:5;height:5" filled="false" stroked="true" strokeweight=".249503pt" strokecolor="#000000">
              <v:stroke dashstyle="solid"/>
            </v:rect>
            <v:rect style="position:absolute;left:3229;top:5479;width:5;height:5" filled="false" stroked="true" strokeweight=".249503pt" strokecolor="#000000">
              <v:stroke dashstyle="solid"/>
            </v:rect>
            <v:rect style="position:absolute;left:3184;top:5479;width:5;height:5" filled="false" stroked="true" strokeweight=".249503pt" strokecolor="#000000">
              <v:stroke dashstyle="solid"/>
            </v:rect>
            <v:rect style="position:absolute;left:3144;top:5479;width:5;height:5" filled="false" stroked="true" strokeweight=".249503pt" strokecolor="#000000">
              <v:stroke dashstyle="solid"/>
            </v:rect>
            <v:rect style="position:absolute;left:3099;top:5479;width:5;height:5" filled="false" stroked="true" strokeweight=".249503pt" strokecolor="#000000">
              <v:stroke dashstyle="solid"/>
            </v:rect>
            <v:shape style="position:absolute;left:3059;top:5479;width:5;height:5" coordorigin="3060,5479" coordsize="5,5" path="m3065,5479l3060,5479,3060,5484,3065,5479e" filled="false" stroked="true" strokeweight=".249503pt" strokecolor="#000000">
              <v:path arrowok="t"/>
              <v:stroke dashstyle="solid"/>
            </v:shape>
            <v:shape style="position:absolute;left:3209;top:5479;width:2;height:5" coordorigin="3209,5479" coordsize="0,5" path="m3209,5479l3209,5484,3209,5479e" filled="false" stroked="true" strokeweight=".249201pt" strokecolor="#000000">
              <v:path arrowok="t"/>
              <v:stroke dashstyle="solid"/>
            </v:shape>
            <v:shape style="position:absolute;left:3119;top:5479;width:5;height:5" coordorigin="3119,5479" coordsize="5,5" path="m3124,5479l3119,5479,3124,5484,3124,5479e" filled="false" stroked="true" strokeweight=".249503pt" strokecolor="#000000">
              <v:path arrowok="t"/>
              <v:stroke dashstyle="solid"/>
            </v:shape>
            <v:rect style="position:absolute;left:3034;top:5479;width:5;height:5" filled="false" stroked="true" strokeweight=".249503pt" strokecolor="#000000">
              <v:stroke dashstyle="solid"/>
            </v:rect>
            <v:rect style="position:absolute;left:3079;top:5479;width:5;height:5" filled="false" stroked="true" strokeweight=".249503pt" strokecolor="#000000">
              <v:stroke dashstyle="solid"/>
            </v:rect>
            <v:rect style="position:absolute;left:3164;top:5479;width:5;height:5" filled="false" stroked="true" strokeweight=".249503pt" strokecolor="#000000">
              <v:stroke dashstyle="solid"/>
            </v:rect>
            <v:rect style="position:absolute;left:3249;top:5479;width:5;height:5" filled="false" stroked="true" strokeweight=".249503pt" strokecolor="#000000">
              <v:stroke dashstyle="solid"/>
            </v:rect>
            <v:line style="position:absolute" from="3354,5464" to="3030,5464" stroked="true" strokeweight=".249806pt" strokecolor="#000000">
              <v:stroke dashstyle="solid"/>
            </v:line>
            <v:line style="position:absolute" from="3354,5499" to="3030,5499" stroked="true" strokeweight=".249806pt" strokecolor="#000000">
              <v:stroke dashstyle="solid"/>
            </v:line>
            <w10:wrap type="topAndBottom"/>
          </v:group>
        </w:pict>
      </w:r>
      <w:r>
        <w:rPr/>
        <w:drawing>
          <wp:anchor distT="0" distB="0" distL="0" distR="0" allowOverlap="1" layoutInCell="1" locked="0" behindDoc="0" simplePos="0" relativeHeight="312">
            <wp:simplePos x="0" y="0"/>
            <wp:positionH relativeFrom="page">
              <wp:posOffset>2366036</wp:posOffset>
            </wp:positionH>
            <wp:positionV relativeFrom="paragraph">
              <wp:posOffset>3433267</wp:posOffset>
            </wp:positionV>
            <wp:extent cx="1572576" cy="133350"/>
            <wp:effectExtent l="0" t="0" r="0" b="0"/>
            <wp:wrapTopAndBottom/>
            <wp:docPr id="65" name="image128.png"/>
            <wp:cNvGraphicFramePr>
              <a:graphicFrameLocks noChangeAspect="1"/>
            </wp:cNvGraphicFramePr>
            <a:graphic>
              <a:graphicData uri="http://schemas.openxmlformats.org/drawingml/2006/picture">
                <pic:pic>
                  <pic:nvPicPr>
                    <pic:cNvPr id="66" name="image128.png"/>
                    <pic:cNvPicPr/>
                  </pic:nvPicPr>
                  <pic:blipFill>
                    <a:blip r:embed="rId137" cstate="print"/>
                    <a:stretch>
                      <a:fillRect/>
                    </a:stretch>
                  </pic:blipFill>
                  <pic:spPr>
                    <a:xfrm>
                      <a:off x="0" y="0"/>
                      <a:ext cx="1572576" cy="133350"/>
                    </a:xfrm>
                    <a:prstGeom prst="rect">
                      <a:avLst/>
                    </a:prstGeom>
                  </pic:spPr>
                </pic:pic>
              </a:graphicData>
            </a:graphic>
          </wp:anchor>
        </w:drawing>
      </w:r>
      <w:r>
        <w:rPr/>
        <w:pict>
          <v:group style="position:absolute;margin-left:340.484802pt;margin-top:267.087006pt;width:22.2pt;height:9.8pt;mso-position-horizontal-relative:page;mso-position-vertical-relative:paragraph;z-index:-251337728;mso-wrap-distance-left:0;mso-wrap-distance-right:0" coordorigin="6810,5342" coordsize="444,196">
            <v:shape style="position:absolute;left:6998;top:5344;width:61;height:55" coordorigin="6999,5344" coordsize="61,55" path="m6999,5394l6999,5394,6999,5369,6999,5364,6999,5359,7004,5354,7009,5349,7014,5349,7014,5344,7019,5344,7024,5344,7029,5344,7034,5344,7039,5344,7044,5349,7049,5354,7054,5359,7054,5364,7054,5369,7059,5369,7059,5374,7059,5379,7059,5384,7059,5389,7059,5399e" filled="false" stroked="true" strokeweight=".249532pt" strokecolor="#000000">
              <v:path arrowok="t"/>
              <v:stroke dashstyle="solid"/>
            </v:shape>
            <v:line style="position:absolute" from="6999,5409" to="7024,5409" stroked="true" strokeweight=".249806pt" strokecolor="#000000">
              <v:stroke dashstyle="solid"/>
            </v:line>
            <v:line style="position:absolute" from="7254,5535" to="6810,5535" stroked="true" strokeweight=".249806pt" strokecolor="#000000">
              <v:stroke dashstyle="solid"/>
            </v:line>
            <v:line style="position:absolute" from="6999,5535" to="6999,5394" stroked="true" strokeweight=".249201pt" strokecolor="#000000">
              <v:stroke dashstyle="solid"/>
            </v:line>
            <v:line style="position:absolute" from="6999,5409" to="6979,5409" stroked="true" strokeweight=".249806pt" strokecolor="#000000">
              <v:stroke dashstyle="solid"/>
            </v:line>
            <w10:wrap type="topAndBottom"/>
          </v:group>
        </w:pict>
      </w:r>
      <w:r>
        <w:rPr/>
        <w:drawing>
          <wp:anchor distT="0" distB="0" distL="0" distR="0" allowOverlap="1" layoutInCell="1" locked="0" behindDoc="0" simplePos="0" relativeHeight="314">
            <wp:simplePos x="0" y="0"/>
            <wp:positionH relativeFrom="page">
              <wp:posOffset>4775743</wp:posOffset>
            </wp:positionH>
            <wp:positionV relativeFrom="paragraph">
              <wp:posOffset>3433267</wp:posOffset>
            </wp:positionV>
            <wp:extent cx="915209" cy="66675"/>
            <wp:effectExtent l="0" t="0" r="0" b="0"/>
            <wp:wrapTopAndBottom/>
            <wp:docPr id="67" name="image129.png"/>
            <wp:cNvGraphicFramePr>
              <a:graphicFrameLocks noChangeAspect="1"/>
            </wp:cNvGraphicFramePr>
            <a:graphic>
              <a:graphicData uri="http://schemas.openxmlformats.org/drawingml/2006/picture">
                <pic:pic>
                  <pic:nvPicPr>
                    <pic:cNvPr id="68" name="image129.png"/>
                    <pic:cNvPicPr/>
                  </pic:nvPicPr>
                  <pic:blipFill>
                    <a:blip r:embed="rId138" cstate="print"/>
                    <a:stretch>
                      <a:fillRect/>
                    </a:stretch>
                  </pic:blipFill>
                  <pic:spPr>
                    <a:xfrm>
                      <a:off x="0" y="0"/>
                      <a:ext cx="915209" cy="66675"/>
                    </a:xfrm>
                    <a:prstGeom prst="rect">
                      <a:avLst/>
                    </a:prstGeom>
                  </pic:spPr>
                </pic:pic>
              </a:graphicData>
            </a:graphic>
          </wp:anchor>
        </w:drawing>
      </w:r>
      <w:r>
        <w:rPr/>
        <w:pict>
          <v:group style="position:absolute;margin-left:150.991394pt;margin-top:290.880005pt;width:18.5pt;height:3.75pt;mso-position-horizontal-relative:page;mso-position-vertical-relative:paragraph;z-index:-251335680;mso-wrap-distance-left:0;mso-wrap-distance-right:0" coordorigin="3020,5818" coordsize="370,75">
            <v:line style="position:absolute" from="3162,5855" to="3167,5855" stroked="true" strokeweight="3.49897pt" strokecolor="#000000">
              <v:stroke dashstyle="solid"/>
            </v:line>
            <v:shape style="position:absolute;left:3164;top:5820;width:81;height:70" coordorigin="3164,5820" coordsize="81,70" path="m3245,5820l3245,5890,3164,5820e" filled="false" stroked="true" strokeweight=".249545pt" strokecolor="#000000">
              <v:path arrowok="t"/>
              <v:stroke dashstyle="solid"/>
            </v:shape>
            <v:line style="position:absolute" from="3164,5860" to="3020,5860" stroked="true" strokeweight=".249806pt" strokecolor="#000000">
              <v:stroke dashstyle="solid"/>
            </v:line>
            <v:line style="position:absolute" from="3389,5860" to="3245,5860" stroked="true" strokeweight=".249806pt" strokecolor="#000000">
              <v:stroke dashstyle="solid"/>
            </v:line>
            <w10:wrap type="topAndBottom"/>
          </v:group>
        </w:pict>
      </w:r>
      <w:r>
        <w:rPr/>
        <w:drawing>
          <wp:anchor distT="0" distB="0" distL="0" distR="0" allowOverlap="1" layoutInCell="1" locked="0" behindDoc="0" simplePos="0" relativeHeight="316">
            <wp:simplePos x="0" y="0"/>
            <wp:positionH relativeFrom="page">
              <wp:posOffset>2366037</wp:posOffset>
            </wp:positionH>
            <wp:positionV relativeFrom="paragraph">
              <wp:posOffset>3671957</wp:posOffset>
            </wp:positionV>
            <wp:extent cx="820260" cy="63150"/>
            <wp:effectExtent l="0" t="0" r="0" b="0"/>
            <wp:wrapTopAndBottom/>
            <wp:docPr id="69" name="image130.png"/>
            <wp:cNvGraphicFramePr>
              <a:graphicFrameLocks noChangeAspect="1"/>
            </wp:cNvGraphicFramePr>
            <a:graphic>
              <a:graphicData uri="http://schemas.openxmlformats.org/drawingml/2006/picture">
                <pic:pic>
                  <pic:nvPicPr>
                    <pic:cNvPr id="70" name="image130.png"/>
                    <pic:cNvPicPr/>
                  </pic:nvPicPr>
                  <pic:blipFill>
                    <a:blip r:embed="rId139" cstate="print"/>
                    <a:stretch>
                      <a:fillRect/>
                    </a:stretch>
                  </pic:blipFill>
                  <pic:spPr>
                    <a:xfrm>
                      <a:off x="0" y="0"/>
                      <a:ext cx="820260" cy="63150"/>
                    </a:xfrm>
                    <a:prstGeom prst="rect">
                      <a:avLst/>
                    </a:prstGeom>
                  </pic:spPr>
                </pic:pic>
              </a:graphicData>
            </a:graphic>
          </wp:anchor>
        </w:drawing>
      </w:r>
      <w:r>
        <w:rPr/>
        <w:pict>
          <v:group style="position:absolute;margin-left:340.484802pt;margin-top:291.129852pt;width:18.25pt;height:3.5pt;mso-position-horizontal-relative:page;mso-position-vertical-relative:paragraph;z-index:-251333632;mso-wrap-distance-left:0;mso-wrap-distance-right:0" coordorigin="6810,5823" coordsize="365,70">
            <v:line style="position:absolute" from="7174,5860" to="7059,5860" stroked="true" strokeweight=".249806pt" strokecolor="#000000">
              <v:stroke dashstyle="solid"/>
            </v:line>
            <v:line style="position:absolute" from="6924,5860" to="6810,5860" stroked="true" strokeweight=".249806pt" strokecolor="#000000">
              <v:stroke dashstyle="solid"/>
            </v:line>
            <v:shape style="position:absolute;left:6924;top:5825;width:136;height:65" coordorigin="6924,5825" coordsize="136,65" path="m6924,5890l7059,5860,6924,5825e" filled="false" stroked="true" strokeweight=".249693pt" strokecolor="#000000">
              <v:path arrowok="t"/>
              <v:stroke dashstyle="solid"/>
            </v:shape>
            <v:rect style="position:absolute;left:6924;top:5825;width:136;height:65" filled="false" stroked="true" strokeweight=".249693pt" strokecolor="#000000">
              <v:stroke dashstyle="solid"/>
            </v:rect>
            <w10:wrap type="topAndBottom"/>
          </v:group>
        </w:pict>
      </w:r>
      <w:r>
        <w:rPr/>
        <w:drawing>
          <wp:anchor distT="0" distB="0" distL="0" distR="0" allowOverlap="1" layoutInCell="1" locked="0" behindDoc="0" simplePos="0" relativeHeight="318">
            <wp:simplePos x="0" y="0"/>
            <wp:positionH relativeFrom="page">
              <wp:posOffset>4772578</wp:posOffset>
            </wp:positionH>
            <wp:positionV relativeFrom="paragraph">
              <wp:posOffset>3671957</wp:posOffset>
            </wp:positionV>
            <wp:extent cx="1174419" cy="63150"/>
            <wp:effectExtent l="0" t="0" r="0" b="0"/>
            <wp:wrapTopAndBottom/>
            <wp:docPr id="71" name="image131.png"/>
            <wp:cNvGraphicFramePr>
              <a:graphicFrameLocks noChangeAspect="1"/>
            </wp:cNvGraphicFramePr>
            <a:graphic>
              <a:graphicData uri="http://schemas.openxmlformats.org/drawingml/2006/picture">
                <pic:pic>
                  <pic:nvPicPr>
                    <pic:cNvPr id="72" name="image131.png"/>
                    <pic:cNvPicPr/>
                  </pic:nvPicPr>
                  <pic:blipFill>
                    <a:blip r:embed="rId140" cstate="print"/>
                    <a:stretch>
                      <a:fillRect/>
                    </a:stretch>
                  </pic:blipFill>
                  <pic:spPr>
                    <a:xfrm>
                      <a:off x="0" y="0"/>
                      <a:ext cx="1174419" cy="63150"/>
                    </a:xfrm>
                    <a:prstGeom prst="rect">
                      <a:avLst/>
                    </a:prstGeom>
                  </pic:spPr>
                </pic:pic>
              </a:graphicData>
            </a:graphic>
          </wp:anchor>
        </w:drawing>
      </w:r>
      <w:r>
        <w:rPr/>
        <w:pict>
          <v:group style="position:absolute;margin-left:152.36145pt;margin-top:309.674347pt;width:10pt;height:9.75pt;mso-position-horizontal-relative:page;mso-position-vertical-relative:paragraph;z-index:-251331584;mso-wrap-distance-left:0;mso-wrap-distance-right:0" coordorigin="3047,6193" coordsize="200,195">
            <v:shape style="position:absolute;left:3049;top:6195;width:115;height:40" coordorigin="3050,6196" coordsize="115,40" path="m3164,6236l3050,6236,3050,6196e" filled="false" stroked="true" strokeweight=".249741pt" strokecolor="#000000">
              <v:path arrowok="t"/>
              <v:stroke dashstyle="solid"/>
            </v:shape>
            <v:line style="position:absolute" from="3164,6236" to="3245,6236" stroked="true" strokeweight=".249806pt" strokecolor="#000000">
              <v:stroke dashstyle="solid"/>
            </v:line>
            <v:line style="position:absolute" from="3245,6196" to="3245,6266" stroked="true" strokeweight=".249201pt" strokecolor="#000000">
              <v:stroke dashstyle="solid"/>
            </v:line>
            <v:line style="position:absolute" from="3050,6236" to="3179,6361" stroked="true" strokeweight=".249515pt" strokecolor="#000000">
              <v:stroke dashstyle="solid"/>
            </v:line>
            <v:line style="position:absolute" from="3050,6196" to="3050,6266" stroked="true" strokeweight=".249201pt" strokecolor="#000000">
              <v:stroke dashstyle="solid"/>
            </v:line>
            <v:line style="position:absolute" from="3204,6336" to="3154,6386" stroked="true" strokeweight=".249503pt" strokecolor="#000000">
              <v:stroke dashstyle="solid"/>
            </v:line>
            <w10:wrap type="topAndBottom"/>
          </v:group>
        </w:pict>
      </w:r>
      <w:r>
        <w:rPr/>
        <w:drawing>
          <wp:anchor distT="0" distB="0" distL="0" distR="0" allowOverlap="1" layoutInCell="1" locked="0" behindDoc="0" simplePos="0" relativeHeight="320">
            <wp:simplePos x="0" y="0"/>
            <wp:positionH relativeFrom="page">
              <wp:posOffset>2372369</wp:posOffset>
            </wp:positionH>
            <wp:positionV relativeFrom="paragraph">
              <wp:posOffset>3923026</wp:posOffset>
            </wp:positionV>
            <wp:extent cx="239127" cy="51339"/>
            <wp:effectExtent l="0" t="0" r="0" b="0"/>
            <wp:wrapTopAndBottom/>
            <wp:docPr id="73" name="image132.png"/>
            <wp:cNvGraphicFramePr>
              <a:graphicFrameLocks noChangeAspect="1"/>
            </wp:cNvGraphicFramePr>
            <a:graphic>
              <a:graphicData uri="http://schemas.openxmlformats.org/drawingml/2006/picture">
                <pic:pic>
                  <pic:nvPicPr>
                    <pic:cNvPr id="74" name="image132.png"/>
                    <pic:cNvPicPr/>
                  </pic:nvPicPr>
                  <pic:blipFill>
                    <a:blip r:embed="rId141" cstate="print"/>
                    <a:stretch>
                      <a:fillRect/>
                    </a:stretch>
                  </pic:blipFill>
                  <pic:spPr>
                    <a:xfrm>
                      <a:off x="0" y="0"/>
                      <a:ext cx="239127" cy="51339"/>
                    </a:xfrm>
                    <a:prstGeom prst="rect">
                      <a:avLst/>
                    </a:prstGeom>
                  </pic:spPr>
                </pic:pic>
              </a:graphicData>
            </a:graphic>
          </wp:anchor>
        </w:drawing>
      </w:r>
      <w:r>
        <w:rPr>
          <w:sz w:val="20"/>
        </w:rPr>
        <w:t>red con contadores aislados, según el esquema de la figura 3.2, compuesta por la acometida, la instalación general que contiene los contadores aislados, las instalaciones particulares y las derivaciones</w:t>
      </w:r>
      <w:r>
        <w:rPr>
          <w:spacing w:val="-3"/>
          <w:sz w:val="20"/>
        </w:rPr>
        <w:t> </w:t>
      </w:r>
      <w:r>
        <w:rPr>
          <w:sz w:val="20"/>
        </w:rPr>
        <w:t>colectivas.</w:t>
      </w:r>
    </w:p>
    <w:p>
      <w:pPr>
        <w:pStyle w:val="BodyText"/>
        <w:spacing w:before="6"/>
        <w:rPr>
          <w:sz w:val="10"/>
        </w:rPr>
      </w:pPr>
    </w:p>
    <w:p>
      <w:pPr>
        <w:pStyle w:val="BodyText"/>
        <w:spacing w:before="2"/>
        <w:rPr>
          <w:sz w:val="9"/>
        </w:rPr>
      </w:pPr>
    </w:p>
    <w:p>
      <w:pPr>
        <w:pStyle w:val="BodyText"/>
        <w:spacing w:before="2"/>
        <w:rPr>
          <w:sz w:val="8"/>
        </w:rPr>
      </w:pPr>
    </w:p>
    <w:p>
      <w:pPr>
        <w:pStyle w:val="BodyText"/>
        <w:spacing w:before="5"/>
        <w:rPr>
          <w:sz w:val="8"/>
        </w:rPr>
      </w:pPr>
    </w:p>
    <w:p>
      <w:pPr>
        <w:pStyle w:val="BodyText"/>
        <w:rPr>
          <w:sz w:val="16"/>
        </w:rPr>
      </w:pPr>
    </w:p>
    <w:p>
      <w:pPr>
        <w:pStyle w:val="BodyText"/>
        <w:spacing w:before="2"/>
        <w:rPr>
          <w:sz w:val="24"/>
        </w:rPr>
      </w:pPr>
    </w:p>
    <w:p>
      <w:pPr>
        <w:spacing w:before="0"/>
        <w:ind w:left="1180" w:right="1355" w:firstLine="0"/>
        <w:jc w:val="center"/>
        <w:rPr>
          <w:b/>
          <w:sz w:val="18"/>
        </w:rPr>
      </w:pPr>
      <w:r>
        <w:rPr>
          <w:b/>
          <w:sz w:val="18"/>
        </w:rPr>
        <w:t>Figura 3.2 Esquema de red con contadores aislados</w:t>
      </w:r>
    </w:p>
    <w:p>
      <w:pPr>
        <w:spacing w:after="0"/>
        <w:jc w:val="center"/>
        <w:rPr>
          <w:sz w:val="18"/>
        </w:rPr>
        <w:sectPr>
          <w:pgSz w:w="11910" w:h="16840"/>
          <w:pgMar w:header="908" w:footer="636" w:top="1320" w:bottom="840" w:left="1200" w:right="740"/>
        </w:sectPr>
      </w:pPr>
    </w:p>
    <w:p>
      <w:pPr>
        <w:spacing w:before="91"/>
        <w:ind w:left="1778" w:right="0" w:firstLine="0"/>
        <w:jc w:val="left"/>
        <w:rPr>
          <w:b/>
          <w:sz w:val="16"/>
        </w:rPr>
      </w:pPr>
      <w:r>
        <w:rPr/>
        <w:pict>
          <v:group style="position:absolute;margin-left:143pt;margin-top:1.673901pt;width:.5pt;height:36.6pt;mso-position-horizontal-relative:page;mso-position-vertical-relative:paragraph;z-index:251986944" coordorigin="2860,33" coordsize="10,732">
            <v:line style="position:absolute" from="2865,33" to="2865,337" stroked="true" strokeweight=".48pt" strokecolor="#000000">
              <v:stroke dashstyle="solid"/>
            </v:line>
            <v:line style="position:absolute" from="2865,337" to="2865,521" stroked="true" strokeweight=".48pt" strokecolor="#000000">
              <v:stroke dashstyle="solid"/>
            </v:line>
            <v:line style="position:absolute" from="2865,521" to="2865,765" stroked="true" strokeweight=".48pt" strokecolor="#000000">
              <v:stroke dashstyle="solid"/>
            </v:line>
            <w10:wrap type="none"/>
          </v:group>
        </w:pict>
      </w:r>
      <w:r>
        <w:rPr>
          <w:b/>
          <w:sz w:val="16"/>
        </w:rPr>
        <w:t>Batería de contadores</w:t>
      </w:r>
    </w:p>
    <w:p>
      <w:pPr>
        <w:spacing w:before="60"/>
        <w:ind w:left="1778" w:right="398" w:firstLine="0"/>
        <w:jc w:val="left"/>
        <w:rPr>
          <w:sz w:val="16"/>
        </w:rPr>
      </w:pPr>
      <w:r>
        <w:rPr>
          <w:sz w:val="16"/>
        </w:rPr>
        <w:t>Al respecto del esquema general de la instalación, la red con batería de contadores se considera un tipo de red con contadores divisionarios o aislados en los que estos se concentran en un único emplazamiento.</w:t>
      </w:r>
    </w:p>
    <w:p>
      <w:pPr>
        <w:pStyle w:val="BodyText"/>
      </w:pPr>
    </w:p>
    <w:p>
      <w:pPr>
        <w:pStyle w:val="BodyText"/>
        <w:spacing w:before="8"/>
        <w:rPr>
          <w:sz w:val="21"/>
        </w:rPr>
      </w:pPr>
    </w:p>
    <w:p>
      <w:pPr>
        <w:pStyle w:val="Heading3"/>
        <w:numPr>
          <w:ilvl w:val="1"/>
          <w:numId w:val="157"/>
        </w:numPr>
        <w:tabs>
          <w:tab w:pos="673" w:val="left" w:leader="none"/>
        </w:tabs>
        <w:spacing w:line="240" w:lineRule="auto" w:before="92" w:after="0"/>
        <w:ind w:left="672" w:right="0" w:hanging="455"/>
        <w:jc w:val="left"/>
      </w:pPr>
      <w:r>
        <w:rPr/>
        <w:t>Elementos que componen la</w:t>
      </w:r>
      <w:r>
        <w:rPr>
          <w:spacing w:val="-2"/>
        </w:rPr>
        <w:t> </w:t>
      </w:r>
      <w:r>
        <w:rPr/>
        <w:t>instalación</w:t>
      </w:r>
    </w:p>
    <w:p>
      <w:pPr>
        <w:pStyle w:val="Heading5"/>
        <w:numPr>
          <w:ilvl w:val="2"/>
          <w:numId w:val="157"/>
        </w:numPr>
        <w:tabs>
          <w:tab w:pos="787" w:val="left" w:leader="none"/>
        </w:tabs>
        <w:spacing w:line="240" w:lineRule="auto" w:before="201" w:after="0"/>
        <w:ind w:left="786" w:right="0" w:hanging="569"/>
        <w:jc w:val="left"/>
      </w:pPr>
      <w:r>
        <w:rPr/>
        <w:t>Red de agua</w:t>
      </w:r>
      <w:r>
        <w:rPr>
          <w:spacing w:val="-3"/>
        </w:rPr>
        <w:t> </w:t>
      </w:r>
      <w:r>
        <w:rPr/>
        <w:t>fría</w:t>
      </w:r>
    </w:p>
    <w:p>
      <w:pPr>
        <w:pStyle w:val="BodyText"/>
        <w:spacing w:before="4"/>
        <w:rPr>
          <w:b/>
          <w:sz w:val="17"/>
        </w:rPr>
      </w:pPr>
    </w:p>
    <w:p>
      <w:pPr>
        <w:pStyle w:val="ListParagraph"/>
        <w:numPr>
          <w:ilvl w:val="3"/>
          <w:numId w:val="157"/>
        </w:numPr>
        <w:tabs>
          <w:tab w:pos="933" w:val="left" w:leader="none"/>
        </w:tabs>
        <w:spacing w:line="240" w:lineRule="auto" w:before="0" w:after="0"/>
        <w:ind w:left="932" w:right="0" w:hanging="708"/>
        <w:jc w:val="left"/>
        <w:rPr>
          <w:b/>
          <w:sz w:val="20"/>
        </w:rPr>
      </w:pPr>
      <w:r>
        <w:rPr>
          <w:b/>
          <w:sz w:val="20"/>
        </w:rPr>
        <w:t>Acometida</w:t>
      </w:r>
    </w:p>
    <w:p>
      <w:pPr>
        <w:pStyle w:val="ListParagraph"/>
        <w:numPr>
          <w:ilvl w:val="0"/>
          <w:numId w:val="159"/>
        </w:numPr>
        <w:tabs>
          <w:tab w:pos="672" w:val="left" w:leader="none"/>
          <w:tab w:pos="673" w:val="left" w:leader="none"/>
        </w:tabs>
        <w:spacing w:line="240" w:lineRule="auto" w:before="99" w:after="0"/>
        <w:ind w:left="672" w:right="0" w:hanging="455"/>
        <w:jc w:val="left"/>
        <w:rPr>
          <w:sz w:val="20"/>
        </w:rPr>
      </w:pPr>
      <w:r>
        <w:rPr>
          <w:sz w:val="20"/>
        </w:rPr>
        <w:t>La </w:t>
      </w:r>
      <w:r>
        <w:rPr>
          <w:i/>
          <w:sz w:val="20"/>
        </w:rPr>
        <w:t>acometida </w:t>
      </w:r>
      <w:r>
        <w:rPr>
          <w:sz w:val="20"/>
        </w:rPr>
        <w:t>debe disponer, como mínimo, de los elementos</w:t>
      </w:r>
      <w:r>
        <w:rPr>
          <w:spacing w:val="-5"/>
          <w:sz w:val="20"/>
        </w:rPr>
        <w:t> </w:t>
      </w:r>
      <w:r>
        <w:rPr>
          <w:sz w:val="20"/>
        </w:rPr>
        <w:t>siguientes:</w:t>
      </w:r>
    </w:p>
    <w:p>
      <w:pPr>
        <w:pStyle w:val="ListParagraph"/>
        <w:numPr>
          <w:ilvl w:val="1"/>
          <w:numId w:val="159"/>
        </w:numPr>
        <w:tabs>
          <w:tab w:pos="1125" w:val="left" w:leader="none"/>
          <w:tab w:pos="1126" w:val="left" w:leader="none"/>
        </w:tabs>
        <w:spacing w:line="240" w:lineRule="auto" w:before="59" w:after="0"/>
        <w:ind w:left="1126" w:right="391" w:hanging="454"/>
        <w:jc w:val="left"/>
        <w:rPr>
          <w:sz w:val="20"/>
        </w:rPr>
      </w:pPr>
      <w:r>
        <w:rPr>
          <w:sz w:val="20"/>
        </w:rPr>
        <w:t>una llave de toma o un collarín de toma en carga, sobre la tubería de distribución de la red ex- terior de suministro que abra el paso a la</w:t>
      </w:r>
      <w:r>
        <w:rPr>
          <w:spacing w:val="-5"/>
          <w:sz w:val="20"/>
        </w:rPr>
        <w:t> </w:t>
      </w:r>
      <w:r>
        <w:rPr>
          <w:sz w:val="20"/>
        </w:rPr>
        <w:t>acometida;</w:t>
      </w:r>
    </w:p>
    <w:p>
      <w:pPr>
        <w:pStyle w:val="ListParagraph"/>
        <w:numPr>
          <w:ilvl w:val="1"/>
          <w:numId w:val="159"/>
        </w:numPr>
        <w:tabs>
          <w:tab w:pos="1125" w:val="left" w:leader="none"/>
          <w:tab w:pos="1126" w:val="left" w:leader="none"/>
        </w:tabs>
        <w:spacing w:line="240" w:lineRule="auto" w:before="61" w:after="0"/>
        <w:ind w:left="1126" w:right="0" w:hanging="454"/>
        <w:jc w:val="left"/>
        <w:rPr>
          <w:sz w:val="20"/>
        </w:rPr>
      </w:pPr>
      <w:r>
        <w:rPr>
          <w:sz w:val="20"/>
        </w:rPr>
        <w:t>un tubo de acometida que enlace la llave de toma con la llave de corte</w:t>
      </w:r>
      <w:r>
        <w:rPr>
          <w:spacing w:val="-5"/>
          <w:sz w:val="20"/>
        </w:rPr>
        <w:t> </w:t>
      </w:r>
      <w:r>
        <w:rPr>
          <w:sz w:val="20"/>
        </w:rPr>
        <w:t>general;</w:t>
      </w:r>
    </w:p>
    <w:p>
      <w:pPr>
        <w:pStyle w:val="ListParagraph"/>
        <w:numPr>
          <w:ilvl w:val="1"/>
          <w:numId w:val="159"/>
        </w:numPr>
        <w:tabs>
          <w:tab w:pos="1125" w:val="left" w:leader="none"/>
          <w:tab w:pos="1126" w:val="left" w:leader="none"/>
        </w:tabs>
        <w:spacing w:line="240" w:lineRule="auto" w:before="59" w:after="0"/>
        <w:ind w:left="1126" w:right="0" w:hanging="454"/>
        <w:jc w:val="left"/>
        <w:rPr>
          <w:sz w:val="20"/>
        </w:rPr>
      </w:pPr>
      <w:r>
        <w:rPr>
          <w:sz w:val="20"/>
        </w:rPr>
        <w:t>Una llave de corte en el exterior de la</w:t>
      </w:r>
      <w:r>
        <w:rPr>
          <w:spacing w:val="-4"/>
          <w:sz w:val="20"/>
        </w:rPr>
        <w:t> </w:t>
      </w:r>
      <w:r>
        <w:rPr>
          <w:sz w:val="20"/>
        </w:rPr>
        <w:t>propiedad</w:t>
      </w:r>
    </w:p>
    <w:p>
      <w:pPr>
        <w:pStyle w:val="ListParagraph"/>
        <w:numPr>
          <w:ilvl w:val="0"/>
          <w:numId w:val="159"/>
        </w:numPr>
        <w:tabs>
          <w:tab w:pos="673" w:val="left" w:leader="none"/>
        </w:tabs>
        <w:spacing w:line="240" w:lineRule="auto" w:before="60" w:after="0"/>
        <w:ind w:left="672" w:right="393" w:hanging="454"/>
        <w:jc w:val="both"/>
        <w:rPr>
          <w:sz w:val="20"/>
        </w:rPr>
      </w:pPr>
      <w:r>
        <w:rPr>
          <w:sz w:val="20"/>
        </w:rPr>
        <w:t>En el caso de que la acometida se realice desde una captación privada o en zonas rurales en las que no exista una red general de suministro de agua, los equipos a instalar (además de la captación propiamente dicha) serán los siguientes: válvula de pié, bomba para el trasiego del agua y válvulas de registro y general de</w:t>
      </w:r>
      <w:r>
        <w:rPr>
          <w:spacing w:val="-3"/>
          <w:sz w:val="20"/>
        </w:rPr>
        <w:t> </w:t>
      </w:r>
      <w:r>
        <w:rPr>
          <w:sz w:val="20"/>
        </w:rPr>
        <w:t>corte.</w:t>
      </w:r>
    </w:p>
    <w:p>
      <w:pPr>
        <w:pStyle w:val="BodyText"/>
        <w:spacing w:before="6"/>
        <w:rPr>
          <w:sz w:val="17"/>
        </w:rPr>
      </w:pPr>
    </w:p>
    <w:p>
      <w:pPr>
        <w:pStyle w:val="Heading5"/>
        <w:numPr>
          <w:ilvl w:val="3"/>
          <w:numId w:val="157"/>
        </w:numPr>
        <w:tabs>
          <w:tab w:pos="933" w:val="left" w:leader="none"/>
        </w:tabs>
        <w:spacing w:line="240" w:lineRule="auto" w:before="0" w:after="0"/>
        <w:ind w:left="932" w:right="0" w:hanging="708"/>
        <w:jc w:val="left"/>
      </w:pPr>
      <w:r>
        <w:rPr/>
        <w:t>Instalación</w:t>
      </w:r>
      <w:r>
        <w:rPr>
          <w:spacing w:val="-1"/>
        </w:rPr>
        <w:t> </w:t>
      </w:r>
      <w:r>
        <w:rPr/>
        <w:t>general</w:t>
      </w:r>
    </w:p>
    <w:p>
      <w:pPr>
        <w:pStyle w:val="BodyText"/>
        <w:spacing w:before="99"/>
        <w:ind w:left="672" w:right="389" w:hanging="454"/>
        <w:jc w:val="both"/>
      </w:pPr>
      <w:r>
        <w:rPr/>
        <w:t>1 La </w:t>
      </w:r>
      <w:r>
        <w:rPr>
          <w:i/>
        </w:rPr>
        <w:t>instalación general </w:t>
      </w:r>
      <w:r>
        <w:rPr/>
        <w:t>debe contener, en función del esquema adoptado, los elementos que le co- rrespondan de los que se citan en los apartados siguientes.</w:t>
      </w:r>
    </w:p>
    <w:p>
      <w:pPr>
        <w:pStyle w:val="Heading5"/>
        <w:numPr>
          <w:ilvl w:val="4"/>
          <w:numId w:val="157"/>
        </w:numPr>
        <w:tabs>
          <w:tab w:pos="1353" w:val="left" w:leader="none"/>
        </w:tabs>
        <w:spacing w:line="229" w:lineRule="exact" w:before="131" w:after="0"/>
        <w:ind w:left="1352" w:right="0" w:hanging="1135"/>
        <w:jc w:val="both"/>
      </w:pPr>
      <w:r>
        <w:rPr/>
        <w:t>Llave de corte</w:t>
      </w:r>
      <w:r>
        <w:rPr>
          <w:spacing w:val="-2"/>
        </w:rPr>
        <w:t> </w:t>
      </w:r>
      <w:r>
        <w:rPr/>
        <w:t>general</w:t>
      </w:r>
    </w:p>
    <w:p>
      <w:pPr>
        <w:pStyle w:val="BodyText"/>
        <w:ind w:left="672" w:right="392" w:hanging="454"/>
        <w:jc w:val="both"/>
      </w:pPr>
      <w:r>
        <w:rPr/>
        <w:t>1    La llave de corte general servirá para interrumpir el suministro al edificio, y estará situada dentro de  la propiedad, en una zona de uso común, accesible para su manipulación y señalada adecuada- mente para permitir su identificación. Si se dispone armario o arqueta del contador general, debe alojarse en su</w:t>
      </w:r>
      <w:r>
        <w:rPr>
          <w:spacing w:val="-1"/>
        </w:rPr>
        <w:t> </w:t>
      </w:r>
      <w:r>
        <w:rPr/>
        <w:t>interior.</w:t>
      </w:r>
    </w:p>
    <w:p>
      <w:pPr>
        <w:pStyle w:val="Heading5"/>
        <w:numPr>
          <w:ilvl w:val="4"/>
          <w:numId w:val="157"/>
        </w:numPr>
        <w:tabs>
          <w:tab w:pos="1353" w:val="left" w:leader="none"/>
        </w:tabs>
        <w:spacing w:line="229" w:lineRule="exact" w:before="132" w:after="0"/>
        <w:ind w:left="1352" w:right="0" w:hanging="1135"/>
        <w:jc w:val="both"/>
      </w:pPr>
      <w:r>
        <w:rPr/>
        <w:t>Filtro de la instalación</w:t>
      </w:r>
      <w:r>
        <w:rPr>
          <w:spacing w:val="-2"/>
        </w:rPr>
        <w:t> </w:t>
      </w:r>
      <w:r>
        <w:rPr/>
        <w:t>general</w:t>
      </w:r>
    </w:p>
    <w:p>
      <w:pPr>
        <w:pStyle w:val="BodyText"/>
        <w:ind w:left="672" w:right="389" w:hanging="454"/>
        <w:jc w:val="both"/>
      </w:pPr>
      <w:r>
        <w:rPr/>
        <w:t>1 El filtro de la instalación general debe retener los residuos del agua que puedan dar lugar a corro- siones en las canalizaciones metálicas. Se instalará a continuación de la llave de corte general. Si se dispone armario o arqueta del contador general, debe alojarse en su interior. El filtro debe ser de tipo Y con un umbral de filtrado comprendido entre 25 y 50 </w:t>
      </w:r>
      <w:r>
        <w:rPr>
          <w:rFonts w:ascii="Symbol" w:hAnsi="Symbol"/>
        </w:rPr>
        <w:t></w:t>
      </w:r>
      <w:r>
        <w:rPr/>
        <w:t>m, con malla de acero inoxidable y ba- ño de plata, para evitar la formación de bacterias y autolimpiable. La situación del filtro debe ser tal que permita realizar adecuadamente las operaciones de limpieza y mantenimiento sin necesidad de corte de</w:t>
      </w:r>
      <w:r>
        <w:rPr>
          <w:spacing w:val="-2"/>
        </w:rPr>
        <w:t> </w:t>
      </w:r>
      <w:r>
        <w:rPr/>
        <w:t>suministro.</w:t>
      </w:r>
    </w:p>
    <w:p>
      <w:pPr>
        <w:pStyle w:val="BodyText"/>
        <w:spacing w:before="5"/>
        <w:rPr>
          <w:sz w:val="30"/>
        </w:rPr>
      </w:pPr>
    </w:p>
    <w:p>
      <w:pPr>
        <w:spacing w:before="0"/>
        <w:ind w:left="1777" w:right="0" w:firstLine="0"/>
        <w:jc w:val="left"/>
        <w:rPr>
          <w:b/>
          <w:sz w:val="16"/>
        </w:rPr>
      </w:pPr>
      <w:r>
        <w:rPr/>
        <w:pict>
          <v:group style="position:absolute;margin-left:142.940002pt;margin-top:.123898pt;width:.5pt;height:33.6pt;mso-position-horizontal-relative:page;mso-position-vertical-relative:paragraph;z-index:251987968" coordorigin="2859,2" coordsize="10,672">
            <v:line style="position:absolute" from="2864,2" to="2864,246" stroked="true" strokeweight=".48pt" strokecolor="#000000">
              <v:stroke dashstyle="solid"/>
            </v:line>
            <v:line style="position:absolute" from="2864,246" to="2864,430" stroked="true" strokeweight=".48pt" strokecolor="#000000">
              <v:stroke dashstyle="solid"/>
            </v:line>
            <v:line style="position:absolute" from="2864,430" to="2864,674" stroked="true" strokeweight=".48pt" strokecolor="#000000">
              <v:stroke dashstyle="solid"/>
            </v:line>
            <w10:wrap type="none"/>
          </v:group>
        </w:pict>
      </w:r>
      <w:r>
        <w:rPr>
          <w:b/>
          <w:sz w:val="16"/>
        </w:rPr>
        <w:t>Disposición del filtro</w:t>
      </w:r>
    </w:p>
    <w:p>
      <w:pPr>
        <w:spacing w:before="59"/>
        <w:ind w:left="1777" w:right="398" w:firstLine="0"/>
        <w:jc w:val="left"/>
        <w:rPr>
          <w:sz w:val="16"/>
        </w:rPr>
      </w:pPr>
      <w:r>
        <w:rPr>
          <w:sz w:val="16"/>
        </w:rPr>
        <w:t>Si el contador ya dispone de filtro adecuado a las condiciones anteriores, se considera suficiente y no es necesaria la adición de otro filtro de idénticas características.</w:t>
      </w:r>
    </w:p>
    <w:p>
      <w:pPr>
        <w:pStyle w:val="BodyText"/>
        <w:spacing w:before="6"/>
        <w:rPr>
          <w:sz w:val="28"/>
        </w:rPr>
      </w:pPr>
    </w:p>
    <w:p>
      <w:pPr>
        <w:pStyle w:val="Heading5"/>
        <w:numPr>
          <w:ilvl w:val="4"/>
          <w:numId w:val="157"/>
        </w:numPr>
        <w:tabs>
          <w:tab w:pos="1353" w:val="left" w:leader="none"/>
        </w:tabs>
        <w:spacing w:line="229" w:lineRule="exact" w:before="94" w:after="0"/>
        <w:ind w:left="1352" w:right="0" w:hanging="1135"/>
        <w:jc w:val="both"/>
      </w:pPr>
      <w:r>
        <w:rPr/>
        <w:t>Armario o arqueta del contador</w:t>
      </w:r>
      <w:r>
        <w:rPr>
          <w:spacing w:val="-3"/>
        </w:rPr>
        <w:t> </w:t>
      </w:r>
      <w:r>
        <w:rPr/>
        <w:t>general</w:t>
      </w:r>
    </w:p>
    <w:p>
      <w:pPr>
        <w:pStyle w:val="ListParagraph"/>
        <w:numPr>
          <w:ilvl w:val="0"/>
          <w:numId w:val="160"/>
        </w:numPr>
        <w:tabs>
          <w:tab w:pos="673" w:val="left" w:leader="none"/>
        </w:tabs>
        <w:spacing w:line="240" w:lineRule="auto" w:before="0" w:after="0"/>
        <w:ind w:left="672" w:right="389" w:hanging="454"/>
        <w:jc w:val="both"/>
        <w:rPr>
          <w:sz w:val="20"/>
        </w:rPr>
      </w:pPr>
      <w:r>
        <w:rPr>
          <w:sz w:val="20"/>
        </w:rPr>
        <w:t>El armario o arqueta del contador general contendrá, dispuestos en este orden, la llave de corte general, un filtro de la instalación general, el contador, una llave, grifo o racor de prueba, una válvu- la de retención y una llave de salida. Su instalación debe realizarse en un plano paralelo al del sue- lo.</w:t>
      </w:r>
    </w:p>
    <w:p>
      <w:pPr>
        <w:pStyle w:val="BodyText"/>
        <w:spacing w:before="5"/>
        <w:rPr>
          <w:sz w:val="30"/>
        </w:rPr>
      </w:pPr>
    </w:p>
    <w:p>
      <w:pPr>
        <w:spacing w:before="0"/>
        <w:ind w:left="1778" w:right="398" w:firstLine="0"/>
        <w:jc w:val="left"/>
        <w:rPr>
          <w:sz w:val="16"/>
        </w:rPr>
      </w:pPr>
      <w:r>
        <w:rPr/>
        <w:pict>
          <v:group style="position:absolute;margin-left:143pt;margin-top:.123907pt;width:.5pt;height:21.4pt;mso-position-horizontal-relative:page;mso-position-vertical-relative:paragraph;z-index:251988992" coordorigin="2860,2" coordsize="10,428">
            <v:line style="position:absolute" from="2865,2" to="2865,186" stroked="true" strokeweight=".48pt" strokecolor="#000000">
              <v:stroke dashstyle="solid"/>
            </v:line>
            <v:line style="position:absolute" from="2865,186" to="2865,430" stroked="true" strokeweight=".48pt" strokecolor="#000000">
              <v:stroke dashstyle="solid"/>
            </v:line>
            <w10:wrap type="none"/>
          </v:group>
        </w:pict>
      </w:r>
      <w:r>
        <w:rPr>
          <w:sz w:val="16"/>
        </w:rPr>
        <w:t>El grifo o racor de prueba, facilita además las tareas de toma de muestras de cara a analizar las característi- cas del agua suministrada a la instalación particular.</w:t>
      </w:r>
    </w:p>
    <w:p>
      <w:pPr>
        <w:pStyle w:val="BodyText"/>
        <w:spacing w:before="3"/>
        <w:rPr>
          <w:sz w:val="22"/>
        </w:rPr>
      </w:pPr>
    </w:p>
    <w:p>
      <w:pPr>
        <w:pStyle w:val="ListParagraph"/>
        <w:numPr>
          <w:ilvl w:val="0"/>
          <w:numId w:val="160"/>
        </w:numPr>
        <w:tabs>
          <w:tab w:pos="672" w:val="left" w:leader="none"/>
          <w:tab w:pos="673" w:val="left" w:leader="none"/>
        </w:tabs>
        <w:spacing w:line="240" w:lineRule="auto" w:before="94" w:after="0"/>
        <w:ind w:left="672" w:right="393" w:hanging="454"/>
        <w:jc w:val="left"/>
        <w:rPr>
          <w:sz w:val="20"/>
        </w:rPr>
      </w:pPr>
      <w:r>
        <w:rPr>
          <w:sz w:val="20"/>
        </w:rPr>
        <w:t>La llave de salida debe permitir la interrupción del suministro al edificio. La llave de corte general y la de salida servirán para el montaje y desmontaje del contador</w:t>
      </w:r>
      <w:r>
        <w:rPr>
          <w:spacing w:val="-4"/>
          <w:sz w:val="20"/>
        </w:rPr>
        <w:t> </w:t>
      </w:r>
      <w:r>
        <w:rPr>
          <w:sz w:val="20"/>
        </w:rPr>
        <w:t>general.</w:t>
      </w:r>
    </w:p>
    <w:p>
      <w:pPr>
        <w:spacing w:after="0" w:line="240" w:lineRule="auto"/>
        <w:jc w:val="left"/>
        <w:rPr>
          <w:sz w:val="20"/>
        </w:rPr>
        <w:sectPr>
          <w:pgSz w:w="11910" w:h="16840"/>
          <w:pgMar w:header="908" w:footer="636" w:top="1320" w:bottom="840" w:left="1200" w:right="740"/>
        </w:sectPr>
      </w:pPr>
    </w:p>
    <w:p>
      <w:pPr>
        <w:pStyle w:val="Heading5"/>
        <w:numPr>
          <w:ilvl w:val="4"/>
          <w:numId w:val="157"/>
        </w:numPr>
        <w:tabs>
          <w:tab w:pos="1353" w:val="left" w:leader="none"/>
        </w:tabs>
        <w:spacing w:line="229" w:lineRule="exact" w:before="103" w:after="0"/>
        <w:ind w:left="1352" w:right="0" w:hanging="1135"/>
        <w:jc w:val="both"/>
      </w:pPr>
      <w:r>
        <w:rPr/>
        <w:t>Tubo de</w:t>
      </w:r>
      <w:r>
        <w:rPr>
          <w:spacing w:val="-1"/>
        </w:rPr>
        <w:t> </w:t>
      </w:r>
      <w:r>
        <w:rPr/>
        <w:t>alimentación</w:t>
      </w:r>
    </w:p>
    <w:p>
      <w:pPr>
        <w:pStyle w:val="BodyText"/>
        <w:ind w:left="672" w:right="389" w:hanging="454"/>
        <w:jc w:val="both"/>
      </w:pPr>
      <w:r>
        <w:rPr/>
        <w:t>1 El trazado del </w:t>
      </w:r>
      <w:r>
        <w:rPr>
          <w:i/>
        </w:rPr>
        <w:t>tubo de alimentación </w:t>
      </w:r>
      <w:r>
        <w:rPr/>
        <w:t>debe realizarse por zonas de uso común. En caso de ir empo- trado deben disponerse registros para su inspección y control de fugas, al menos en sus extremos y en los cambios de</w:t>
      </w:r>
      <w:r>
        <w:rPr>
          <w:spacing w:val="-4"/>
        </w:rPr>
        <w:t> </w:t>
      </w:r>
      <w:r>
        <w:rPr/>
        <w:t>dirección.</w:t>
      </w:r>
    </w:p>
    <w:p>
      <w:pPr>
        <w:pStyle w:val="Heading5"/>
        <w:numPr>
          <w:ilvl w:val="4"/>
          <w:numId w:val="157"/>
        </w:numPr>
        <w:tabs>
          <w:tab w:pos="1353" w:val="left" w:leader="none"/>
        </w:tabs>
        <w:spacing w:line="229" w:lineRule="exact" w:before="132" w:after="0"/>
        <w:ind w:left="1352" w:right="0" w:hanging="1135"/>
        <w:jc w:val="both"/>
      </w:pPr>
      <w:r>
        <w:rPr/>
        <w:t>Distribuidor principal</w:t>
      </w:r>
    </w:p>
    <w:p>
      <w:pPr>
        <w:pStyle w:val="ListParagraph"/>
        <w:numPr>
          <w:ilvl w:val="0"/>
          <w:numId w:val="161"/>
        </w:numPr>
        <w:tabs>
          <w:tab w:pos="673" w:val="left" w:leader="none"/>
        </w:tabs>
        <w:spacing w:line="240" w:lineRule="auto" w:before="0" w:after="0"/>
        <w:ind w:left="672" w:right="389" w:hanging="454"/>
        <w:jc w:val="both"/>
        <w:rPr>
          <w:sz w:val="20"/>
        </w:rPr>
      </w:pPr>
      <w:r>
        <w:rPr>
          <w:sz w:val="20"/>
        </w:rPr>
        <w:t>El trazado del </w:t>
      </w:r>
      <w:r>
        <w:rPr>
          <w:i/>
          <w:sz w:val="20"/>
        </w:rPr>
        <w:t>distribuidor principal </w:t>
      </w:r>
      <w:r>
        <w:rPr>
          <w:sz w:val="20"/>
        </w:rPr>
        <w:t>debe realizarse por zonas de uso común. En caso de ir empo- trado deben disponerse registros para su inspección y control de fugas, al menos en sus extremos y en los cambios de</w:t>
      </w:r>
      <w:r>
        <w:rPr>
          <w:spacing w:val="-4"/>
          <w:sz w:val="20"/>
        </w:rPr>
        <w:t> </w:t>
      </w:r>
      <w:r>
        <w:rPr>
          <w:sz w:val="20"/>
        </w:rPr>
        <w:t>dirección.</w:t>
      </w:r>
    </w:p>
    <w:p>
      <w:pPr>
        <w:pStyle w:val="ListParagraph"/>
        <w:numPr>
          <w:ilvl w:val="0"/>
          <w:numId w:val="161"/>
        </w:numPr>
        <w:tabs>
          <w:tab w:pos="673" w:val="left" w:leader="none"/>
        </w:tabs>
        <w:spacing w:line="240" w:lineRule="auto" w:before="59" w:after="0"/>
        <w:ind w:left="672" w:right="397" w:hanging="454"/>
        <w:jc w:val="both"/>
        <w:rPr>
          <w:sz w:val="20"/>
        </w:rPr>
      </w:pPr>
      <w:r>
        <w:rPr>
          <w:sz w:val="20"/>
        </w:rPr>
        <w:t>Debe adoptarse la solución de distribuidor en anillo en edificios tales como los de uso sanitario, en los que en caso de avería o reforma el suministro interior deba quedar</w:t>
      </w:r>
      <w:r>
        <w:rPr>
          <w:spacing w:val="-6"/>
          <w:sz w:val="20"/>
        </w:rPr>
        <w:t> </w:t>
      </w:r>
      <w:r>
        <w:rPr>
          <w:sz w:val="20"/>
        </w:rPr>
        <w:t>garantizado.</w:t>
      </w:r>
    </w:p>
    <w:p>
      <w:pPr>
        <w:pStyle w:val="ListParagraph"/>
        <w:numPr>
          <w:ilvl w:val="0"/>
          <w:numId w:val="161"/>
        </w:numPr>
        <w:tabs>
          <w:tab w:pos="673" w:val="left" w:leader="none"/>
        </w:tabs>
        <w:spacing w:line="240" w:lineRule="auto" w:before="59" w:after="0"/>
        <w:ind w:left="672" w:right="395" w:hanging="454"/>
        <w:jc w:val="both"/>
        <w:rPr>
          <w:sz w:val="20"/>
        </w:rPr>
      </w:pPr>
      <w:r>
        <w:rPr>
          <w:sz w:val="20"/>
        </w:rPr>
        <w:t>Deben disponerse llaves de corte en todas las derivaciones, de tal forma que en caso de avería en cualquier punto no deba interrumpirse todo el</w:t>
      </w:r>
      <w:r>
        <w:rPr>
          <w:spacing w:val="-2"/>
          <w:sz w:val="20"/>
        </w:rPr>
        <w:t> </w:t>
      </w:r>
      <w:r>
        <w:rPr>
          <w:sz w:val="20"/>
        </w:rPr>
        <w:t>suministro.</w:t>
      </w:r>
    </w:p>
    <w:p>
      <w:pPr>
        <w:pStyle w:val="Heading5"/>
        <w:numPr>
          <w:ilvl w:val="4"/>
          <w:numId w:val="157"/>
        </w:numPr>
        <w:tabs>
          <w:tab w:pos="1353" w:val="left" w:leader="none"/>
        </w:tabs>
        <w:spacing w:line="229" w:lineRule="exact" w:before="132" w:after="0"/>
        <w:ind w:left="1352" w:right="0" w:hanging="1135"/>
        <w:jc w:val="both"/>
      </w:pPr>
      <w:r>
        <w:rPr/>
        <w:t>Ascendentes o</w:t>
      </w:r>
      <w:r>
        <w:rPr>
          <w:spacing w:val="-2"/>
        </w:rPr>
        <w:t> </w:t>
      </w:r>
      <w:r>
        <w:rPr/>
        <w:t>montantes</w:t>
      </w:r>
    </w:p>
    <w:p>
      <w:pPr>
        <w:pStyle w:val="ListParagraph"/>
        <w:numPr>
          <w:ilvl w:val="0"/>
          <w:numId w:val="162"/>
        </w:numPr>
        <w:tabs>
          <w:tab w:pos="673" w:val="left" w:leader="none"/>
        </w:tabs>
        <w:spacing w:line="229" w:lineRule="exact" w:before="0" w:after="0"/>
        <w:ind w:left="672" w:right="0" w:hanging="455"/>
        <w:jc w:val="both"/>
        <w:rPr>
          <w:sz w:val="20"/>
        </w:rPr>
      </w:pPr>
      <w:r>
        <w:rPr>
          <w:sz w:val="20"/>
        </w:rPr>
        <w:t>Las ascendentes o montantes deben discurrir por zonas de uso común del</w:t>
      </w:r>
      <w:r>
        <w:rPr>
          <w:spacing w:val="-2"/>
          <w:sz w:val="20"/>
        </w:rPr>
        <w:t> </w:t>
      </w:r>
      <w:r>
        <w:rPr>
          <w:sz w:val="20"/>
        </w:rPr>
        <w:t>mismo.</w:t>
      </w:r>
    </w:p>
    <w:p>
      <w:pPr>
        <w:pStyle w:val="ListParagraph"/>
        <w:numPr>
          <w:ilvl w:val="0"/>
          <w:numId w:val="162"/>
        </w:numPr>
        <w:tabs>
          <w:tab w:pos="673" w:val="left" w:leader="none"/>
        </w:tabs>
        <w:spacing w:line="240" w:lineRule="auto" w:before="60" w:after="0"/>
        <w:ind w:left="672" w:right="389" w:hanging="454"/>
        <w:jc w:val="both"/>
        <w:rPr>
          <w:sz w:val="20"/>
        </w:rPr>
      </w:pPr>
      <w:r>
        <w:rPr>
          <w:sz w:val="20"/>
        </w:rPr>
        <w:t>Deben ir alojadas en recintos o huecos, construidos a tal fin. Dichos recintos o huecos, que podrán ser de uso compartido solamente con otras instalaciones de agua del edificio, deben ser registra- bles y tener las dimensiones suficientes para que puedan realizarse las operaciones de manteni- miento.</w:t>
      </w:r>
    </w:p>
    <w:p>
      <w:pPr>
        <w:pStyle w:val="ListParagraph"/>
        <w:numPr>
          <w:ilvl w:val="0"/>
          <w:numId w:val="162"/>
        </w:numPr>
        <w:tabs>
          <w:tab w:pos="673" w:val="left" w:leader="none"/>
        </w:tabs>
        <w:spacing w:line="240" w:lineRule="auto" w:before="60" w:after="0"/>
        <w:ind w:left="672" w:right="392" w:hanging="454"/>
        <w:jc w:val="both"/>
        <w:rPr>
          <w:sz w:val="20"/>
        </w:rPr>
      </w:pPr>
      <w:r>
        <w:rPr>
          <w:sz w:val="20"/>
        </w:rPr>
        <w:t>Las ascendentes deben disponer en su base de una válvula de retención, una llave de corte para las operaciones de mantenimiento, y de una llave de paso con grifo o tapón de vaciado, situadas en zonas de fácil acceso y señaladas de forma conveniente. La válvula de retención se dispondrá en primer lugar, según el sentido de circulación del</w:t>
      </w:r>
      <w:r>
        <w:rPr>
          <w:spacing w:val="-1"/>
          <w:sz w:val="20"/>
        </w:rPr>
        <w:t> </w:t>
      </w:r>
      <w:r>
        <w:rPr>
          <w:sz w:val="20"/>
        </w:rPr>
        <w:t>agua.</w:t>
      </w:r>
    </w:p>
    <w:p>
      <w:pPr>
        <w:pStyle w:val="ListParagraph"/>
        <w:numPr>
          <w:ilvl w:val="0"/>
          <w:numId w:val="162"/>
        </w:numPr>
        <w:tabs>
          <w:tab w:pos="673" w:val="left" w:leader="none"/>
        </w:tabs>
        <w:spacing w:line="240" w:lineRule="auto" w:before="60" w:after="0"/>
        <w:ind w:left="672" w:right="389" w:hanging="454"/>
        <w:jc w:val="both"/>
        <w:rPr>
          <w:sz w:val="20"/>
        </w:rPr>
      </w:pPr>
      <w:r>
        <w:rPr>
          <w:sz w:val="20"/>
        </w:rPr>
        <w:t>En su parte superior deben instalarse dispositivos de purga, automáticos o manuales, con un sepa- rador o cámara que reduzca la velocidad del agua facilitando la salida del aire y disminuyendo los efectos de los posibles golpes de</w:t>
      </w:r>
      <w:r>
        <w:rPr>
          <w:spacing w:val="-1"/>
          <w:sz w:val="20"/>
        </w:rPr>
        <w:t> </w:t>
      </w:r>
      <w:r>
        <w:rPr>
          <w:sz w:val="20"/>
        </w:rPr>
        <w:t>ariete.</w:t>
      </w:r>
    </w:p>
    <w:p>
      <w:pPr>
        <w:pStyle w:val="Heading5"/>
        <w:numPr>
          <w:ilvl w:val="4"/>
          <w:numId w:val="157"/>
        </w:numPr>
        <w:tabs>
          <w:tab w:pos="1352" w:val="left" w:leader="none"/>
          <w:tab w:pos="1353" w:val="left" w:leader="none"/>
        </w:tabs>
        <w:spacing w:line="229" w:lineRule="exact" w:before="132" w:after="0"/>
        <w:ind w:left="1352" w:right="0" w:hanging="1135"/>
        <w:jc w:val="left"/>
      </w:pPr>
      <w:r>
        <w:rPr/>
        <w:t>Contadores</w:t>
      </w:r>
      <w:r>
        <w:rPr>
          <w:spacing w:val="-3"/>
        </w:rPr>
        <w:t> </w:t>
      </w:r>
      <w:r>
        <w:rPr/>
        <w:t>divisionarios</w:t>
      </w:r>
    </w:p>
    <w:p>
      <w:pPr>
        <w:pStyle w:val="ListParagraph"/>
        <w:numPr>
          <w:ilvl w:val="0"/>
          <w:numId w:val="163"/>
        </w:numPr>
        <w:tabs>
          <w:tab w:pos="672" w:val="left" w:leader="none"/>
          <w:tab w:pos="673" w:val="left" w:leader="none"/>
        </w:tabs>
        <w:spacing w:line="240" w:lineRule="auto" w:before="0" w:after="0"/>
        <w:ind w:left="672" w:right="390" w:hanging="454"/>
        <w:jc w:val="left"/>
        <w:rPr>
          <w:sz w:val="20"/>
        </w:rPr>
      </w:pPr>
      <w:r>
        <w:rPr>
          <w:sz w:val="20"/>
        </w:rPr>
        <w:t>Los contadores divisionarios deben situarse en zonas de uso común del edificio, de fácil y libre ac- ceso.</w:t>
      </w:r>
    </w:p>
    <w:p>
      <w:pPr>
        <w:pStyle w:val="ListParagraph"/>
        <w:numPr>
          <w:ilvl w:val="0"/>
          <w:numId w:val="163"/>
        </w:numPr>
        <w:tabs>
          <w:tab w:pos="672" w:val="left" w:leader="none"/>
          <w:tab w:pos="673" w:val="left" w:leader="none"/>
        </w:tabs>
        <w:spacing w:line="240" w:lineRule="auto" w:before="59" w:after="0"/>
        <w:ind w:left="672" w:right="390" w:hanging="454"/>
        <w:jc w:val="left"/>
        <w:rPr>
          <w:sz w:val="20"/>
        </w:rPr>
      </w:pPr>
      <w:r>
        <w:rPr>
          <w:sz w:val="20"/>
        </w:rPr>
        <w:t>Contarán con pre-instalación adecuada para una conexión de envío de señales para lectura a dis- tancia del contador.</w:t>
      </w:r>
    </w:p>
    <w:p>
      <w:pPr>
        <w:pStyle w:val="ListParagraph"/>
        <w:numPr>
          <w:ilvl w:val="0"/>
          <w:numId w:val="163"/>
        </w:numPr>
        <w:tabs>
          <w:tab w:pos="672" w:val="left" w:leader="none"/>
          <w:tab w:pos="673" w:val="left" w:leader="none"/>
        </w:tabs>
        <w:spacing w:line="240" w:lineRule="auto" w:before="61" w:after="0"/>
        <w:ind w:left="672" w:right="392" w:hanging="454"/>
        <w:jc w:val="left"/>
        <w:rPr>
          <w:sz w:val="20"/>
        </w:rPr>
      </w:pPr>
      <w:r>
        <w:rPr>
          <w:sz w:val="20"/>
        </w:rPr>
        <w:t>Antes de cada contador divisionario se dispondrá una llave de corte. Después de cada contador se dispondrá una válvula de</w:t>
      </w:r>
      <w:r>
        <w:rPr>
          <w:spacing w:val="-2"/>
          <w:sz w:val="20"/>
        </w:rPr>
        <w:t> </w:t>
      </w:r>
      <w:r>
        <w:rPr>
          <w:sz w:val="20"/>
        </w:rPr>
        <w:t>retención.</w:t>
      </w:r>
    </w:p>
    <w:p>
      <w:pPr>
        <w:pStyle w:val="BodyText"/>
        <w:spacing w:before="5"/>
        <w:rPr>
          <w:sz w:val="17"/>
        </w:rPr>
      </w:pPr>
    </w:p>
    <w:p>
      <w:pPr>
        <w:pStyle w:val="Heading5"/>
        <w:numPr>
          <w:ilvl w:val="3"/>
          <w:numId w:val="157"/>
        </w:numPr>
        <w:tabs>
          <w:tab w:pos="933" w:val="left" w:leader="none"/>
        </w:tabs>
        <w:spacing w:line="240" w:lineRule="auto" w:before="1" w:after="0"/>
        <w:ind w:left="932" w:right="0" w:hanging="708"/>
        <w:jc w:val="both"/>
      </w:pPr>
      <w:r>
        <w:rPr/>
        <w:t>Instalaciones</w:t>
      </w:r>
      <w:r>
        <w:rPr>
          <w:spacing w:val="-1"/>
        </w:rPr>
        <w:t> </w:t>
      </w:r>
      <w:r>
        <w:rPr/>
        <w:t>particulares</w:t>
      </w:r>
    </w:p>
    <w:p>
      <w:pPr>
        <w:pStyle w:val="BodyText"/>
        <w:spacing w:before="98"/>
        <w:ind w:left="218"/>
        <w:jc w:val="both"/>
      </w:pPr>
      <w:r>
        <w:rPr/>
        <w:t>1 Las instalaciones particulares estarán compuestas de los elementos siguientes:</w:t>
      </w:r>
    </w:p>
    <w:p>
      <w:pPr>
        <w:pStyle w:val="ListParagraph"/>
        <w:numPr>
          <w:ilvl w:val="0"/>
          <w:numId w:val="164"/>
        </w:numPr>
        <w:tabs>
          <w:tab w:pos="1126" w:val="left" w:leader="none"/>
        </w:tabs>
        <w:spacing w:line="240" w:lineRule="auto" w:before="60" w:after="0"/>
        <w:ind w:left="1126" w:right="393" w:hanging="454"/>
        <w:jc w:val="both"/>
        <w:rPr>
          <w:sz w:val="20"/>
        </w:rPr>
      </w:pPr>
      <w:r>
        <w:rPr>
          <w:sz w:val="20"/>
        </w:rPr>
        <w:t>una llave de paso situada en el interior de la propiedad particular en lugar accesible para su manipulación;</w:t>
      </w:r>
    </w:p>
    <w:p>
      <w:pPr>
        <w:pStyle w:val="ListParagraph"/>
        <w:numPr>
          <w:ilvl w:val="0"/>
          <w:numId w:val="164"/>
        </w:numPr>
        <w:tabs>
          <w:tab w:pos="1126" w:val="left" w:leader="none"/>
        </w:tabs>
        <w:spacing w:line="240" w:lineRule="auto" w:before="59" w:after="0"/>
        <w:ind w:left="1126" w:right="393" w:hanging="454"/>
        <w:jc w:val="both"/>
        <w:rPr>
          <w:sz w:val="20"/>
        </w:rPr>
      </w:pPr>
      <w:r>
        <w:rPr>
          <w:sz w:val="20"/>
        </w:rPr>
        <w:t>derivaciones particulares, cuyo trazado se realizará de forma tal que las derivaciones a los cuartos húmedos sean independientes. Cada una de estas derivaciones contará con una llave de corte, tanto para agua fría como para agua</w:t>
      </w:r>
      <w:r>
        <w:rPr>
          <w:spacing w:val="-4"/>
          <w:sz w:val="20"/>
        </w:rPr>
        <w:t> </w:t>
      </w:r>
      <w:r>
        <w:rPr>
          <w:sz w:val="20"/>
        </w:rPr>
        <w:t>caliente;</w:t>
      </w:r>
    </w:p>
    <w:p>
      <w:pPr>
        <w:pStyle w:val="ListParagraph"/>
        <w:numPr>
          <w:ilvl w:val="0"/>
          <w:numId w:val="164"/>
        </w:numPr>
        <w:tabs>
          <w:tab w:pos="1126" w:val="left" w:leader="none"/>
        </w:tabs>
        <w:spacing w:line="240" w:lineRule="auto" w:before="60" w:after="0"/>
        <w:ind w:left="1126" w:right="0" w:hanging="454"/>
        <w:jc w:val="both"/>
        <w:rPr>
          <w:sz w:val="20"/>
        </w:rPr>
      </w:pPr>
      <w:r>
        <w:rPr>
          <w:sz w:val="20"/>
        </w:rPr>
        <w:t>ramales de</w:t>
      </w:r>
      <w:r>
        <w:rPr>
          <w:spacing w:val="-1"/>
          <w:sz w:val="20"/>
        </w:rPr>
        <w:t> </w:t>
      </w:r>
      <w:r>
        <w:rPr>
          <w:sz w:val="20"/>
        </w:rPr>
        <w:t>enlace;</w:t>
      </w:r>
    </w:p>
    <w:p>
      <w:pPr>
        <w:pStyle w:val="ListParagraph"/>
        <w:numPr>
          <w:ilvl w:val="0"/>
          <w:numId w:val="164"/>
        </w:numPr>
        <w:tabs>
          <w:tab w:pos="1126" w:val="left" w:leader="none"/>
        </w:tabs>
        <w:spacing w:line="240" w:lineRule="auto" w:before="61" w:after="0"/>
        <w:ind w:left="1126" w:right="388" w:hanging="454"/>
        <w:jc w:val="both"/>
        <w:rPr>
          <w:sz w:val="20"/>
        </w:rPr>
      </w:pPr>
      <w:r>
        <w:rPr>
          <w:sz w:val="20"/>
        </w:rPr>
        <w:t>puntos de consumo, de los cuales, todos los aparatos de descarga, tanto depósitos como gri- fos, los calentadores de agua instantáneos, los acumuladores, las calderas individuales de producción de ACS y calefacción y, en general, los aparatos sanitarios, llevarán una llave de corte</w:t>
      </w:r>
      <w:r>
        <w:rPr>
          <w:spacing w:val="-1"/>
          <w:sz w:val="20"/>
        </w:rPr>
        <w:t> </w:t>
      </w:r>
      <w:r>
        <w:rPr>
          <w:sz w:val="20"/>
        </w:rPr>
        <w:t>individual.</w:t>
      </w:r>
    </w:p>
    <w:p>
      <w:pPr>
        <w:pStyle w:val="BodyText"/>
        <w:spacing w:before="6"/>
        <w:rPr>
          <w:sz w:val="17"/>
        </w:rPr>
      </w:pPr>
    </w:p>
    <w:p>
      <w:pPr>
        <w:pStyle w:val="Heading5"/>
        <w:numPr>
          <w:ilvl w:val="3"/>
          <w:numId w:val="157"/>
        </w:numPr>
        <w:tabs>
          <w:tab w:pos="933" w:val="left" w:leader="none"/>
        </w:tabs>
        <w:spacing w:line="240" w:lineRule="auto" w:before="0" w:after="0"/>
        <w:ind w:left="932" w:right="0" w:hanging="708"/>
        <w:jc w:val="both"/>
      </w:pPr>
      <w:r>
        <w:rPr/>
        <w:t>Derivaciones</w:t>
      </w:r>
      <w:r>
        <w:rPr>
          <w:spacing w:val="-1"/>
        </w:rPr>
        <w:t> </w:t>
      </w:r>
      <w:r>
        <w:rPr/>
        <w:t>colectivas</w:t>
      </w:r>
    </w:p>
    <w:p>
      <w:pPr>
        <w:pStyle w:val="BodyText"/>
        <w:tabs>
          <w:tab w:pos="672" w:val="left" w:leader="none"/>
        </w:tabs>
        <w:spacing w:before="98"/>
        <w:ind w:left="672" w:right="398" w:hanging="454"/>
      </w:pPr>
      <w:r>
        <w:rPr/>
        <w:t>1</w:t>
        <w:tab/>
        <w:t>Discurrirán por zonas comunes y en su diseño se aplicarán condiciones análogas a las de las insta- laciones</w:t>
      </w:r>
      <w:r>
        <w:rPr>
          <w:spacing w:val="-1"/>
        </w:rPr>
        <w:t> </w:t>
      </w:r>
      <w:r>
        <w:rPr/>
        <w:t>particulares.</w:t>
      </w:r>
    </w:p>
    <w:p>
      <w:pPr>
        <w:spacing w:after="0"/>
        <w:sectPr>
          <w:pgSz w:w="11910" w:h="16840"/>
          <w:pgMar w:header="908" w:footer="636" w:top="1320" w:bottom="840" w:left="1200" w:right="740"/>
        </w:sectPr>
      </w:pPr>
    </w:p>
    <w:p>
      <w:pPr>
        <w:pStyle w:val="BodyText"/>
        <w:spacing w:before="1"/>
        <w:rPr>
          <w:sz w:val="12"/>
        </w:rPr>
      </w:pPr>
    </w:p>
    <w:p>
      <w:pPr>
        <w:pStyle w:val="Heading5"/>
        <w:numPr>
          <w:ilvl w:val="3"/>
          <w:numId w:val="157"/>
        </w:numPr>
        <w:tabs>
          <w:tab w:pos="933" w:val="left" w:leader="none"/>
        </w:tabs>
        <w:spacing w:line="240" w:lineRule="auto" w:before="94" w:after="0"/>
        <w:ind w:left="932" w:right="0" w:hanging="708"/>
        <w:jc w:val="left"/>
      </w:pPr>
      <w:r>
        <w:rPr/>
        <w:t>Sistemas de control y regulación de la</w:t>
      </w:r>
      <w:r>
        <w:rPr>
          <w:spacing w:val="-7"/>
        </w:rPr>
        <w:t> </w:t>
      </w:r>
      <w:r>
        <w:rPr/>
        <w:t>presión</w:t>
      </w:r>
    </w:p>
    <w:p>
      <w:pPr>
        <w:pStyle w:val="ListParagraph"/>
        <w:numPr>
          <w:ilvl w:val="4"/>
          <w:numId w:val="157"/>
        </w:numPr>
        <w:tabs>
          <w:tab w:pos="1352" w:val="left" w:leader="none"/>
          <w:tab w:pos="1353" w:val="left" w:leader="none"/>
        </w:tabs>
        <w:spacing w:line="230" w:lineRule="exact" w:before="129" w:after="0"/>
        <w:ind w:left="1352" w:right="0" w:hanging="1135"/>
        <w:jc w:val="left"/>
        <w:rPr>
          <w:b/>
          <w:sz w:val="20"/>
        </w:rPr>
      </w:pPr>
      <w:r>
        <w:rPr>
          <w:b/>
          <w:sz w:val="20"/>
        </w:rPr>
        <w:t>Sistemas de sobreelevación: grupos de</w:t>
      </w:r>
      <w:r>
        <w:rPr>
          <w:b/>
          <w:spacing w:val="-3"/>
          <w:sz w:val="20"/>
        </w:rPr>
        <w:t> </w:t>
      </w:r>
      <w:r>
        <w:rPr>
          <w:b/>
          <w:sz w:val="20"/>
        </w:rPr>
        <w:t>presión</w:t>
      </w:r>
    </w:p>
    <w:p>
      <w:pPr>
        <w:pStyle w:val="ListParagraph"/>
        <w:numPr>
          <w:ilvl w:val="0"/>
          <w:numId w:val="165"/>
        </w:numPr>
        <w:tabs>
          <w:tab w:pos="672" w:val="left" w:leader="none"/>
          <w:tab w:pos="673" w:val="left" w:leader="none"/>
        </w:tabs>
        <w:spacing w:line="240" w:lineRule="auto" w:before="0" w:after="0"/>
        <w:ind w:left="672" w:right="395" w:hanging="454"/>
        <w:jc w:val="left"/>
        <w:rPr>
          <w:sz w:val="20"/>
        </w:rPr>
      </w:pPr>
      <w:r>
        <w:rPr>
          <w:sz w:val="20"/>
        </w:rPr>
        <w:t>El sistema de sobreelevación debe diseñarse de tal manera que se pueda suministrar a zonas del edificio alimentables con presión de red, sin necesidad de la puesta en marcha del</w:t>
      </w:r>
      <w:r>
        <w:rPr>
          <w:spacing w:val="-7"/>
          <w:sz w:val="20"/>
        </w:rPr>
        <w:t> </w:t>
      </w:r>
      <w:r>
        <w:rPr>
          <w:sz w:val="20"/>
        </w:rPr>
        <w:t>grupo.</w:t>
      </w:r>
    </w:p>
    <w:p>
      <w:pPr>
        <w:pStyle w:val="BodyText"/>
        <w:spacing w:before="5"/>
        <w:rPr>
          <w:sz w:val="30"/>
        </w:rPr>
      </w:pPr>
    </w:p>
    <w:p>
      <w:pPr>
        <w:spacing w:before="0"/>
        <w:ind w:left="1777" w:right="0" w:firstLine="0"/>
        <w:jc w:val="both"/>
        <w:rPr>
          <w:b/>
          <w:sz w:val="16"/>
        </w:rPr>
      </w:pPr>
      <w:r>
        <w:rPr/>
        <w:pict>
          <v:group style="position:absolute;margin-left:142.940002pt;margin-top:.123901pt;width:.5pt;height:64.2pt;mso-position-horizontal-relative:page;mso-position-vertical-relative:paragraph;z-index:251991040" coordorigin="2859,2" coordsize="10,1284">
            <v:line style="position:absolute" from="2864,2" to="2864,246" stroked="true" strokeweight=".48pt" strokecolor="#000000">
              <v:stroke dashstyle="solid"/>
            </v:line>
            <v:line style="position:absolute" from="2864,246" to="2864,431" stroked="true" strokeweight=".48pt" strokecolor="#000000">
              <v:stroke dashstyle="solid"/>
            </v:line>
            <v:line style="position:absolute" from="2864,431" to="2864,674" stroked="true" strokeweight=".48pt" strokecolor="#000000">
              <v:stroke dashstyle="solid"/>
            </v:line>
            <v:line style="position:absolute" from="2864,674" to="2864,858" stroked="true" strokeweight=".48pt" strokecolor="#000000">
              <v:stroke dashstyle="solid"/>
            </v:line>
            <v:line style="position:absolute" from="2864,858" to="2864,1043" stroked="true" strokeweight=".48pt" strokecolor="#000000">
              <v:stroke dashstyle="solid"/>
            </v:line>
            <v:line style="position:absolute" from="2864,1043" to="2864,1286" stroked="true" strokeweight=".48pt" strokecolor="#000000">
              <v:stroke dashstyle="solid"/>
            </v:line>
            <w10:wrap type="none"/>
          </v:group>
        </w:pict>
      </w:r>
      <w:r>
        <w:rPr>
          <w:b/>
          <w:sz w:val="16"/>
        </w:rPr>
        <w:t>Alimentación con presión de red</w:t>
      </w:r>
    </w:p>
    <w:p>
      <w:pPr>
        <w:spacing w:before="60"/>
        <w:ind w:left="1777" w:right="392" w:firstLine="0"/>
        <w:jc w:val="both"/>
        <w:rPr>
          <w:sz w:val="16"/>
        </w:rPr>
      </w:pPr>
      <w:r>
        <w:rPr>
          <w:sz w:val="16"/>
        </w:rPr>
        <w:t>Para disminuir el consumo energético, aquellos tramos alimentables con presión de red deben poder ser alimentados sin pasar por el grupo de presión.</w:t>
      </w:r>
    </w:p>
    <w:p>
      <w:pPr>
        <w:spacing w:before="60"/>
        <w:ind w:left="1777" w:right="391" w:firstLine="0"/>
        <w:jc w:val="both"/>
        <w:rPr>
          <w:sz w:val="16"/>
        </w:rPr>
      </w:pPr>
      <w:r>
        <w:rPr>
          <w:sz w:val="16"/>
        </w:rPr>
        <w:t>Además, el sistema debe diseñarse de forma que se posibilite que los tramos que aun requiriendo conexión al grupo de presión, ocasionalmente puedan ser alimentados por presión de red en determinadas condiciones, puedan en esas ocasiones no requerir de la puesta en marcha del</w:t>
      </w:r>
      <w:r>
        <w:rPr>
          <w:spacing w:val="-11"/>
          <w:sz w:val="16"/>
        </w:rPr>
        <w:t> </w:t>
      </w:r>
      <w:r>
        <w:rPr>
          <w:sz w:val="16"/>
        </w:rPr>
        <w:t>grupo.</w:t>
      </w:r>
    </w:p>
    <w:p>
      <w:pPr>
        <w:pStyle w:val="BodyText"/>
        <w:spacing w:before="3"/>
        <w:rPr>
          <w:sz w:val="22"/>
        </w:rPr>
      </w:pPr>
    </w:p>
    <w:p>
      <w:pPr>
        <w:pStyle w:val="ListParagraph"/>
        <w:numPr>
          <w:ilvl w:val="0"/>
          <w:numId w:val="165"/>
        </w:numPr>
        <w:tabs>
          <w:tab w:pos="673" w:val="left" w:leader="none"/>
        </w:tabs>
        <w:spacing w:line="240" w:lineRule="auto" w:before="94" w:after="0"/>
        <w:ind w:left="672" w:right="0" w:hanging="455"/>
        <w:jc w:val="both"/>
        <w:rPr>
          <w:sz w:val="20"/>
        </w:rPr>
      </w:pPr>
      <w:r>
        <w:rPr>
          <w:sz w:val="20"/>
        </w:rPr>
        <w:t>El grupo de presión debe ser de alguno de los dos tipos</w:t>
      </w:r>
      <w:r>
        <w:rPr>
          <w:spacing w:val="-5"/>
          <w:sz w:val="20"/>
        </w:rPr>
        <w:t> </w:t>
      </w:r>
      <w:r>
        <w:rPr>
          <w:sz w:val="20"/>
        </w:rPr>
        <w:t>siguientes:</w:t>
      </w:r>
    </w:p>
    <w:p>
      <w:pPr>
        <w:pStyle w:val="ListParagraph"/>
        <w:numPr>
          <w:ilvl w:val="1"/>
          <w:numId w:val="165"/>
        </w:numPr>
        <w:tabs>
          <w:tab w:pos="1126" w:val="left" w:leader="none"/>
        </w:tabs>
        <w:spacing w:line="240" w:lineRule="auto" w:before="59" w:after="0"/>
        <w:ind w:left="1126" w:right="0" w:hanging="454"/>
        <w:jc w:val="both"/>
        <w:rPr>
          <w:sz w:val="20"/>
        </w:rPr>
      </w:pPr>
      <w:r>
        <w:rPr>
          <w:sz w:val="20"/>
        </w:rPr>
        <w:t>convencional, que contará</w:t>
      </w:r>
      <w:r>
        <w:rPr>
          <w:spacing w:val="-4"/>
          <w:sz w:val="20"/>
        </w:rPr>
        <w:t> </w:t>
      </w:r>
      <w:r>
        <w:rPr>
          <w:sz w:val="20"/>
        </w:rPr>
        <w:t>con:</w:t>
      </w:r>
    </w:p>
    <w:p>
      <w:pPr>
        <w:pStyle w:val="ListParagraph"/>
        <w:numPr>
          <w:ilvl w:val="2"/>
          <w:numId w:val="165"/>
        </w:numPr>
        <w:tabs>
          <w:tab w:pos="1580" w:val="left" w:leader="none"/>
        </w:tabs>
        <w:spacing w:line="240" w:lineRule="auto" w:before="61" w:after="0"/>
        <w:ind w:left="1579" w:right="393" w:hanging="509"/>
        <w:jc w:val="both"/>
        <w:rPr>
          <w:sz w:val="20"/>
        </w:rPr>
      </w:pPr>
      <w:r>
        <w:rPr>
          <w:sz w:val="20"/>
        </w:rPr>
        <w:t>depósito auxiliar de alimentación, que evite la toma de agua directa por el equipo de bombeo;</w:t>
      </w:r>
    </w:p>
    <w:p>
      <w:pPr>
        <w:pStyle w:val="ListParagraph"/>
        <w:numPr>
          <w:ilvl w:val="2"/>
          <w:numId w:val="165"/>
        </w:numPr>
        <w:tabs>
          <w:tab w:pos="1580" w:val="left" w:leader="none"/>
        </w:tabs>
        <w:spacing w:line="240" w:lineRule="auto" w:before="59" w:after="0"/>
        <w:ind w:left="1579" w:right="390" w:hanging="532"/>
        <w:jc w:val="both"/>
        <w:rPr>
          <w:sz w:val="20"/>
        </w:rPr>
      </w:pPr>
      <w:r>
        <w:rPr>
          <w:sz w:val="20"/>
        </w:rPr>
        <w:t>equipo de bombeo, compuesto, como mínimo, de dos bombas de iguales prestaciones y funcionamiento alterno, montadas en</w:t>
      </w:r>
      <w:r>
        <w:rPr>
          <w:spacing w:val="-2"/>
          <w:sz w:val="20"/>
        </w:rPr>
        <w:t> </w:t>
      </w:r>
      <w:r>
        <w:rPr>
          <w:sz w:val="20"/>
        </w:rPr>
        <w:t>paralelo;</w:t>
      </w:r>
    </w:p>
    <w:p>
      <w:pPr>
        <w:pStyle w:val="ListParagraph"/>
        <w:numPr>
          <w:ilvl w:val="2"/>
          <w:numId w:val="165"/>
        </w:numPr>
        <w:tabs>
          <w:tab w:pos="1580" w:val="left" w:leader="none"/>
        </w:tabs>
        <w:spacing w:line="240" w:lineRule="auto" w:before="60" w:after="0"/>
        <w:ind w:left="1579" w:right="391" w:hanging="554"/>
        <w:jc w:val="both"/>
        <w:rPr>
          <w:sz w:val="20"/>
        </w:rPr>
      </w:pPr>
      <w:r>
        <w:rPr>
          <w:sz w:val="20"/>
        </w:rPr>
        <w:t>depósitos de presión con membrana, conectados a dispositivos suficientes de valoración de los parámetros de presión de la instalación, para su puesta en marcha y parada auto- máticas;</w:t>
      </w:r>
    </w:p>
    <w:p>
      <w:pPr>
        <w:pStyle w:val="ListParagraph"/>
        <w:numPr>
          <w:ilvl w:val="1"/>
          <w:numId w:val="165"/>
        </w:numPr>
        <w:tabs>
          <w:tab w:pos="1126" w:val="left" w:leader="none"/>
        </w:tabs>
        <w:spacing w:line="240" w:lineRule="auto" w:before="60" w:after="0"/>
        <w:ind w:left="1126" w:right="388" w:hanging="454"/>
        <w:jc w:val="both"/>
        <w:rPr>
          <w:sz w:val="20"/>
        </w:rPr>
      </w:pPr>
      <w:r>
        <w:rPr>
          <w:sz w:val="20"/>
        </w:rPr>
        <w:t>de accionamiento regulable, también llamados de caudal variable, que podrá prescindir del depósito auxiliar de alimentación y contará con un variador de frecuencia que accionará las bombas manteniendo constante la presión de salida, independientemente del caudal solicitado o disponible. Una de las bombas mantendrá la parte de caudal necesario para el mantenimien- to de la presión</w:t>
      </w:r>
      <w:r>
        <w:rPr>
          <w:spacing w:val="-1"/>
          <w:sz w:val="20"/>
        </w:rPr>
        <w:t> </w:t>
      </w:r>
      <w:r>
        <w:rPr>
          <w:sz w:val="20"/>
        </w:rPr>
        <w:t>adecuada.</w:t>
      </w:r>
    </w:p>
    <w:p>
      <w:pPr>
        <w:pStyle w:val="BodyText"/>
        <w:spacing w:before="3"/>
        <w:rPr>
          <w:sz w:val="27"/>
        </w:rPr>
      </w:pPr>
      <w:r>
        <w:rPr/>
        <w:drawing>
          <wp:anchor distT="0" distB="0" distL="0" distR="0" allowOverlap="1" layoutInCell="1" locked="0" behindDoc="0" simplePos="0" relativeHeight="324">
            <wp:simplePos x="0" y="0"/>
            <wp:positionH relativeFrom="page">
              <wp:posOffset>1230495</wp:posOffset>
            </wp:positionH>
            <wp:positionV relativeFrom="paragraph">
              <wp:posOffset>224311</wp:posOffset>
            </wp:positionV>
            <wp:extent cx="5280700" cy="1763363"/>
            <wp:effectExtent l="0" t="0" r="0" b="0"/>
            <wp:wrapTopAndBottom/>
            <wp:docPr id="75" name="image133.png" descr="hs4-3_vp"/>
            <wp:cNvGraphicFramePr>
              <a:graphicFrameLocks noChangeAspect="1"/>
            </wp:cNvGraphicFramePr>
            <a:graphic>
              <a:graphicData uri="http://schemas.openxmlformats.org/drawingml/2006/picture">
                <pic:pic>
                  <pic:nvPicPr>
                    <pic:cNvPr id="76" name="image133.png"/>
                    <pic:cNvPicPr/>
                  </pic:nvPicPr>
                  <pic:blipFill>
                    <a:blip r:embed="rId142" cstate="print"/>
                    <a:stretch>
                      <a:fillRect/>
                    </a:stretch>
                  </pic:blipFill>
                  <pic:spPr>
                    <a:xfrm>
                      <a:off x="0" y="0"/>
                      <a:ext cx="5280700" cy="1763363"/>
                    </a:xfrm>
                    <a:prstGeom prst="rect">
                      <a:avLst/>
                    </a:prstGeom>
                  </pic:spPr>
                </pic:pic>
              </a:graphicData>
            </a:graphic>
          </wp:anchor>
        </w:drawing>
      </w:r>
    </w:p>
    <w:p>
      <w:pPr>
        <w:spacing w:before="46"/>
        <w:ind w:left="1182" w:right="1355" w:firstLine="0"/>
        <w:jc w:val="center"/>
        <w:rPr>
          <w:b/>
          <w:sz w:val="18"/>
        </w:rPr>
      </w:pPr>
      <w:r>
        <w:rPr>
          <w:b/>
          <w:sz w:val="18"/>
        </w:rPr>
        <w:t>Figura 3.3 Grupos de presión</w:t>
      </w:r>
    </w:p>
    <w:p>
      <w:pPr>
        <w:pStyle w:val="BodyText"/>
        <w:spacing w:before="4"/>
        <w:rPr>
          <w:b/>
          <w:sz w:val="25"/>
        </w:rPr>
      </w:pPr>
    </w:p>
    <w:p>
      <w:pPr>
        <w:pStyle w:val="ListParagraph"/>
        <w:numPr>
          <w:ilvl w:val="0"/>
          <w:numId w:val="165"/>
        </w:numPr>
        <w:tabs>
          <w:tab w:pos="673" w:val="left" w:leader="none"/>
        </w:tabs>
        <w:spacing w:line="240" w:lineRule="auto" w:before="0" w:after="0"/>
        <w:ind w:left="672" w:right="391" w:hanging="454"/>
        <w:jc w:val="both"/>
        <w:rPr>
          <w:sz w:val="20"/>
        </w:rPr>
      </w:pPr>
      <w:r>
        <w:rPr>
          <w:sz w:val="20"/>
        </w:rPr>
        <w:t>El grupo de presión se instalará en un local de uso exclusivo que podrá albergar también el sistema de tratamiento de agua. Las dimensiones de dicho local serán suficientes para realizar las opera- ciones de</w:t>
      </w:r>
      <w:r>
        <w:rPr>
          <w:spacing w:val="-1"/>
          <w:sz w:val="20"/>
        </w:rPr>
        <w:t> </w:t>
      </w:r>
      <w:r>
        <w:rPr>
          <w:sz w:val="20"/>
        </w:rPr>
        <w:t>mantenimiento.</w:t>
      </w:r>
    </w:p>
    <w:p>
      <w:pPr>
        <w:pStyle w:val="Heading5"/>
        <w:numPr>
          <w:ilvl w:val="4"/>
          <w:numId w:val="157"/>
        </w:numPr>
        <w:tabs>
          <w:tab w:pos="1352" w:val="left" w:leader="none"/>
          <w:tab w:pos="1353" w:val="left" w:leader="none"/>
        </w:tabs>
        <w:spacing w:line="229" w:lineRule="exact" w:before="132" w:after="0"/>
        <w:ind w:left="1352" w:right="0" w:hanging="1135"/>
        <w:jc w:val="left"/>
      </w:pPr>
      <w:r>
        <w:rPr/>
        <w:t>Sistemas de reducción de la</w:t>
      </w:r>
      <w:r>
        <w:rPr>
          <w:spacing w:val="-5"/>
        </w:rPr>
        <w:t> </w:t>
      </w:r>
      <w:r>
        <w:rPr/>
        <w:t>presión</w:t>
      </w:r>
    </w:p>
    <w:p>
      <w:pPr>
        <w:pStyle w:val="ListParagraph"/>
        <w:numPr>
          <w:ilvl w:val="0"/>
          <w:numId w:val="166"/>
        </w:numPr>
        <w:tabs>
          <w:tab w:pos="672" w:val="left" w:leader="none"/>
          <w:tab w:pos="673" w:val="left" w:leader="none"/>
        </w:tabs>
        <w:spacing w:line="240" w:lineRule="auto" w:before="0" w:after="0"/>
        <w:ind w:left="672" w:right="396" w:hanging="454"/>
        <w:jc w:val="left"/>
        <w:rPr>
          <w:sz w:val="20"/>
        </w:rPr>
      </w:pPr>
      <w:r>
        <w:rPr>
          <w:sz w:val="20"/>
        </w:rPr>
        <w:t>Deben instalarse válvulas limitadoras de presión en el ramal o derivación pertinente para que no se supere la presión de servicio máxima establecida en</w:t>
      </w:r>
      <w:r>
        <w:rPr>
          <w:spacing w:val="-4"/>
          <w:sz w:val="20"/>
        </w:rPr>
        <w:t> </w:t>
      </w:r>
      <w:r>
        <w:rPr>
          <w:sz w:val="20"/>
        </w:rPr>
        <w:t>2.1.3.</w:t>
      </w:r>
    </w:p>
    <w:p>
      <w:pPr>
        <w:pStyle w:val="ListParagraph"/>
        <w:numPr>
          <w:ilvl w:val="0"/>
          <w:numId w:val="166"/>
        </w:numPr>
        <w:tabs>
          <w:tab w:pos="672" w:val="left" w:leader="none"/>
          <w:tab w:pos="673" w:val="left" w:leader="none"/>
        </w:tabs>
        <w:spacing w:line="240" w:lineRule="auto" w:before="58" w:after="0"/>
        <w:ind w:left="672" w:right="392" w:hanging="454"/>
        <w:jc w:val="left"/>
        <w:rPr>
          <w:sz w:val="20"/>
        </w:rPr>
      </w:pPr>
      <w:r>
        <w:rPr>
          <w:sz w:val="20"/>
        </w:rPr>
        <w:t>Cuando se prevean incrementos significativos en la presión de red deben instalarse válvulas limita- doras de tal forma que no se supere la presión máxima de servicio en los puntos de</w:t>
      </w:r>
      <w:r>
        <w:rPr>
          <w:spacing w:val="-12"/>
          <w:sz w:val="20"/>
        </w:rPr>
        <w:t> </w:t>
      </w:r>
      <w:r>
        <w:rPr>
          <w:sz w:val="20"/>
        </w:rPr>
        <w:t>utilización.</w:t>
      </w:r>
    </w:p>
    <w:p>
      <w:pPr>
        <w:spacing w:after="0" w:line="240" w:lineRule="auto"/>
        <w:jc w:val="left"/>
        <w:rPr>
          <w:sz w:val="20"/>
        </w:rPr>
        <w:sectPr>
          <w:pgSz w:w="11910" w:h="16840"/>
          <w:pgMar w:header="908" w:footer="636" w:top="1320" w:bottom="840" w:left="1200" w:right="740"/>
        </w:sectPr>
      </w:pPr>
    </w:p>
    <w:p>
      <w:pPr>
        <w:pStyle w:val="BodyText"/>
        <w:spacing w:before="1"/>
        <w:rPr>
          <w:sz w:val="12"/>
        </w:rPr>
      </w:pPr>
    </w:p>
    <w:p>
      <w:pPr>
        <w:pStyle w:val="Heading5"/>
        <w:numPr>
          <w:ilvl w:val="3"/>
          <w:numId w:val="157"/>
        </w:numPr>
        <w:tabs>
          <w:tab w:pos="1353" w:val="left" w:leader="none"/>
        </w:tabs>
        <w:spacing w:line="240" w:lineRule="auto" w:before="94" w:after="0"/>
        <w:ind w:left="1352" w:right="0" w:hanging="1135"/>
        <w:jc w:val="both"/>
      </w:pPr>
      <w:r>
        <w:rPr/>
        <w:t>Sistemas de tratamiento de</w:t>
      </w:r>
      <w:r>
        <w:rPr>
          <w:spacing w:val="-5"/>
        </w:rPr>
        <w:t> </w:t>
      </w:r>
      <w:r>
        <w:rPr/>
        <w:t>agua</w:t>
      </w:r>
    </w:p>
    <w:p>
      <w:pPr>
        <w:pStyle w:val="BodyText"/>
        <w:spacing w:before="4"/>
        <w:rPr>
          <w:b/>
          <w:sz w:val="17"/>
        </w:rPr>
      </w:pPr>
    </w:p>
    <w:p>
      <w:pPr>
        <w:pStyle w:val="ListParagraph"/>
        <w:numPr>
          <w:ilvl w:val="4"/>
          <w:numId w:val="157"/>
        </w:numPr>
        <w:tabs>
          <w:tab w:pos="1353" w:val="left" w:leader="none"/>
        </w:tabs>
        <w:spacing w:line="240" w:lineRule="auto" w:before="0" w:after="0"/>
        <w:ind w:left="1352" w:right="0" w:hanging="1128"/>
        <w:jc w:val="both"/>
        <w:rPr>
          <w:b/>
          <w:sz w:val="20"/>
        </w:rPr>
      </w:pPr>
      <w:r>
        <w:rPr>
          <w:b/>
          <w:sz w:val="20"/>
        </w:rPr>
        <w:t>Condiciones</w:t>
      </w:r>
      <w:r>
        <w:rPr>
          <w:b/>
          <w:spacing w:val="-1"/>
          <w:sz w:val="20"/>
        </w:rPr>
        <w:t> </w:t>
      </w:r>
      <w:r>
        <w:rPr>
          <w:b/>
          <w:sz w:val="20"/>
        </w:rPr>
        <w:t>generales</w:t>
      </w:r>
    </w:p>
    <w:p>
      <w:pPr>
        <w:pStyle w:val="BodyText"/>
        <w:spacing w:before="99"/>
        <w:ind w:left="672" w:right="390" w:hanging="454"/>
        <w:jc w:val="both"/>
      </w:pPr>
      <w:r>
        <w:rPr/>
        <w:t>1 En el caso de que se quiera instalar un sistema de tratamiento en la instalación interior no deberá empeorar el agua suministrada y en ningún caso incumplir con los valores paramétricos estableci- dos en el Anexo I del Real Decreto 140/2003.</w:t>
      </w:r>
    </w:p>
    <w:p>
      <w:pPr>
        <w:pStyle w:val="BodyText"/>
        <w:spacing w:before="6"/>
        <w:rPr>
          <w:sz w:val="17"/>
        </w:rPr>
      </w:pPr>
    </w:p>
    <w:p>
      <w:pPr>
        <w:pStyle w:val="Heading5"/>
        <w:numPr>
          <w:ilvl w:val="4"/>
          <w:numId w:val="157"/>
        </w:numPr>
        <w:tabs>
          <w:tab w:pos="1353" w:val="left" w:leader="none"/>
        </w:tabs>
        <w:spacing w:line="240" w:lineRule="auto" w:before="0" w:after="0"/>
        <w:ind w:left="1352" w:right="0" w:hanging="1128"/>
        <w:jc w:val="both"/>
      </w:pPr>
      <w:r>
        <w:rPr/>
        <w:t>Exigencias de los</w:t>
      </w:r>
      <w:r>
        <w:rPr>
          <w:spacing w:val="-1"/>
        </w:rPr>
        <w:t> </w:t>
      </w:r>
      <w:r>
        <w:rPr/>
        <w:t>materiales</w:t>
      </w:r>
    </w:p>
    <w:p>
      <w:pPr>
        <w:pStyle w:val="BodyText"/>
        <w:spacing w:before="98"/>
        <w:ind w:left="672" w:right="394" w:hanging="454"/>
        <w:jc w:val="both"/>
      </w:pPr>
      <w:r>
        <w:rPr/>
        <w:t>1 Los materiales utilizados en la fabricación de los equipos de tratamiento de agua deben tener las características adecuadas en cuanto a resistencia mecánica, química y microbiológica para cumplir con los requerimientos inherentes tanto al agua como al proceso de tratamiento.</w:t>
      </w:r>
    </w:p>
    <w:p>
      <w:pPr>
        <w:pStyle w:val="BodyText"/>
        <w:spacing w:before="6"/>
        <w:rPr>
          <w:sz w:val="17"/>
        </w:rPr>
      </w:pPr>
    </w:p>
    <w:p>
      <w:pPr>
        <w:pStyle w:val="Heading5"/>
        <w:numPr>
          <w:ilvl w:val="4"/>
          <w:numId w:val="157"/>
        </w:numPr>
        <w:tabs>
          <w:tab w:pos="1352" w:val="left" w:leader="none"/>
          <w:tab w:pos="1353" w:val="left" w:leader="none"/>
        </w:tabs>
        <w:spacing w:line="240" w:lineRule="auto" w:before="0" w:after="0"/>
        <w:ind w:left="1352" w:right="0" w:hanging="1128"/>
        <w:jc w:val="left"/>
      </w:pPr>
      <w:r>
        <w:rPr/>
        <w:t>Exigencias de</w:t>
      </w:r>
      <w:r>
        <w:rPr>
          <w:spacing w:val="-1"/>
        </w:rPr>
        <w:t> </w:t>
      </w:r>
      <w:r>
        <w:rPr/>
        <w:t>funcionamiento</w:t>
      </w:r>
    </w:p>
    <w:p>
      <w:pPr>
        <w:pStyle w:val="ListParagraph"/>
        <w:numPr>
          <w:ilvl w:val="0"/>
          <w:numId w:val="167"/>
        </w:numPr>
        <w:tabs>
          <w:tab w:pos="672" w:val="left" w:leader="none"/>
          <w:tab w:pos="673" w:val="left" w:leader="none"/>
        </w:tabs>
        <w:spacing w:line="240" w:lineRule="auto" w:before="99" w:after="0"/>
        <w:ind w:left="672" w:right="395" w:hanging="454"/>
        <w:jc w:val="left"/>
        <w:rPr>
          <w:sz w:val="20"/>
        </w:rPr>
      </w:pPr>
      <w:r>
        <w:rPr>
          <w:sz w:val="20"/>
        </w:rPr>
        <w:t>Deben realizarse las derivaciones adecuadas en la red de forma que la parada momentánea del sistema no suponga discontinuidad en el suministro de agua al</w:t>
      </w:r>
      <w:r>
        <w:rPr>
          <w:spacing w:val="-5"/>
          <w:sz w:val="20"/>
        </w:rPr>
        <w:t> </w:t>
      </w:r>
      <w:r>
        <w:rPr>
          <w:sz w:val="20"/>
        </w:rPr>
        <w:t>edificio.</w:t>
      </w:r>
    </w:p>
    <w:p>
      <w:pPr>
        <w:pStyle w:val="ListParagraph"/>
        <w:numPr>
          <w:ilvl w:val="0"/>
          <w:numId w:val="167"/>
        </w:numPr>
        <w:tabs>
          <w:tab w:pos="672" w:val="left" w:leader="none"/>
          <w:tab w:pos="673" w:val="left" w:leader="none"/>
        </w:tabs>
        <w:spacing w:line="240" w:lineRule="auto" w:before="59" w:after="0"/>
        <w:ind w:left="672" w:right="391" w:hanging="454"/>
        <w:jc w:val="left"/>
        <w:rPr>
          <w:sz w:val="20"/>
        </w:rPr>
      </w:pPr>
      <w:r>
        <w:rPr>
          <w:sz w:val="20"/>
        </w:rPr>
        <w:t>Los sistemas de tratamiento deben estar dotados de dispositivos de medida que permitan compro- bar la eficacia prevista en el tratamiento del</w:t>
      </w:r>
      <w:r>
        <w:rPr>
          <w:spacing w:val="-5"/>
          <w:sz w:val="20"/>
        </w:rPr>
        <w:t> </w:t>
      </w:r>
      <w:r>
        <w:rPr>
          <w:sz w:val="20"/>
        </w:rPr>
        <w:t>agua.</w:t>
      </w:r>
    </w:p>
    <w:p>
      <w:pPr>
        <w:pStyle w:val="ListParagraph"/>
        <w:numPr>
          <w:ilvl w:val="0"/>
          <w:numId w:val="167"/>
        </w:numPr>
        <w:tabs>
          <w:tab w:pos="672" w:val="left" w:leader="none"/>
          <w:tab w:pos="673" w:val="left" w:leader="none"/>
        </w:tabs>
        <w:spacing w:line="240" w:lineRule="auto" w:before="60" w:after="0"/>
        <w:ind w:left="672" w:right="393" w:hanging="454"/>
        <w:jc w:val="left"/>
        <w:rPr>
          <w:sz w:val="20"/>
        </w:rPr>
      </w:pPr>
      <w:r>
        <w:rPr>
          <w:sz w:val="20"/>
        </w:rPr>
        <w:t>Los equipos de tratamiento deben disponer de un contador que permita medir, a su entrada, el agua utilizada para su</w:t>
      </w:r>
      <w:r>
        <w:rPr>
          <w:spacing w:val="-2"/>
          <w:sz w:val="20"/>
        </w:rPr>
        <w:t> </w:t>
      </w:r>
      <w:r>
        <w:rPr>
          <w:sz w:val="20"/>
        </w:rPr>
        <w:t>mantenimiento.</w:t>
      </w:r>
    </w:p>
    <w:p>
      <w:pPr>
        <w:pStyle w:val="BodyText"/>
        <w:spacing w:before="7"/>
        <w:rPr>
          <w:sz w:val="17"/>
        </w:rPr>
      </w:pPr>
    </w:p>
    <w:p>
      <w:pPr>
        <w:pStyle w:val="Heading5"/>
        <w:numPr>
          <w:ilvl w:val="4"/>
          <w:numId w:val="157"/>
        </w:numPr>
        <w:tabs>
          <w:tab w:pos="1353" w:val="left" w:leader="none"/>
        </w:tabs>
        <w:spacing w:line="240" w:lineRule="auto" w:before="0" w:after="0"/>
        <w:ind w:left="1352" w:right="0" w:hanging="1128"/>
        <w:jc w:val="both"/>
      </w:pPr>
      <w:r>
        <w:rPr/>
        <w:t>Productos de</w:t>
      </w:r>
      <w:r>
        <w:rPr>
          <w:spacing w:val="-1"/>
        </w:rPr>
        <w:t> </w:t>
      </w:r>
      <w:r>
        <w:rPr/>
        <w:t>tratamiento</w:t>
      </w:r>
    </w:p>
    <w:p>
      <w:pPr>
        <w:pStyle w:val="BodyText"/>
        <w:spacing w:before="98"/>
        <w:ind w:left="672" w:right="389" w:hanging="454"/>
        <w:jc w:val="both"/>
      </w:pPr>
      <w:r>
        <w:rPr/>
        <w:t>1   Los productos químicos utilizados en el proceso deben almacenarse en condiciones de seguridad    en función de su naturaleza y su forma de utilización. La entrada al local destinado a su almacena- miento debe estar dotada de un sistema para que el acceso sea restringido a las personas autori- zadas para su</w:t>
      </w:r>
      <w:r>
        <w:rPr>
          <w:spacing w:val="-4"/>
        </w:rPr>
        <w:t> </w:t>
      </w:r>
      <w:r>
        <w:rPr/>
        <w:t>manipulación.</w:t>
      </w:r>
    </w:p>
    <w:p>
      <w:pPr>
        <w:pStyle w:val="BodyText"/>
        <w:spacing w:before="6"/>
        <w:rPr>
          <w:sz w:val="17"/>
        </w:rPr>
      </w:pPr>
    </w:p>
    <w:p>
      <w:pPr>
        <w:pStyle w:val="Heading5"/>
        <w:numPr>
          <w:ilvl w:val="4"/>
          <w:numId w:val="157"/>
        </w:numPr>
        <w:tabs>
          <w:tab w:pos="1353" w:val="left" w:leader="none"/>
        </w:tabs>
        <w:spacing w:line="240" w:lineRule="auto" w:before="0" w:after="0"/>
        <w:ind w:left="1352" w:right="0" w:hanging="1128"/>
        <w:jc w:val="both"/>
      </w:pPr>
      <w:r>
        <w:rPr/>
        <w:t>Situación del</w:t>
      </w:r>
      <w:r>
        <w:rPr>
          <w:spacing w:val="-2"/>
        </w:rPr>
        <w:t> </w:t>
      </w:r>
      <w:r>
        <w:rPr/>
        <w:t>equipo</w:t>
      </w:r>
    </w:p>
    <w:p>
      <w:pPr>
        <w:pStyle w:val="BodyText"/>
        <w:spacing w:before="99"/>
        <w:ind w:left="672" w:right="389" w:hanging="454"/>
        <w:jc w:val="both"/>
      </w:pPr>
      <w:r>
        <w:rPr/>
        <w:t>1 El local en que se instale el equipo de tratamiento de agua debe ser preferentemente de uso exclu- sivo, aunque si existiera un sistema de sobreelevación podrá compartir el espacio de instalación  con éste. En cualquier caso su acceso se producirá desde el exterior o desde zonas comunes del edificio, estando restringido al personal autorizado. Las dimensiones del local serán las adecuadas para alojar los dispositivos necesarios, así como para realizar un correcto mantenimiento y conser- vación de los mismos. Dispondrá de desagüe a la red general de saneamiento del inmueble, así como un grifo o toma de suministro de</w:t>
      </w:r>
      <w:r>
        <w:rPr>
          <w:spacing w:val="-4"/>
        </w:rPr>
        <w:t> </w:t>
      </w:r>
      <w:r>
        <w:rPr/>
        <w:t>agua.</w:t>
      </w:r>
    </w:p>
    <w:p>
      <w:pPr>
        <w:pStyle w:val="BodyText"/>
        <w:spacing w:before="6"/>
        <w:rPr>
          <w:sz w:val="17"/>
        </w:rPr>
      </w:pPr>
    </w:p>
    <w:p>
      <w:pPr>
        <w:pStyle w:val="Heading5"/>
        <w:numPr>
          <w:ilvl w:val="2"/>
          <w:numId w:val="157"/>
        </w:numPr>
        <w:tabs>
          <w:tab w:pos="787" w:val="left" w:leader="none"/>
        </w:tabs>
        <w:spacing w:line="240" w:lineRule="auto" w:before="0" w:after="0"/>
        <w:ind w:left="786" w:right="0" w:hanging="569"/>
        <w:jc w:val="left"/>
      </w:pPr>
      <w:r>
        <w:rPr/>
        <w:t>Instalaciones de agua caliente sanitaria</w:t>
      </w:r>
      <w:r>
        <w:rPr>
          <w:spacing w:val="-3"/>
        </w:rPr>
        <w:t> </w:t>
      </w:r>
      <w:r>
        <w:rPr/>
        <w:t>(ACS)</w:t>
      </w:r>
    </w:p>
    <w:p>
      <w:pPr>
        <w:pStyle w:val="BodyText"/>
        <w:spacing w:before="5"/>
        <w:rPr>
          <w:b/>
          <w:sz w:val="17"/>
        </w:rPr>
      </w:pPr>
    </w:p>
    <w:p>
      <w:pPr>
        <w:pStyle w:val="ListParagraph"/>
        <w:numPr>
          <w:ilvl w:val="3"/>
          <w:numId w:val="157"/>
        </w:numPr>
        <w:tabs>
          <w:tab w:pos="933" w:val="left" w:leader="none"/>
        </w:tabs>
        <w:spacing w:line="240" w:lineRule="auto" w:before="0" w:after="0"/>
        <w:ind w:left="932" w:right="0" w:hanging="708"/>
        <w:jc w:val="both"/>
        <w:rPr>
          <w:b/>
          <w:sz w:val="20"/>
        </w:rPr>
      </w:pPr>
      <w:r>
        <w:rPr>
          <w:b/>
          <w:sz w:val="20"/>
        </w:rPr>
        <w:t>Distribución (impulsión y</w:t>
      </w:r>
      <w:r>
        <w:rPr>
          <w:b/>
          <w:spacing w:val="-3"/>
          <w:sz w:val="20"/>
        </w:rPr>
        <w:t> </w:t>
      </w:r>
      <w:r>
        <w:rPr>
          <w:b/>
          <w:sz w:val="20"/>
        </w:rPr>
        <w:t>retorno)</w:t>
      </w:r>
    </w:p>
    <w:p>
      <w:pPr>
        <w:pStyle w:val="ListParagraph"/>
        <w:numPr>
          <w:ilvl w:val="0"/>
          <w:numId w:val="168"/>
        </w:numPr>
        <w:tabs>
          <w:tab w:pos="673" w:val="left" w:leader="none"/>
        </w:tabs>
        <w:spacing w:line="240" w:lineRule="auto" w:before="98" w:after="0"/>
        <w:ind w:left="672" w:right="397" w:hanging="454"/>
        <w:jc w:val="both"/>
        <w:rPr>
          <w:sz w:val="20"/>
        </w:rPr>
      </w:pPr>
      <w:r>
        <w:rPr>
          <w:sz w:val="20"/>
        </w:rPr>
        <w:t>En el diseño de las instalaciones de ACS deben aplicarse condiciones análogas a las de las redes de agua fría.</w:t>
      </w:r>
    </w:p>
    <w:p>
      <w:pPr>
        <w:pStyle w:val="ListParagraph"/>
        <w:numPr>
          <w:ilvl w:val="0"/>
          <w:numId w:val="168"/>
        </w:numPr>
        <w:tabs>
          <w:tab w:pos="673" w:val="left" w:leader="none"/>
        </w:tabs>
        <w:spacing w:line="240" w:lineRule="auto" w:before="60" w:after="0"/>
        <w:ind w:left="672" w:right="391" w:hanging="454"/>
        <w:jc w:val="both"/>
        <w:rPr>
          <w:sz w:val="20"/>
        </w:rPr>
      </w:pPr>
      <w:r>
        <w:rPr>
          <w:sz w:val="20"/>
        </w:rPr>
        <w:t>En los edificios en los que sea de aplicación la contribución mínima de energía solar para la pro- ducción de agua caliente sanitaria, de acuerdo con la sección HE-4 del DB-HE, deben disponerse, además de las tomas de agua fría, previstas para la conexión de la lavadora y el lavavajillas, sen- das tomas de agua caliente para permitir la instalación de equipos</w:t>
      </w:r>
      <w:r>
        <w:rPr>
          <w:spacing w:val="-3"/>
          <w:sz w:val="20"/>
        </w:rPr>
        <w:t> </w:t>
      </w:r>
      <w:r>
        <w:rPr>
          <w:sz w:val="20"/>
        </w:rPr>
        <w:t>bitérmicos.</w:t>
      </w:r>
    </w:p>
    <w:p>
      <w:pPr>
        <w:pStyle w:val="ListParagraph"/>
        <w:numPr>
          <w:ilvl w:val="0"/>
          <w:numId w:val="168"/>
        </w:numPr>
        <w:tabs>
          <w:tab w:pos="673" w:val="left" w:leader="none"/>
        </w:tabs>
        <w:spacing w:line="240" w:lineRule="auto" w:before="60" w:after="0"/>
        <w:ind w:left="672" w:right="394" w:hanging="454"/>
        <w:jc w:val="both"/>
        <w:rPr>
          <w:sz w:val="20"/>
        </w:rPr>
      </w:pPr>
      <w:r>
        <w:rPr>
          <w:sz w:val="20"/>
        </w:rPr>
        <w:t>Tanto en instalaciones individuales como en instalaciones de producción centralizada, la red de distribución debe estar dotada de una red de retorno cuando la longitud de la tubería de ida al punto de consumo más alejado sea igual o mayor que 15</w:t>
      </w:r>
      <w:r>
        <w:rPr>
          <w:spacing w:val="-5"/>
          <w:sz w:val="20"/>
        </w:rPr>
        <w:t> </w:t>
      </w:r>
      <w:r>
        <w:rPr>
          <w:sz w:val="20"/>
        </w:rPr>
        <w:t>m.</w:t>
      </w:r>
    </w:p>
    <w:p>
      <w:pPr>
        <w:pStyle w:val="ListParagraph"/>
        <w:numPr>
          <w:ilvl w:val="0"/>
          <w:numId w:val="168"/>
        </w:numPr>
        <w:tabs>
          <w:tab w:pos="673" w:val="left" w:leader="none"/>
        </w:tabs>
        <w:spacing w:line="240" w:lineRule="auto" w:before="60" w:after="0"/>
        <w:ind w:left="672" w:right="0" w:hanging="455"/>
        <w:jc w:val="both"/>
        <w:rPr>
          <w:sz w:val="20"/>
        </w:rPr>
      </w:pPr>
      <w:r>
        <w:rPr>
          <w:sz w:val="20"/>
        </w:rPr>
        <w:t>La red de retorno se compondrá</w:t>
      </w:r>
      <w:r>
        <w:rPr>
          <w:spacing w:val="-4"/>
          <w:sz w:val="20"/>
        </w:rPr>
        <w:t> </w:t>
      </w:r>
      <w:r>
        <w:rPr>
          <w:sz w:val="20"/>
        </w:rPr>
        <w:t>de</w:t>
      </w:r>
    </w:p>
    <w:p>
      <w:pPr>
        <w:pStyle w:val="ListParagraph"/>
        <w:numPr>
          <w:ilvl w:val="1"/>
          <w:numId w:val="168"/>
        </w:numPr>
        <w:tabs>
          <w:tab w:pos="1126" w:val="left" w:leader="none"/>
        </w:tabs>
        <w:spacing w:line="240" w:lineRule="auto" w:before="61" w:after="0"/>
        <w:ind w:left="1126" w:right="393" w:hanging="454"/>
        <w:jc w:val="both"/>
        <w:rPr>
          <w:sz w:val="20"/>
        </w:rPr>
      </w:pPr>
      <w:r>
        <w:rPr>
          <w:sz w:val="20"/>
        </w:rPr>
        <w:t>un colector de retorno en las distribuciones por grupos múltiples de columnas. El colector debe tener canalización con pendiente descendente desde el extremo superior de las columnas de ida hasta la columna de retorno. Cada colector puede recoger todas o varias de las columnas de ida, que tengan igual</w:t>
      </w:r>
      <w:r>
        <w:rPr>
          <w:spacing w:val="-2"/>
          <w:sz w:val="20"/>
        </w:rPr>
        <w:t> </w:t>
      </w:r>
      <w:r>
        <w:rPr>
          <w:sz w:val="20"/>
        </w:rPr>
        <w:t>presión;</w:t>
      </w:r>
    </w:p>
    <w:p>
      <w:pPr>
        <w:pStyle w:val="ListParagraph"/>
        <w:numPr>
          <w:ilvl w:val="1"/>
          <w:numId w:val="168"/>
        </w:numPr>
        <w:tabs>
          <w:tab w:pos="1126" w:val="left" w:leader="none"/>
        </w:tabs>
        <w:spacing w:line="240" w:lineRule="auto" w:before="59" w:after="0"/>
        <w:ind w:left="1126" w:right="396" w:hanging="454"/>
        <w:jc w:val="both"/>
        <w:rPr>
          <w:sz w:val="20"/>
        </w:rPr>
      </w:pPr>
      <w:r>
        <w:rPr>
          <w:sz w:val="20"/>
        </w:rPr>
        <w:t>columnas de retorno: desde el extremo superior de las columnas de ida, o desde el colector de retorno, hasta el acumulador o calentador</w:t>
      </w:r>
      <w:r>
        <w:rPr>
          <w:spacing w:val="-4"/>
          <w:sz w:val="20"/>
        </w:rPr>
        <w:t> </w:t>
      </w:r>
      <w:r>
        <w:rPr>
          <w:sz w:val="20"/>
        </w:rPr>
        <w:t>centralizado.</w:t>
      </w:r>
    </w:p>
    <w:p>
      <w:pPr>
        <w:pStyle w:val="ListParagraph"/>
        <w:numPr>
          <w:ilvl w:val="0"/>
          <w:numId w:val="168"/>
        </w:numPr>
        <w:tabs>
          <w:tab w:pos="673" w:val="left" w:leader="none"/>
        </w:tabs>
        <w:spacing w:line="240" w:lineRule="auto" w:before="61" w:after="0"/>
        <w:ind w:left="672" w:right="0" w:hanging="455"/>
        <w:jc w:val="both"/>
        <w:rPr>
          <w:sz w:val="20"/>
        </w:rPr>
      </w:pPr>
      <w:r>
        <w:rPr>
          <w:sz w:val="20"/>
        </w:rPr>
        <w:t>Las redes de retorno discurrirán paralelamente a las de</w:t>
      </w:r>
      <w:r>
        <w:rPr>
          <w:spacing w:val="-4"/>
          <w:sz w:val="20"/>
        </w:rPr>
        <w:t> </w:t>
      </w:r>
      <w:r>
        <w:rPr>
          <w:sz w:val="20"/>
        </w:rPr>
        <w:t>impulsión.</w:t>
      </w:r>
    </w:p>
    <w:p>
      <w:pPr>
        <w:spacing w:after="0" w:line="240" w:lineRule="auto"/>
        <w:jc w:val="both"/>
        <w:rPr>
          <w:sz w:val="20"/>
        </w:rPr>
        <w:sectPr>
          <w:pgSz w:w="11910" w:h="16840"/>
          <w:pgMar w:header="908" w:footer="636" w:top="1320" w:bottom="840" w:left="1200" w:right="740"/>
        </w:sectPr>
      </w:pPr>
    </w:p>
    <w:p>
      <w:pPr>
        <w:pStyle w:val="ListParagraph"/>
        <w:numPr>
          <w:ilvl w:val="0"/>
          <w:numId w:val="168"/>
        </w:numPr>
        <w:tabs>
          <w:tab w:pos="673" w:val="left" w:leader="none"/>
        </w:tabs>
        <w:spacing w:line="240" w:lineRule="auto" w:before="91" w:after="0"/>
        <w:ind w:left="672" w:right="391" w:hanging="454"/>
        <w:jc w:val="both"/>
        <w:rPr>
          <w:sz w:val="20"/>
        </w:rPr>
      </w:pPr>
      <w:r>
        <w:rPr>
          <w:sz w:val="20"/>
        </w:rPr>
        <w:t>En los montantes, debe realizarse el retorno desde su parte superior y por debajo de la última deri- vación particular. En la base de dichos montantes se dispondrán válvulas de asiento para regular y equilibrar hidráulicamente el</w:t>
      </w:r>
      <w:r>
        <w:rPr>
          <w:spacing w:val="-3"/>
          <w:sz w:val="20"/>
        </w:rPr>
        <w:t> </w:t>
      </w:r>
      <w:r>
        <w:rPr>
          <w:sz w:val="20"/>
        </w:rPr>
        <w:t>retorno.</w:t>
      </w:r>
    </w:p>
    <w:p>
      <w:pPr>
        <w:pStyle w:val="ListParagraph"/>
        <w:numPr>
          <w:ilvl w:val="0"/>
          <w:numId w:val="168"/>
        </w:numPr>
        <w:tabs>
          <w:tab w:pos="673" w:val="left" w:leader="none"/>
        </w:tabs>
        <w:spacing w:line="240" w:lineRule="auto" w:before="60" w:after="0"/>
        <w:ind w:left="672" w:right="389" w:hanging="454"/>
        <w:jc w:val="both"/>
        <w:rPr>
          <w:sz w:val="20"/>
        </w:rPr>
      </w:pPr>
      <w:r>
        <w:rPr>
          <w:sz w:val="20"/>
        </w:rPr>
        <w:t>Excepto en viviendas unifamiliares o en instalaciones pequeñas, se dispondrá una bomba de recir- culación doble, de montaje paralelo o “gemelas”, funcionando de forma análoga a como se especifi- ca para las del grupo de presión de agua fría. En el caso de las instalaciones individuales podrá es- tar incorporada al equipo de</w:t>
      </w:r>
      <w:r>
        <w:rPr>
          <w:spacing w:val="-3"/>
          <w:sz w:val="20"/>
        </w:rPr>
        <w:t> </w:t>
      </w:r>
      <w:r>
        <w:rPr>
          <w:sz w:val="20"/>
        </w:rPr>
        <w:t>producción.</w:t>
      </w:r>
    </w:p>
    <w:p>
      <w:pPr>
        <w:pStyle w:val="ListParagraph"/>
        <w:numPr>
          <w:ilvl w:val="0"/>
          <w:numId w:val="168"/>
        </w:numPr>
        <w:tabs>
          <w:tab w:pos="673" w:val="left" w:leader="none"/>
        </w:tabs>
        <w:spacing w:line="240" w:lineRule="auto" w:before="60" w:after="0"/>
        <w:ind w:left="672" w:right="393" w:hanging="454"/>
        <w:jc w:val="both"/>
        <w:rPr>
          <w:sz w:val="20"/>
        </w:rPr>
      </w:pPr>
      <w:r>
        <w:rPr>
          <w:sz w:val="20"/>
        </w:rPr>
        <w:t>Para soportar adecuadamente los movimientos de dilatación por efectos térmicos deben tomarse las precauciones</w:t>
      </w:r>
      <w:r>
        <w:rPr>
          <w:spacing w:val="-3"/>
          <w:sz w:val="20"/>
        </w:rPr>
        <w:t> </w:t>
      </w:r>
      <w:r>
        <w:rPr>
          <w:sz w:val="20"/>
        </w:rPr>
        <w:t>siguientes:</w:t>
      </w:r>
    </w:p>
    <w:p>
      <w:pPr>
        <w:pStyle w:val="ListParagraph"/>
        <w:numPr>
          <w:ilvl w:val="1"/>
          <w:numId w:val="168"/>
        </w:numPr>
        <w:tabs>
          <w:tab w:pos="1126" w:val="left" w:leader="none"/>
        </w:tabs>
        <w:spacing w:line="240" w:lineRule="auto" w:before="61" w:after="0"/>
        <w:ind w:left="1126" w:right="394" w:hanging="454"/>
        <w:jc w:val="both"/>
        <w:rPr>
          <w:sz w:val="20"/>
        </w:rPr>
      </w:pPr>
      <w:r>
        <w:rPr>
          <w:sz w:val="20"/>
        </w:rPr>
        <w:t>en las distribuciones principales deben disponerse las tuberías y sus anclajes de tal modo que dilaten libremente, según lo establecido en el Reglamento de Instalaciones Térmicas en los Edificios y sus Instrucciones Técnicas Complementarias ITE para las redes de</w:t>
      </w:r>
      <w:r>
        <w:rPr>
          <w:spacing w:val="-4"/>
          <w:sz w:val="20"/>
        </w:rPr>
        <w:t> </w:t>
      </w:r>
      <w:r>
        <w:rPr>
          <w:sz w:val="20"/>
        </w:rPr>
        <w:t>calefacción;</w:t>
      </w:r>
    </w:p>
    <w:p>
      <w:pPr>
        <w:pStyle w:val="ListParagraph"/>
        <w:numPr>
          <w:ilvl w:val="1"/>
          <w:numId w:val="168"/>
        </w:numPr>
        <w:tabs>
          <w:tab w:pos="1126" w:val="left" w:leader="none"/>
        </w:tabs>
        <w:spacing w:line="240" w:lineRule="auto" w:before="59" w:after="0"/>
        <w:ind w:left="1126" w:right="393" w:hanging="454"/>
        <w:jc w:val="both"/>
        <w:rPr>
          <w:sz w:val="20"/>
        </w:rPr>
      </w:pPr>
      <w:r>
        <w:rPr>
          <w:sz w:val="20"/>
        </w:rPr>
        <w:t>en los tramos rectos se considerará la dilatación lineal del material, previendo dilatadores si fuera necesario, cumpliéndose para cada tipo de tubo las distancias que se especifican en el Reglamento antes</w:t>
      </w:r>
      <w:r>
        <w:rPr>
          <w:spacing w:val="-4"/>
          <w:sz w:val="20"/>
        </w:rPr>
        <w:t> </w:t>
      </w:r>
      <w:r>
        <w:rPr>
          <w:sz w:val="20"/>
        </w:rPr>
        <w:t>citado.</w:t>
      </w:r>
    </w:p>
    <w:p>
      <w:pPr>
        <w:pStyle w:val="ListParagraph"/>
        <w:numPr>
          <w:ilvl w:val="0"/>
          <w:numId w:val="168"/>
        </w:numPr>
        <w:tabs>
          <w:tab w:pos="673" w:val="left" w:leader="none"/>
        </w:tabs>
        <w:spacing w:line="240" w:lineRule="auto" w:before="60" w:after="0"/>
        <w:ind w:left="672" w:right="394" w:hanging="454"/>
        <w:jc w:val="both"/>
        <w:rPr>
          <w:sz w:val="20"/>
        </w:rPr>
      </w:pPr>
      <w:r>
        <w:rPr>
          <w:sz w:val="20"/>
        </w:rPr>
        <w:t>El aislamiento de las redes de tuberías, tanto en impulsión como en retorno, debe ajustarse a lo dispuesto en el Reglamento de Instalaciones Térmicas en los Edificios y sus Instrucciones Técnicas Complementarias</w:t>
      </w:r>
      <w:r>
        <w:rPr>
          <w:spacing w:val="-1"/>
          <w:sz w:val="20"/>
        </w:rPr>
        <w:t> </w:t>
      </w:r>
      <w:r>
        <w:rPr>
          <w:sz w:val="20"/>
        </w:rPr>
        <w:t>ITE.</w:t>
      </w:r>
    </w:p>
    <w:p>
      <w:pPr>
        <w:pStyle w:val="BodyText"/>
        <w:spacing w:before="5"/>
        <w:rPr>
          <w:sz w:val="30"/>
        </w:rPr>
      </w:pPr>
    </w:p>
    <w:p>
      <w:pPr>
        <w:spacing w:before="0"/>
        <w:ind w:left="1778" w:right="0" w:firstLine="0"/>
        <w:jc w:val="left"/>
        <w:rPr>
          <w:b/>
          <w:sz w:val="16"/>
        </w:rPr>
      </w:pPr>
      <w:r>
        <w:rPr/>
        <w:pict>
          <v:group style="position:absolute;margin-left:143pt;margin-top:.123921pt;width:.5pt;height:24.45pt;mso-position-horizontal-relative:page;mso-position-vertical-relative:paragraph;z-index:251992064" coordorigin="2860,2" coordsize="10,489">
            <v:line style="position:absolute" from="2865,2" to="2865,246" stroked="true" strokeweight=".48pt" strokecolor="#000000">
              <v:stroke dashstyle="solid"/>
            </v:line>
            <v:line style="position:absolute" from="2865,246" to="2865,491" stroked="true" strokeweight=".48pt" strokecolor="#000000">
              <v:stroke dashstyle="solid"/>
            </v:line>
            <w10:wrap type="none"/>
          </v:group>
        </w:pict>
      </w:r>
      <w:r>
        <w:rPr>
          <w:b/>
          <w:sz w:val="16"/>
        </w:rPr>
        <w:t>Aislamiento</w:t>
      </w:r>
    </w:p>
    <w:p>
      <w:pPr>
        <w:spacing w:before="60"/>
        <w:ind w:left="1778" w:right="0" w:firstLine="0"/>
        <w:jc w:val="left"/>
        <w:rPr>
          <w:sz w:val="16"/>
        </w:rPr>
      </w:pPr>
      <w:r>
        <w:rPr>
          <w:sz w:val="16"/>
        </w:rPr>
        <w:t>El aislamiento al que se refiere el párrafo 9 es para las redes de ACS.</w:t>
      </w:r>
    </w:p>
    <w:p>
      <w:pPr>
        <w:pStyle w:val="BodyText"/>
      </w:pPr>
    </w:p>
    <w:p>
      <w:pPr>
        <w:pStyle w:val="BodyText"/>
        <w:spacing w:before="8"/>
        <w:rPr>
          <w:sz w:val="22"/>
        </w:rPr>
      </w:pPr>
    </w:p>
    <w:p>
      <w:pPr>
        <w:pStyle w:val="Heading5"/>
        <w:numPr>
          <w:ilvl w:val="3"/>
          <w:numId w:val="157"/>
        </w:numPr>
        <w:tabs>
          <w:tab w:pos="933" w:val="left" w:leader="none"/>
        </w:tabs>
        <w:spacing w:line="240" w:lineRule="auto" w:before="0" w:after="0"/>
        <w:ind w:left="932" w:right="0" w:hanging="708"/>
        <w:jc w:val="both"/>
      </w:pPr>
      <w:r>
        <w:rPr/>
        <w:t>Regulación y</w:t>
      </w:r>
      <w:r>
        <w:rPr>
          <w:spacing w:val="-3"/>
        </w:rPr>
        <w:t> </w:t>
      </w:r>
      <w:r>
        <w:rPr/>
        <w:t>control</w:t>
      </w:r>
    </w:p>
    <w:p>
      <w:pPr>
        <w:pStyle w:val="ListParagraph"/>
        <w:numPr>
          <w:ilvl w:val="0"/>
          <w:numId w:val="169"/>
        </w:numPr>
        <w:tabs>
          <w:tab w:pos="673" w:val="left" w:leader="none"/>
        </w:tabs>
        <w:spacing w:line="240" w:lineRule="auto" w:before="99" w:after="0"/>
        <w:ind w:left="672" w:right="390" w:hanging="454"/>
        <w:jc w:val="both"/>
        <w:rPr>
          <w:sz w:val="20"/>
        </w:rPr>
      </w:pPr>
      <w:r>
        <w:rPr>
          <w:sz w:val="20"/>
        </w:rPr>
        <w:t>En las instalaciones de ACS se regulará y se controlará la temperatura de preparación y la de dis- tribución.</w:t>
      </w:r>
    </w:p>
    <w:p>
      <w:pPr>
        <w:pStyle w:val="ListParagraph"/>
        <w:numPr>
          <w:ilvl w:val="0"/>
          <w:numId w:val="169"/>
        </w:numPr>
        <w:tabs>
          <w:tab w:pos="673" w:val="left" w:leader="none"/>
        </w:tabs>
        <w:spacing w:line="240" w:lineRule="auto" w:before="60" w:after="0"/>
        <w:ind w:left="672" w:right="391" w:hanging="454"/>
        <w:jc w:val="both"/>
        <w:rPr>
          <w:sz w:val="20"/>
        </w:rPr>
      </w:pPr>
      <w:r>
        <w:rPr>
          <w:sz w:val="20"/>
        </w:rPr>
        <w:t>En las instalaciones individuales los sistemas de regulación y de control de la temperatura estarán incorporados a los equipos de producción y preparación. El control sobre la recirculación en siste- mas individuales con producción directa será tal que pueda recircularse el agua sin consumo hasta que se alcance la temperatura</w:t>
      </w:r>
      <w:r>
        <w:rPr>
          <w:spacing w:val="-3"/>
          <w:sz w:val="20"/>
        </w:rPr>
        <w:t> </w:t>
      </w:r>
      <w:r>
        <w:rPr>
          <w:sz w:val="20"/>
        </w:rPr>
        <w:t>adecuada.</w:t>
      </w:r>
    </w:p>
    <w:p>
      <w:pPr>
        <w:pStyle w:val="BodyText"/>
        <w:spacing w:before="6"/>
        <w:rPr>
          <w:sz w:val="24"/>
        </w:rPr>
      </w:pPr>
    </w:p>
    <w:p>
      <w:pPr>
        <w:pStyle w:val="Heading3"/>
        <w:numPr>
          <w:ilvl w:val="1"/>
          <w:numId w:val="157"/>
        </w:numPr>
        <w:tabs>
          <w:tab w:pos="673" w:val="left" w:leader="none"/>
        </w:tabs>
        <w:spacing w:line="240" w:lineRule="auto" w:before="0" w:after="0"/>
        <w:ind w:left="672" w:right="0" w:hanging="455"/>
        <w:jc w:val="both"/>
      </w:pPr>
      <w:r>
        <w:rPr/>
        <w:t>Protección contra</w:t>
      </w:r>
      <w:r>
        <w:rPr>
          <w:spacing w:val="-1"/>
        </w:rPr>
        <w:t> </w:t>
      </w:r>
      <w:r>
        <w:rPr/>
        <w:t>retornos</w:t>
      </w:r>
    </w:p>
    <w:p>
      <w:pPr>
        <w:pStyle w:val="Heading5"/>
        <w:numPr>
          <w:ilvl w:val="2"/>
          <w:numId w:val="157"/>
        </w:numPr>
        <w:tabs>
          <w:tab w:pos="787" w:val="left" w:leader="none"/>
        </w:tabs>
        <w:spacing w:line="240" w:lineRule="auto" w:before="201" w:after="0"/>
        <w:ind w:left="786" w:right="0" w:hanging="569"/>
        <w:jc w:val="both"/>
      </w:pPr>
      <w:r>
        <w:rPr/>
        <w:t>Condiciones generales de la instalación de</w:t>
      </w:r>
      <w:r>
        <w:rPr>
          <w:spacing w:val="-3"/>
        </w:rPr>
        <w:t> </w:t>
      </w:r>
      <w:r>
        <w:rPr/>
        <w:t>suministro</w:t>
      </w:r>
    </w:p>
    <w:p>
      <w:pPr>
        <w:pStyle w:val="ListParagraph"/>
        <w:numPr>
          <w:ilvl w:val="0"/>
          <w:numId w:val="170"/>
        </w:numPr>
        <w:tabs>
          <w:tab w:pos="673" w:val="left" w:leader="none"/>
        </w:tabs>
        <w:spacing w:line="240" w:lineRule="auto" w:before="98" w:after="0"/>
        <w:ind w:left="672" w:right="394" w:hanging="454"/>
        <w:jc w:val="both"/>
        <w:rPr>
          <w:sz w:val="20"/>
        </w:rPr>
      </w:pPr>
      <w:r>
        <w:rPr>
          <w:sz w:val="20"/>
        </w:rPr>
        <w:t>La constitución de los aparatos y dispositivos instalados y su modo de instalación deben ser tales que se impida la introducción de cualquier fluido en la instalación y el retorno del agua salida de ella.</w:t>
      </w:r>
    </w:p>
    <w:p>
      <w:pPr>
        <w:pStyle w:val="ListParagraph"/>
        <w:numPr>
          <w:ilvl w:val="0"/>
          <w:numId w:val="170"/>
        </w:numPr>
        <w:tabs>
          <w:tab w:pos="673" w:val="left" w:leader="none"/>
        </w:tabs>
        <w:spacing w:line="240" w:lineRule="auto" w:before="60" w:after="0"/>
        <w:ind w:left="672" w:right="390" w:hanging="454"/>
        <w:jc w:val="both"/>
        <w:rPr>
          <w:sz w:val="20"/>
        </w:rPr>
      </w:pPr>
      <w:r>
        <w:rPr>
          <w:sz w:val="20"/>
        </w:rPr>
        <w:t>La instalación no puede empalmarse directamente a una conducción de evacuación de aguas resi- duales.</w:t>
      </w:r>
    </w:p>
    <w:p>
      <w:pPr>
        <w:pStyle w:val="ListParagraph"/>
        <w:numPr>
          <w:ilvl w:val="0"/>
          <w:numId w:val="170"/>
        </w:numPr>
        <w:tabs>
          <w:tab w:pos="673" w:val="left" w:leader="none"/>
        </w:tabs>
        <w:spacing w:line="240" w:lineRule="auto" w:before="59" w:after="0"/>
        <w:ind w:left="672" w:right="389" w:hanging="454"/>
        <w:jc w:val="both"/>
        <w:rPr>
          <w:sz w:val="20"/>
        </w:rPr>
      </w:pPr>
      <w:r>
        <w:rPr>
          <w:sz w:val="20"/>
        </w:rPr>
        <w:t>No pueden establecerse uniones entre las conducciones interiores empalmadas a las redes de dis- tribución pública y otras instalaciones, tales como las de aprovechamiento de agua que no sea pro- cedente de la red de distribución</w:t>
      </w:r>
      <w:r>
        <w:rPr>
          <w:spacing w:val="-3"/>
          <w:sz w:val="20"/>
        </w:rPr>
        <w:t> </w:t>
      </w:r>
      <w:r>
        <w:rPr>
          <w:sz w:val="20"/>
        </w:rPr>
        <w:t>pública.</w:t>
      </w:r>
    </w:p>
    <w:p>
      <w:pPr>
        <w:pStyle w:val="ListParagraph"/>
        <w:numPr>
          <w:ilvl w:val="0"/>
          <w:numId w:val="170"/>
        </w:numPr>
        <w:tabs>
          <w:tab w:pos="673" w:val="left" w:leader="none"/>
        </w:tabs>
        <w:spacing w:line="240" w:lineRule="auto" w:before="60" w:after="0"/>
        <w:ind w:left="672" w:right="391" w:hanging="454"/>
        <w:jc w:val="both"/>
        <w:rPr>
          <w:sz w:val="20"/>
        </w:rPr>
      </w:pPr>
      <w:r>
        <w:rPr>
          <w:sz w:val="20"/>
        </w:rPr>
        <w:t>Las instalaciones de suministro que dispongan de sistema de tratamiento de agua deben estar pro- vistas de un dispositivo para impedir el retorno; este dispositivo debe situarse antes del sistema y lo más cerca posible del contador general si lo</w:t>
      </w:r>
      <w:r>
        <w:rPr>
          <w:spacing w:val="-5"/>
          <w:sz w:val="20"/>
        </w:rPr>
        <w:t> </w:t>
      </w:r>
      <w:r>
        <w:rPr>
          <w:sz w:val="20"/>
        </w:rPr>
        <w:t>hubiera.</w:t>
      </w:r>
    </w:p>
    <w:p>
      <w:pPr>
        <w:pStyle w:val="BodyText"/>
        <w:spacing w:before="6"/>
        <w:rPr>
          <w:sz w:val="17"/>
        </w:rPr>
      </w:pPr>
    </w:p>
    <w:p>
      <w:pPr>
        <w:pStyle w:val="Heading5"/>
        <w:numPr>
          <w:ilvl w:val="2"/>
          <w:numId w:val="157"/>
        </w:numPr>
        <w:tabs>
          <w:tab w:pos="787" w:val="left" w:leader="none"/>
        </w:tabs>
        <w:spacing w:line="240" w:lineRule="auto" w:before="1" w:after="0"/>
        <w:ind w:left="786" w:right="0" w:hanging="569"/>
        <w:jc w:val="both"/>
      </w:pPr>
      <w:r>
        <w:rPr/>
        <w:t>Puntos de consumo de alimentación</w:t>
      </w:r>
      <w:r>
        <w:rPr>
          <w:spacing w:val="-6"/>
        </w:rPr>
        <w:t> </w:t>
      </w:r>
      <w:r>
        <w:rPr/>
        <w:t>directa</w:t>
      </w:r>
    </w:p>
    <w:p>
      <w:pPr>
        <w:pStyle w:val="ListParagraph"/>
        <w:numPr>
          <w:ilvl w:val="0"/>
          <w:numId w:val="171"/>
        </w:numPr>
        <w:tabs>
          <w:tab w:pos="673" w:val="left" w:leader="none"/>
        </w:tabs>
        <w:spacing w:line="240" w:lineRule="auto" w:before="98" w:after="0"/>
        <w:ind w:left="672" w:right="391" w:hanging="454"/>
        <w:jc w:val="both"/>
        <w:rPr>
          <w:sz w:val="20"/>
        </w:rPr>
      </w:pPr>
      <w:r>
        <w:rPr>
          <w:sz w:val="20"/>
        </w:rPr>
        <w:t>En todos los aparatos que se alimentan directamente de la distribución de agua, tales como bañe- ras, lavabos, bidés, fregaderos, lavaderos, y en general, en todos los recipientes, el nivel inferior de la llegada del agua debe verter a 20 mm, por lo menos, por encima del borde superior del recipien- te.</w:t>
      </w:r>
    </w:p>
    <w:p>
      <w:pPr>
        <w:pStyle w:val="ListParagraph"/>
        <w:numPr>
          <w:ilvl w:val="0"/>
          <w:numId w:val="171"/>
        </w:numPr>
        <w:tabs>
          <w:tab w:pos="673" w:val="left" w:leader="none"/>
        </w:tabs>
        <w:spacing w:line="240" w:lineRule="auto" w:before="60" w:after="0"/>
        <w:ind w:left="672" w:right="0" w:hanging="455"/>
        <w:jc w:val="both"/>
        <w:rPr>
          <w:sz w:val="20"/>
        </w:rPr>
      </w:pPr>
      <w:r>
        <w:rPr>
          <w:sz w:val="20"/>
        </w:rPr>
        <w:t>Los rociadores de ducha manual deben tener incorporado un dispositivo</w:t>
      </w:r>
      <w:r>
        <w:rPr>
          <w:spacing w:val="-5"/>
          <w:sz w:val="20"/>
        </w:rPr>
        <w:t> </w:t>
      </w:r>
      <w:r>
        <w:rPr>
          <w:sz w:val="20"/>
        </w:rPr>
        <w:t>antirretorno.</w:t>
      </w:r>
    </w:p>
    <w:p>
      <w:pPr>
        <w:spacing w:after="0" w:line="240" w:lineRule="auto"/>
        <w:jc w:val="both"/>
        <w:rPr>
          <w:sz w:val="20"/>
        </w:rPr>
        <w:sectPr>
          <w:pgSz w:w="11910" w:h="16840"/>
          <w:pgMar w:header="908" w:footer="636" w:top="1320" w:bottom="840" w:left="1200" w:right="740"/>
        </w:sectPr>
      </w:pPr>
    </w:p>
    <w:p>
      <w:pPr>
        <w:pStyle w:val="Heading5"/>
        <w:numPr>
          <w:ilvl w:val="2"/>
          <w:numId w:val="157"/>
        </w:numPr>
        <w:tabs>
          <w:tab w:pos="787" w:val="left" w:leader="none"/>
        </w:tabs>
        <w:spacing w:line="240" w:lineRule="auto" w:before="92" w:after="0"/>
        <w:ind w:left="786" w:right="0" w:hanging="569"/>
        <w:jc w:val="both"/>
      </w:pPr>
      <w:r>
        <w:rPr/>
        <w:t>Depósitos</w:t>
      </w:r>
      <w:r>
        <w:rPr>
          <w:spacing w:val="-1"/>
        </w:rPr>
        <w:t> </w:t>
      </w:r>
      <w:r>
        <w:rPr/>
        <w:t>cerrados</w:t>
      </w:r>
    </w:p>
    <w:p>
      <w:pPr>
        <w:pStyle w:val="BodyText"/>
        <w:spacing w:before="99"/>
        <w:ind w:left="672" w:right="392" w:hanging="454"/>
        <w:jc w:val="both"/>
      </w:pPr>
      <w:r>
        <w:rPr/>
        <w:t>1 En los depósitos cerrados aunque estén en comunicación con la atmósfera, el tubo de alimentación desembocará 40 mm por encima del nivel máximo del agua, o sea por encima del punto más alto  de la boca del aliviadero. Este aliviadero debe tener una capacidad suficiente para evacuar un cau- dal doble del máximo previsto de entrada de</w:t>
      </w:r>
      <w:r>
        <w:rPr>
          <w:spacing w:val="-3"/>
        </w:rPr>
        <w:t> </w:t>
      </w:r>
      <w:r>
        <w:rPr/>
        <w:t>agua.</w:t>
      </w:r>
    </w:p>
    <w:p>
      <w:pPr>
        <w:pStyle w:val="BodyText"/>
        <w:spacing w:before="6"/>
        <w:rPr>
          <w:sz w:val="17"/>
        </w:rPr>
      </w:pPr>
    </w:p>
    <w:p>
      <w:pPr>
        <w:pStyle w:val="Heading5"/>
        <w:numPr>
          <w:ilvl w:val="2"/>
          <w:numId w:val="157"/>
        </w:numPr>
        <w:tabs>
          <w:tab w:pos="787" w:val="left" w:leader="none"/>
        </w:tabs>
        <w:spacing w:line="240" w:lineRule="auto" w:before="0" w:after="0"/>
        <w:ind w:left="786" w:right="0" w:hanging="569"/>
        <w:jc w:val="left"/>
      </w:pPr>
      <w:r>
        <w:rPr/>
        <w:t>Derivaciones de uso</w:t>
      </w:r>
      <w:r>
        <w:rPr>
          <w:spacing w:val="-2"/>
        </w:rPr>
        <w:t> </w:t>
      </w:r>
      <w:r>
        <w:rPr/>
        <w:t>colectivo</w:t>
      </w:r>
    </w:p>
    <w:p>
      <w:pPr>
        <w:pStyle w:val="ListParagraph"/>
        <w:numPr>
          <w:ilvl w:val="0"/>
          <w:numId w:val="172"/>
        </w:numPr>
        <w:tabs>
          <w:tab w:pos="672" w:val="left" w:leader="none"/>
          <w:tab w:pos="673" w:val="left" w:leader="none"/>
        </w:tabs>
        <w:spacing w:line="240" w:lineRule="auto" w:before="99" w:after="0"/>
        <w:ind w:left="672" w:right="391" w:hanging="454"/>
        <w:jc w:val="left"/>
        <w:rPr>
          <w:sz w:val="20"/>
        </w:rPr>
      </w:pPr>
      <w:r>
        <w:rPr>
          <w:sz w:val="20"/>
        </w:rPr>
        <w:t>Los tubos de alimentación que no estén destinados exclusivamente a necesidades domésticas de- ben estar provistos de un dispositivo antirretorno y una purga de</w:t>
      </w:r>
      <w:r>
        <w:rPr>
          <w:spacing w:val="-7"/>
          <w:sz w:val="20"/>
        </w:rPr>
        <w:t> </w:t>
      </w:r>
      <w:r>
        <w:rPr>
          <w:sz w:val="20"/>
        </w:rPr>
        <w:t>control.</w:t>
      </w:r>
    </w:p>
    <w:p>
      <w:pPr>
        <w:pStyle w:val="ListParagraph"/>
        <w:numPr>
          <w:ilvl w:val="0"/>
          <w:numId w:val="172"/>
        </w:numPr>
        <w:tabs>
          <w:tab w:pos="672" w:val="left" w:leader="none"/>
          <w:tab w:pos="673" w:val="left" w:leader="none"/>
        </w:tabs>
        <w:spacing w:line="240" w:lineRule="auto" w:before="59" w:after="0"/>
        <w:ind w:left="672" w:right="391" w:hanging="454"/>
        <w:jc w:val="left"/>
        <w:rPr>
          <w:sz w:val="20"/>
        </w:rPr>
      </w:pPr>
      <w:r>
        <w:rPr>
          <w:sz w:val="20"/>
        </w:rPr>
        <w:t>Las derivaciones de uso colectivo de los edificios no pueden conectarse directamente a la red pú- blica de distribución, salvo que fuera una instalación única en el</w:t>
      </w:r>
      <w:r>
        <w:rPr>
          <w:spacing w:val="-6"/>
          <w:sz w:val="20"/>
        </w:rPr>
        <w:t> </w:t>
      </w:r>
      <w:r>
        <w:rPr>
          <w:sz w:val="20"/>
        </w:rPr>
        <w:t>edificio</w:t>
      </w:r>
    </w:p>
    <w:p>
      <w:pPr>
        <w:pStyle w:val="BodyText"/>
        <w:spacing w:before="7"/>
        <w:rPr>
          <w:sz w:val="17"/>
        </w:rPr>
      </w:pPr>
    </w:p>
    <w:p>
      <w:pPr>
        <w:pStyle w:val="Heading5"/>
        <w:numPr>
          <w:ilvl w:val="2"/>
          <w:numId w:val="157"/>
        </w:numPr>
        <w:tabs>
          <w:tab w:pos="787" w:val="left" w:leader="none"/>
        </w:tabs>
        <w:spacing w:line="240" w:lineRule="auto" w:before="0" w:after="0"/>
        <w:ind w:left="786" w:right="0" w:hanging="569"/>
        <w:jc w:val="both"/>
      </w:pPr>
      <w:r>
        <w:rPr/>
        <w:t>Conexión de</w:t>
      </w:r>
      <w:r>
        <w:rPr>
          <w:spacing w:val="-1"/>
        </w:rPr>
        <w:t> </w:t>
      </w:r>
      <w:r>
        <w:rPr/>
        <w:t>calderas</w:t>
      </w:r>
    </w:p>
    <w:p>
      <w:pPr>
        <w:pStyle w:val="BodyText"/>
        <w:spacing w:before="98"/>
        <w:ind w:left="672" w:right="392" w:hanging="454"/>
        <w:jc w:val="both"/>
      </w:pPr>
      <w:r>
        <w:rPr/>
        <w:t>1 Las calderas de vapor o de agua caliente con sobrepresión no se empalmarán directamente a la red pública de distribución. Cualquier dispositivo o aparato de alimentación que se utilice partirá de un depósito, para el que se cumplirán las anteriores disposiciones.</w:t>
      </w:r>
    </w:p>
    <w:p>
      <w:pPr>
        <w:pStyle w:val="BodyText"/>
        <w:spacing w:before="6"/>
        <w:rPr>
          <w:sz w:val="17"/>
        </w:rPr>
      </w:pPr>
    </w:p>
    <w:p>
      <w:pPr>
        <w:pStyle w:val="Heading5"/>
        <w:numPr>
          <w:ilvl w:val="2"/>
          <w:numId w:val="157"/>
        </w:numPr>
        <w:tabs>
          <w:tab w:pos="787" w:val="left" w:leader="none"/>
        </w:tabs>
        <w:spacing w:line="240" w:lineRule="auto" w:before="0" w:after="0"/>
        <w:ind w:left="786" w:right="0" w:hanging="569"/>
        <w:jc w:val="both"/>
      </w:pPr>
      <w:r>
        <w:rPr/>
        <w:t>Grupos</w:t>
      </w:r>
      <w:r>
        <w:rPr>
          <w:spacing w:val="-1"/>
        </w:rPr>
        <w:t> </w:t>
      </w:r>
      <w:r>
        <w:rPr/>
        <w:t>motobomba</w:t>
      </w:r>
    </w:p>
    <w:p>
      <w:pPr>
        <w:pStyle w:val="ListParagraph"/>
        <w:numPr>
          <w:ilvl w:val="0"/>
          <w:numId w:val="173"/>
        </w:numPr>
        <w:tabs>
          <w:tab w:pos="673" w:val="left" w:leader="none"/>
        </w:tabs>
        <w:spacing w:line="240" w:lineRule="auto" w:before="99" w:after="0"/>
        <w:ind w:left="672" w:right="390" w:hanging="454"/>
        <w:jc w:val="both"/>
        <w:rPr>
          <w:sz w:val="20"/>
        </w:rPr>
      </w:pPr>
      <w:r>
        <w:rPr>
          <w:sz w:val="20"/>
        </w:rPr>
        <w:t>Las bombas no deben conectarse directamente a las tuberías de llegada del agua de suministro, sino que deben alimentarse desde un depósito, excepto cuando vayan equipadas con los dispositi- vos de protección y aislamiento que impidan que se produzca depresión en la</w:t>
      </w:r>
      <w:r>
        <w:rPr>
          <w:spacing w:val="-4"/>
          <w:sz w:val="20"/>
        </w:rPr>
        <w:t> </w:t>
      </w:r>
      <w:r>
        <w:rPr>
          <w:sz w:val="20"/>
        </w:rPr>
        <w:t>red.</w:t>
      </w:r>
    </w:p>
    <w:p>
      <w:pPr>
        <w:pStyle w:val="ListParagraph"/>
        <w:numPr>
          <w:ilvl w:val="0"/>
          <w:numId w:val="173"/>
        </w:numPr>
        <w:tabs>
          <w:tab w:pos="673" w:val="left" w:leader="none"/>
        </w:tabs>
        <w:spacing w:line="240" w:lineRule="auto" w:before="60" w:after="0"/>
        <w:ind w:left="672" w:right="390" w:hanging="454"/>
        <w:jc w:val="both"/>
        <w:rPr>
          <w:sz w:val="20"/>
        </w:rPr>
      </w:pPr>
      <w:r>
        <w:rPr>
          <w:sz w:val="20"/>
        </w:rPr>
        <w:t>Esta protección debe alcanzar también a las bombas de caudal variable que se instalen en los grupos de presión de acción regulable e incluirá un dispositivo que provoque el cierre de la as- piración y la parada de la bomba en caso de depresión en la tubería de alimentación y un depósito de protección contra las sobrepresiones producidas por golpe de</w:t>
      </w:r>
      <w:r>
        <w:rPr>
          <w:spacing w:val="-5"/>
          <w:sz w:val="20"/>
        </w:rPr>
        <w:t> </w:t>
      </w:r>
      <w:r>
        <w:rPr>
          <w:sz w:val="20"/>
        </w:rPr>
        <w:t>ariete.</w:t>
      </w:r>
    </w:p>
    <w:p>
      <w:pPr>
        <w:pStyle w:val="ListParagraph"/>
        <w:numPr>
          <w:ilvl w:val="0"/>
          <w:numId w:val="173"/>
        </w:numPr>
        <w:tabs>
          <w:tab w:pos="673" w:val="left" w:leader="none"/>
        </w:tabs>
        <w:spacing w:line="240" w:lineRule="auto" w:before="59" w:after="0"/>
        <w:ind w:left="672" w:right="395" w:hanging="454"/>
        <w:jc w:val="both"/>
        <w:rPr>
          <w:sz w:val="20"/>
        </w:rPr>
      </w:pPr>
      <w:r>
        <w:rPr>
          <w:sz w:val="20"/>
        </w:rPr>
        <w:t>En los grupos de sobreelevación de tipo convencional, debe instalarse una válvula antirretorno, de tipo membrana, para amortiguar los posibles golpes de</w:t>
      </w:r>
      <w:r>
        <w:rPr>
          <w:spacing w:val="-3"/>
          <w:sz w:val="20"/>
        </w:rPr>
        <w:t> </w:t>
      </w:r>
      <w:r>
        <w:rPr>
          <w:sz w:val="20"/>
        </w:rPr>
        <w:t>ariete.</w:t>
      </w:r>
    </w:p>
    <w:p>
      <w:pPr>
        <w:pStyle w:val="BodyText"/>
        <w:spacing w:before="7"/>
        <w:rPr>
          <w:sz w:val="24"/>
        </w:rPr>
      </w:pPr>
    </w:p>
    <w:p>
      <w:pPr>
        <w:pStyle w:val="Heading3"/>
        <w:numPr>
          <w:ilvl w:val="1"/>
          <w:numId w:val="157"/>
        </w:numPr>
        <w:tabs>
          <w:tab w:pos="673" w:val="left" w:leader="none"/>
        </w:tabs>
        <w:spacing w:line="240" w:lineRule="auto" w:before="0" w:after="0"/>
        <w:ind w:left="672" w:right="0" w:hanging="455"/>
        <w:jc w:val="both"/>
      </w:pPr>
      <w:r>
        <w:rPr/>
        <w:t>Separaciones respecto de otras</w:t>
      </w:r>
      <w:r>
        <w:rPr>
          <w:spacing w:val="-2"/>
        </w:rPr>
        <w:t> </w:t>
      </w:r>
      <w:r>
        <w:rPr/>
        <w:t>instalaciones</w:t>
      </w:r>
    </w:p>
    <w:p>
      <w:pPr>
        <w:pStyle w:val="ListParagraph"/>
        <w:numPr>
          <w:ilvl w:val="0"/>
          <w:numId w:val="174"/>
        </w:numPr>
        <w:tabs>
          <w:tab w:pos="673" w:val="left" w:leader="none"/>
        </w:tabs>
        <w:spacing w:line="240" w:lineRule="auto" w:before="98" w:after="0"/>
        <w:ind w:left="672" w:right="393" w:hanging="454"/>
        <w:jc w:val="both"/>
        <w:rPr>
          <w:sz w:val="20"/>
        </w:rPr>
      </w:pPr>
      <w:r>
        <w:rPr>
          <w:sz w:val="20"/>
        </w:rPr>
        <w:t>El tendido de las tuberías de agua fría debe hacerse de tal modo que no resulten afectadas por los focos de calor y por consiguiente deben discurrir siempre separadas de las canalizaciones de agua caliente (ACS o calefacción) a una distancia de 4 cm, como mínimo. Cuando las dos tuberías estén en un mismo plano vertical, la de agua fría debe ir siempre por debajo de la de agua</w:t>
      </w:r>
      <w:r>
        <w:rPr>
          <w:spacing w:val="-11"/>
          <w:sz w:val="20"/>
        </w:rPr>
        <w:t> </w:t>
      </w:r>
      <w:r>
        <w:rPr>
          <w:sz w:val="20"/>
        </w:rPr>
        <w:t>caliente.</w:t>
      </w:r>
    </w:p>
    <w:p>
      <w:pPr>
        <w:pStyle w:val="ListParagraph"/>
        <w:numPr>
          <w:ilvl w:val="0"/>
          <w:numId w:val="174"/>
        </w:numPr>
        <w:tabs>
          <w:tab w:pos="673" w:val="left" w:leader="none"/>
        </w:tabs>
        <w:spacing w:line="240" w:lineRule="auto" w:before="60" w:after="0"/>
        <w:ind w:left="672" w:right="391" w:hanging="454"/>
        <w:jc w:val="both"/>
        <w:rPr>
          <w:sz w:val="20"/>
        </w:rPr>
      </w:pPr>
      <w:r>
        <w:rPr>
          <w:sz w:val="20"/>
        </w:rPr>
        <w:t>Las tuberías deben ir por debajo de cualquier canalización o elemento que contenga dispositivos eléctricos o electrónicos, así como de cualquier red de telecomunicaciones, guardando una distan- cia en paralelo de al menos 30</w:t>
      </w:r>
      <w:r>
        <w:rPr>
          <w:spacing w:val="-3"/>
          <w:sz w:val="20"/>
        </w:rPr>
        <w:t> </w:t>
      </w:r>
      <w:r>
        <w:rPr>
          <w:sz w:val="20"/>
        </w:rPr>
        <w:t>cm.</w:t>
      </w:r>
    </w:p>
    <w:p>
      <w:pPr>
        <w:pStyle w:val="ListParagraph"/>
        <w:numPr>
          <w:ilvl w:val="0"/>
          <w:numId w:val="174"/>
        </w:numPr>
        <w:tabs>
          <w:tab w:pos="673" w:val="left" w:leader="none"/>
        </w:tabs>
        <w:spacing w:line="240" w:lineRule="auto" w:before="60" w:after="0"/>
        <w:ind w:left="672" w:right="0" w:hanging="455"/>
        <w:jc w:val="both"/>
        <w:rPr>
          <w:sz w:val="20"/>
        </w:rPr>
      </w:pPr>
      <w:r>
        <w:rPr>
          <w:sz w:val="20"/>
        </w:rPr>
        <w:t>Con respecto a las conducciones de gas se guardará al menos una distancia de 3</w:t>
      </w:r>
      <w:r>
        <w:rPr>
          <w:spacing w:val="-5"/>
          <w:sz w:val="20"/>
        </w:rPr>
        <w:t> </w:t>
      </w:r>
      <w:r>
        <w:rPr>
          <w:sz w:val="20"/>
        </w:rPr>
        <w:t>cm.</w:t>
      </w:r>
    </w:p>
    <w:p>
      <w:pPr>
        <w:pStyle w:val="BodyText"/>
        <w:spacing w:before="5"/>
        <w:rPr>
          <w:sz w:val="24"/>
        </w:rPr>
      </w:pPr>
    </w:p>
    <w:p>
      <w:pPr>
        <w:pStyle w:val="Heading3"/>
        <w:numPr>
          <w:ilvl w:val="1"/>
          <w:numId w:val="157"/>
        </w:numPr>
        <w:tabs>
          <w:tab w:pos="673" w:val="left" w:leader="none"/>
        </w:tabs>
        <w:spacing w:line="240" w:lineRule="auto" w:before="0" w:after="0"/>
        <w:ind w:left="672" w:right="0" w:hanging="455"/>
        <w:jc w:val="both"/>
      </w:pPr>
      <w:r>
        <w:rPr/>
        <w:t>Señalización</w:t>
      </w:r>
    </w:p>
    <w:p>
      <w:pPr>
        <w:pStyle w:val="ListParagraph"/>
        <w:numPr>
          <w:ilvl w:val="0"/>
          <w:numId w:val="175"/>
        </w:numPr>
        <w:tabs>
          <w:tab w:pos="673" w:val="left" w:leader="none"/>
        </w:tabs>
        <w:spacing w:line="240" w:lineRule="auto" w:before="99" w:after="0"/>
        <w:ind w:left="672" w:right="0" w:hanging="455"/>
        <w:jc w:val="both"/>
        <w:rPr>
          <w:sz w:val="20"/>
        </w:rPr>
      </w:pPr>
      <w:r>
        <w:rPr>
          <w:sz w:val="20"/>
        </w:rPr>
        <w:t>Las tuberías de agua potable se señalarán con los colores verde oscuro o</w:t>
      </w:r>
      <w:r>
        <w:rPr>
          <w:spacing w:val="-7"/>
          <w:sz w:val="20"/>
        </w:rPr>
        <w:t> </w:t>
      </w:r>
      <w:r>
        <w:rPr>
          <w:sz w:val="20"/>
        </w:rPr>
        <w:t>azul.</w:t>
      </w:r>
    </w:p>
    <w:p>
      <w:pPr>
        <w:pStyle w:val="ListParagraph"/>
        <w:numPr>
          <w:ilvl w:val="0"/>
          <w:numId w:val="175"/>
        </w:numPr>
        <w:tabs>
          <w:tab w:pos="673" w:val="left" w:leader="none"/>
        </w:tabs>
        <w:spacing w:line="240" w:lineRule="auto" w:before="60" w:after="0"/>
        <w:ind w:left="672" w:right="394" w:hanging="454"/>
        <w:jc w:val="both"/>
        <w:rPr>
          <w:sz w:val="20"/>
        </w:rPr>
      </w:pPr>
      <w:r>
        <w:rPr>
          <w:sz w:val="20"/>
        </w:rPr>
        <w:t>Si se dispone una instalación para suministrar agua que no sea apta para el consumo, las tuberías, los grifos y los demás puntos terminales de esta instalación deben estar adecuadamente señalados para que puedan ser identificados como tales de forma fácil e</w:t>
      </w:r>
      <w:r>
        <w:rPr>
          <w:spacing w:val="-4"/>
          <w:sz w:val="20"/>
        </w:rPr>
        <w:t> </w:t>
      </w:r>
      <w:r>
        <w:rPr>
          <w:sz w:val="20"/>
        </w:rPr>
        <w:t>inequívoca.</w:t>
      </w:r>
    </w:p>
    <w:p>
      <w:pPr>
        <w:spacing w:after="0" w:line="240" w:lineRule="auto"/>
        <w:jc w:val="both"/>
        <w:rPr>
          <w:sz w:val="20"/>
        </w:rPr>
        <w:sectPr>
          <w:pgSz w:w="11910" w:h="16840"/>
          <w:pgMar w:header="908" w:footer="636" w:top="1320" w:bottom="840" w:left="1200" w:right="740"/>
        </w:sectPr>
      </w:pPr>
    </w:p>
    <w:p>
      <w:pPr>
        <w:pStyle w:val="BodyText"/>
        <w:spacing w:before="2"/>
        <w:rPr>
          <w:sz w:val="19"/>
        </w:rPr>
      </w:pPr>
    </w:p>
    <w:p>
      <w:pPr>
        <w:pStyle w:val="Heading3"/>
        <w:numPr>
          <w:ilvl w:val="1"/>
          <w:numId w:val="157"/>
        </w:numPr>
        <w:tabs>
          <w:tab w:pos="673" w:val="left" w:leader="none"/>
        </w:tabs>
        <w:spacing w:line="240" w:lineRule="auto" w:before="92" w:after="0"/>
        <w:ind w:left="672" w:right="0" w:hanging="455"/>
        <w:jc w:val="both"/>
      </w:pPr>
      <w:r>
        <w:rPr/>
        <w:t>Ahorro de</w:t>
      </w:r>
      <w:r>
        <w:rPr>
          <w:spacing w:val="-1"/>
        </w:rPr>
        <w:t> </w:t>
      </w:r>
      <w:r>
        <w:rPr/>
        <w:t>agua</w:t>
      </w:r>
    </w:p>
    <w:p>
      <w:pPr>
        <w:pStyle w:val="ListParagraph"/>
        <w:numPr>
          <w:ilvl w:val="0"/>
          <w:numId w:val="176"/>
        </w:numPr>
        <w:tabs>
          <w:tab w:pos="673" w:val="left" w:leader="none"/>
        </w:tabs>
        <w:spacing w:line="240" w:lineRule="auto" w:before="98" w:after="0"/>
        <w:ind w:left="672" w:right="390" w:hanging="454"/>
        <w:jc w:val="both"/>
        <w:rPr>
          <w:sz w:val="20"/>
        </w:rPr>
      </w:pPr>
      <w:r>
        <w:rPr>
          <w:sz w:val="20"/>
        </w:rPr>
        <w:t>Todos los edificios en cuyo uso se prevea la concurrencia pública deben contar con dispositivos de ahorro de agua en los grifos. Los dispositivos que pueden instalarse con este fin son: grifos con ai- readores, grifería termostática, grifos con sensores infrarrojos, grifos con pulsador temporizador, fluxores y llaves de regulación antes de los puntos de</w:t>
      </w:r>
      <w:r>
        <w:rPr>
          <w:spacing w:val="-4"/>
          <w:sz w:val="20"/>
        </w:rPr>
        <w:t> </w:t>
      </w:r>
      <w:r>
        <w:rPr>
          <w:sz w:val="20"/>
        </w:rPr>
        <w:t>consumo.</w:t>
      </w:r>
    </w:p>
    <w:p>
      <w:pPr>
        <w:pStyle w:val="ListParagraph"/>
        <w:numPr>
          <w:ilvl w:val="0"/>
          <w:numId w:val="176"/>
        </w:numPr>
        <w:tabs>
          <w:tab w:pos="673" w:val="left" w:leader="none"/>
        </w:tabs>
        <w:spacing w:line="240" w:lineRule="auto" w:before="61" w:after="0"/>
        <w:ind w:left="672" w:right="394" w:hanging="454"/>
        <w:jc w:val="both"/>
        <w:rPr>
          <w:sz w:val="20"/>
        </w:rPr>
      </w:pPr>
      <w:r>
        <w:rPr>
          <w:sz w:val="20"/>
        </w:rPr>
        <w:t>Los equipos que utilicen agua para consumo humano en la condensación de agentes frigoríficos, deben equiparse con sistemas de recuperación de</w:t>
      </w:r>
      <w:r>
        <w:rPr>
          <w:spacing w:val="-7"/>
          <w:sz w:val="20"/>
        </w:rPr>
        <w:t> </w:t>
      </w:r>
      <w:r>
        <w:rPr>
          <w:sz w:val="20"/>
        </w:rPr>
        <w:t>agua.</w:t>
      </w:r>
    </w:p>
    <w:p>
      <w:pPr>
        <w:pStyle w:val="BodyText"/>
        <w:rPr>
          <w:sz w:val="22"/>
        </w:rPr>
      </w:pPr>
    </w:p>
    <w:p>
      <w:pPr>
        <w:pStyle w:val="BodyText"/>
        <w:spacing w:before="9"/>
        <w:rPr>
          <w:sz w:val="19"/>
        </w:rPr>
      </w:pPr>
    </w:p>
    <w:p>
      <w:pPr>
        <w:pStyle w:val="Heading2"/>
        <w:numPr>
          <w:ilvl w:val="0"/>
          <w:numId w:val="177"/>
        </w:numPr>
        <w:tabs>
          <w:tab w:pos="787" w:val="left" w:leader="none"/>
        </w:tabs>
        <w:spacing w:line="240" w:lineRule="auto" w:before="1" w:after="0"/>
        <w:ind w:left="786" w:right="0" w:hanging="569"/>
        <w:jc w:val="both"/>
      </w:pPr>
      <w:r>
        <w:rPr/>
        <w:t>Dimensionado</w:t>
      </w:r>
    </w:p>
    <w:p>
      <w:pPr>
        <w:pStyle w:val="BodyText"/>
        <w:spacing w:before="4"/>
        <w:rPr>
          <w:b/>
          <w:sz w:val="24"/>
        </w:rPr>
      </w:pPr>
    </w:p>
    <w:p>
      <w:pPr>
        <w:pStyle w:val="Heading3"/>
        <w:numPr>
          <w:ilvl w:val="1"/>
          <w:numId w:val="177"/>
        </w:numPr>
        <w:tabs>
          <w:tab w:pos="673" w:val="left" w:leader="none"/>
        </w:tabs>
        <w:spacing w:line="240" w:lineRule="auto" w:before="0" w:after="0"/>
        <w:ind w:left="672" w:right="0" w:hanging="455"/>
        <w:jc w:val="left"/>
      </w:pPr>
      <w:r>
        <w:rPr/>
        <w:t>Reserva de espacio en el</w:t>
      </w:r>
      <w:r>
        <w:rPr>
          <w:spacing w:val="-1"/>
        </w:rPr>
        <w:t> </w:t>
      </w:r>
      <w:r>
        <w:rPr/>
        <w:t>edificio</w:t>
      </w:r>
    </w:p>
    <w:p>
      <w:pPr>
        <w:pStyle w:val="BodyText"/>
        <w:spacing w:before="98"/>
        <w:ind w:left="672" w:right="394" w:hanging="454"/>
        <w:jc w:val="both"/>
      </w:pPr>
      <w:r>
        <w:rPr/>
        <w:t>1 En los edificios dotados con contador general único se preverá un espacio para un armario o una cámara para alojar el contador general de las dimensiones indicadas en la tabla</w:t>
      </w:r>
      <w:r>
        <w:rPr>
          <w:spacing w:val="-11"/>
        </w:rPr>
        <w:t> </w:t>
      </w:r>
      <w:r>
        <w:rPr/>
        <w:t>4.1.</w:t>
      </w:r>
    </w:p>
    <w:p>
      <w:pPr>
        <w:pStyle w:val="BodyText"/>
        <w:spacing w:before="2"/>
        <w:rPr>
          <w:sz w:val="25"/>
        </w:rPr>
      </w:pPr>
    </w:p>
    <w:p>
      <w:pPr>
        <w:spacing w:before="0" w:after="4"/>
        <w:ind w:left="1690" w:right="0" w:firstLine="0"/>
        <w:jc w:val="left"/>
        <w:rPr>
          <w:b/>
          <w:sz w:val="18"/>
        </w:rPr>
      </w:pPr>
      <w:r>
        <w:rPr>
          <w:b/>
          <w:sz w:val="18"/>
        </w:rPr>
        <w:t>Tabla 4.1 Dimensiones del armario y de la arqueta para el contador</w:t>
      </w:r>
      <w:r>
        <w:rPr>
          <w:b/>
          <w:spacing w:val="-15"/>
          <w:sz w:val="18"/>
        </w:rPr>
        <w:t> </w:t>
      </w:r>
      <w:r>
        <w:rPr>
          <w:b/>
          <w:sz w:val="18"/>
        </w:rPr>
        <w:t>general</w:t>
      </w:r>
    </w:p>
    <w:tbl>
      <w:tblPr>
        <w:tblW w:w="0" w:type="auto"/>
        <w:jc w:val="left"/>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3"/>
        <w:gridCol w:w="653"/>
        <w:gridCol w:w="654"/>
        <w:gridCol w:w="654"/>
        <w:gridCol w:w="629"/>
        <w:gridCol w:w="681"/>
        <w:gridCol w:w="654"/>
        <w:gridCol w:w="656"/>
        <w:gridCol w:w="655"/>
        <w:gridCol w:w="654"/>
        <w:gridCol w:w="655"/>
        <w:gridCol w:w="657"/>
      </w:tblGrid>
      <w:tr>
        <w:trPr>
          <w:trHeight w:val="197" w:hRule="atLeast"/>
        </w:trPr>
        <w:tc>
          <w:tcPr>
            <w:tcW w:w="1763" w:type="dxa"/>
            <w:vMerge w:val="restart"/>
            <w:tcBorders>
              <w:top w:val="single" w:sz="8" w:space="0" w:color="000000"/>
              <w:bottom w:val="single" w:sz="8" w:space="0" w:color="000000"/>
              <w:right w:val="single" w:sz="4" w:space="0" w:color="000000"/>
            </w:tcBorders>
          </w:tcPr>
          <w:p>
            <w:pPr>
              <w:pStyle w:val="TableParagraph"/>
              <w:spacing w:before="102"/>
              <w:ind w:left="738" w:right="205" w:hanging="496"/>
              <w:jc w:val="left"/>
              <w:rPr>
                <w:sz w:val="18"/>
              </w:rPr>
            </w:pPr>
            <w:r>
              <w:rPr>
                <w:sz w:val="18"/>
              </w:rPr>
              <w:t>Dimensiones en mm</w:t>
            </w:r>
          </w:p>
        </w:tc>
        <w:tc>
          <w:tcPr>
            <w:tcW w:w="7202" w:type="dxa"/>
            <w:gridSpan w:val="11"/>
            <w:tcBorders>
              <w:top w:val="single" w:sz="8" w:space="0" w:color="000000"/>
              <w:left w:val="single" w:sz="4" w:space="0" w:color="000000"/>
            </w:tcBorders>
          </w:tcPr>
          <w:p>
            <w:pPr>
              <w:pStyle w:val="TableParagraph"/>
              <w:spacing w:line="177" w:lineRule="exact"/>
              <w:ind w:left="2047" w:right="2057"/>
              <w:rPr>
                <w:sz w:val="18"/>
              </w:rPr>
            </w:pPr>
            <w:r>
              <w:rPr>
                <w:sz w:val="18"/>
              </w:rPr>
              <w:t>Diámetro nominal del contador en mm</w:t>
            </w:r>
          </w:p>
        </w:tc>
      </w:tr>
      <w:tr>
        <w:trPr>
          <w:trHeight w:val="187" w:hRule="atLeast"/>
        </w:trPr>
        <w:tc>
          <w:tcPr>
            <w:tcW w:w="1763" w:type="dxa"/>
            <w:vMerge/>
            <w:tcBorders>
              <w:top w:val="nil"/>
              <w:bottom w:val="single" w:sz="8" w:space="0" w:color="000000"/>
              <w:right w:val="single" w:sz="4" w:space="0" w:color="000000"/>
            </w:tcBorders>
          </w:tcPr>
          <w:p>
            <w:pPr>
              <w:rPr>
                <w:sz w:val="2"/>
                <w:szCs w:val="2"/>
              </w:rPr>
            </w:pPr>
          </w:p>
        </w:tc>
        <w:tc>
          <w:tcPr>
            <w:tcW w:w="653" w:type="dxa"/>
            <w:tcBorders>
              <w:left w:val="single" w:sz="4" w:space="0" w:color="000000"/>
            </w:tcBorders>
          </w:tcPr>
          <w:p>
            <w:pPr>
              <w:pStyle w:val="TableParagraph"/>
              <w:jc w:val="left"/>
              <w:rPr>
                <w:rFonts w:ascii="Times New Roman"/>
                <w:sz w:val="12"/>
              </w:rPr>
            </w:pPr>
          </w:p>
        </w:tc>
        <w:tc>
          <w:tcPr>
            <w:tcW w:w="654" w:type="dxa"/>
          </w:tcPr>
          <w:p>
            <w:pPr>
              <w:pStyle w:val="TableParagraph"/>
              <w:jc w:val="left"/>
              <w:rPr>
                <w:rFonts w:ascii="Times New Roman"/>
                <w:sz w:val="12"/>
              </w:rPr>
            </w:pPr>
          </w:p>
        </w:tc>
        <w:tc>
          <w:tcPr>
            <w:tcW w:w="654" w:type="dxa"/>
          </w:tcPr>
          <w:p>
            <w:pPr>
              <w:pStyle w:val="TableParagraph"/>
              <w:spacing w:line="168" w:lineRule="exact"/>
              <w:rPr>
                <w:sz w:val="18"/>
              </w:rPr>
            </w:pPr>
            <w:r>
              <w:rPr>
                <w:sz w:val="18"/>
              </w:rPr>
              <w:t>Armario</w:t>
            </w:r>
          </w:p>
        </w:tc>
        <w:tc>
          <w:tcPr>
            <w:tcW w:w="629" w:type="dxa"/>
          </w:tcPr>
          <w:p>
            <w:pPr>
              <w:pStyle w:val="TableParagraph"/>
              <w:jc w:val="left"/>
              <w:rPr>
                <w:rFonts w:ascii="Times New Roman"/>
                <w:sz w:val="12"/>
              </w:rPr>
            </w:pPr>
          </w:p>
        </w:tc>
        <w:tc>
          <w:tcPr>
            <w:tcW w:w="681" w:type="dxa"/>
            <w:tcBorders>
              <w:right w:val="single" w:sz="4" w:space="0" w:color="000000"/>
            </w:tcBorders>
          </w:tcPr>
          <w:p>
            <w:pPr>
              <w:pStyle w:val="TableParagraph"/>
              <w:jc w:val="left"/>
              <w:rPr>
                <w:rFonts w:ascii="Times New Roman"/>
                <w:sz w:val="12"/>
              </w:rPr>
            </w:pPr>
          </w:p>
        </w:tc>
        <w:tc>
          <w:tcPr>
            <w:tcW w:w="654" w:type="dxa"/>
            <w:tcBorders>
              <w:left w:val="single" w:sz="4" w:space="0" w:color="000000"/>
            </w:tcBorders>
          </w:tcPr>
          <w:p>
            <w:pPr>
              <w:pStyle w:val="TableParagraph"/>
              <w:jc w:val="left"/>
              <w:rPr>
                <w:rFonts w:ascii="Times New Roman"/>
                <w:sz w:val="12"/>
              </w:rPr>
            </w:pPr>
          </w:p>
        </w:tc>
        <w:tc>
          <w:tcPr>
            <w:tcW w:w="656" w:type="dxa"/>
          </w:tcPr>
          <w:p>
            <w:pPr>
              <w:pStyle w:val="TableParagraph"/>
              <w:jc w:val="left"/>
              <w:rPr>
                <w:rFonts w:ascii="Times New Roman"/>
                <w:sz w:val="12"/>
              </w:rPr>
            </w:pPr>
          </w:p>
        </w:tc>
        <w:tc>
          <w:tcPr>
            <w:tcW w:w="1309" w:type="dxa"/>
            <w:gridSpan w:val="2"/>
          </w:tcPr>
          <w:p>
            <w:pPr>
              <w:pStyle w:val="TableParagraph"/>
              <w:spacing w:line="168" w:lineRule="exact"/>
              <w:ind w:left="332"/>
              <w:jc w:val="left"/>
              <w:rPr>
                <w:sz w:val="18"/>
              </w:rPr>
            </w:pPr>
            <w:r>
              <w:rPr>
                <w:sz w:val="18"/>
              </w:rPr>
              <w:t>Cámara</w:t>
            </w:r>
          </w:p>
        </w:tc>
        <w:tc>
          <w:tcPr>
            <w:tcW w:w="655" w:type="dxa"/>
          </w:tcPr>
          <w:p>
            <w:pPr>
              <w:pStyle w:val="TableParagraph"/>
              <w:jc w:val="left"/>
              <w:rPr>
                <w:rFonts w:ascii="Times New Roman"/>
                <w:sz w:val="12"/>
              </w:rPr>
            </w:pPr>
          </w:p>
        </w:tc>
        <w:tc>
          <w:tcPr>
            <w:tcW w:w="657" w:type="dxa"/>
          </w:tcPr>
          <w:p>
            <w:pPr>
              <w:pStyle w:val="TableParagraph"/>
              <w:jc w:val="left"/>
              <w:rPr>
                <w:rFonts w:ascii="Times New Roman"/>
                <w:sz w:val="12"/>
              </w:rPr>
            </w:pPr>
          </w:p>
        </w:tc>
      </w:tr>
      <w:tr>
        <w:trPr>
          <w:trHeight w:val="196" w:hRule="atLeast"/>
        </w:trPr>
        <w:tc>
          <w:tcPr>
            <w:tcW w:w="1763" w:type="dxa"/>
            <w:vMerge/>
            <w:tcBorders>
              <w:top w:val="nil"/>
              <w:bottom w:val="single" w:sz="8" w:space="0" w:color="000000"/>
              <w:right w:val="single" w:sz="4" w:space="0" w:color="000000"/>
            </w:tcBorders>
          </w:tcPr>
          <w:p>
            <w:pPr>
              <w:rPr>
                <w:sz w:val="2"/>
                <w:szCs w:val="2"/>
              </w:rPr>
            </w:pPr>
          </w:p>
        </w:tc>
        <w:tc>
          <w:tcPr>
            <w:tcW w:w="653" w:type="dxa"/>
            <w:tcBorders>
              <w:left w:val="single" w:sz="4" w:space="0" w:color="000000"/>
              <w:bottom w:val="single" w:sz="8" w:space="0" w:color="000000"/>
            </w:tcBorders>
          </w:tcPr>
          <w:p>
            <w:pPr>
              <w:pStyle w:val="TableParagraph"/>
              <w:spacing w:line="176" w:lineRule="exact"/>
              <w:ind w:left="148" w:right="155"/>
              <w:rPr>
                <w:sz w:val="18"/>
              </w:rPr>
            </w:pPr>
            <w:r>
              <w:rPr>
                <w:sz w:val="18"/>
              </w:rPr>
              <w:t>15</w:t>
            </w:r>
          </w:p>
        </w:tc>
        <w:tc>
          <w:tcPr>
            <w:tcW w:w="654" w:type="dxa"/>
            <w:tcBorders>
              <w:bottom w:val="single" w:sz="8" w:space="0" w:color="000000"/>
            </w:tcBorders>
          </w:tcPr>
          <w:p>
            <w:pPr>
              <w:pStyle w:val="TableParagraph"/>
              <w:spacing w:line="176" w:lineRule="exact"/>
              <w:ind w:right="226"/>
              <w:jc w:val="right"/>
              <w:rPr>
                <w:sz w:val="18"/>
              </w:rPr>
            </w:pPr>
            <w:r>
              <w:rPr>
                <w:w w:val="95"/>
                <w:sz w:val="18"/>
              </w:rPr>
              <w:t>20</w:t>
            </w:r>
          </w:p>
        </w:tc>
        <w:tc>
          <w:tcPr>
            <w:tcW w:w="654" w:type="dxa"/>
            <w:tcBorders>
              <w:bottom w:val="single" w:sz="8" w:space="0" w:color="000000"/>
            </w:tcBorders>
          </w:tcPr>
          <w:p>
            <w:pPr>
              <w:pStyle w:val="TableParagraph"/>
              <w:spacing w:line="176" w:lineRule="exact"/>
              <w:ind w:right="1"/>
              <w:rPr>
                <w:sz w:val="18"/>
              </w:rPr>
            </w:pPr>
            <w:r>
              <w:rPr>
                <w:sz w:val="18"/>
              </w:rPr>
              <w:t>25</w:t>
            </w:r>
          </w:p>
        </w:tc>
        <w:tc>
          <w:tcPr>
            <w:tcW w:w="629" w:type="dxa"/>
            <w:tcBorders>
              <w:bottom w:val="single" w:sz="8" w:space="0" w:color="000000"/>
            </w:tcBorders>
          </w:tcPr>
          <w:p>
            <w:pPr>
              <w:pStyle w:val="TableParagraph"/>
              <w:spacing w:line="176" w:lineRule="exact"/>
              <w:ind w:left="154" w:right="131"/>
              <w:rPr>
                <w:sz w:val="18"/>
              </w:rPr>
            </w:pPr>
            <w:r>
              <w:rPr>
                <w:sz w:val="18"/>
              </w:rPr>
              <w:t>32</w:t>
            </w:r>
          </w:p>
        </w:tc>
        <w:tc>
          <w:tcPr>
            <w:tcW w:w="681" w:type="dxa"/>
            <w:tcBorders>
              <w:bottom w:val="single" w:sz="8" w:space="0" w:color="000000"/>
              <w:right w:val="single" w:sz="4" w:space="0" w:color="000000"/>
            </w:tcBorders>
          </w:tcPr>
          <w:p>
            <w:pPr>
              <w:pStyle w:val="TableParagraph"/>
              <w:spacing w:line="176" w:lineRule="exact"/>
              <w:ind w:left="129" w:right="103"/>
              <w:rPr>
                <w:sz w:val="18"/>
              </w:rPr>
            </w:pPr>
            <w:r>
              <w:rPr>
                <w:sz w:val="18"/>
              </w:rPr>
              <w:t>40</w:t>
            </w:r>
          </w:p>
        </w:tc>
        <w:tc>
          <w:tcPr>
            <w:tcW w:w="654" w:type="dxa"/>
            <w:tcBorders>
              <w:left w:val="single" w:sz="4" w:space="0" w:color="000000"/>
              <w:bottom w:val="single" w:sz="8" w:space="0" w:color="000000"/>
            </w:tcBorders>
          </w:tcPr>
          <w:p>
            <w:pPr>
              <w:pStyle w:val="TableParagraph"/>
              <w:spacing w:line="176" w:lineRule="exact"/>
              <w:ind w:left="101" w:right="106"/>
              <w:rPr>
                <w:sz w:val="18"/>
              </w:rPr>
            </w:pPr>
            <w:r>
              <w:rPr>
                <w:sz w:val="18"/>
              </w:rPr>
              <w:t>50</w:t>
            </w:r>
          </w:p>
        </w:tc>
        <w:tc>
          <w:tcPr>
            <w:tcW w:w="656" w:type="dxa"/>
            <w:tcBorders>
              <w:bottom w:val="single" w:sz="8" w:space="0" w:color="000000"/>
            </w:tcBorders>
          </w:tcPr>
          <w:p>
            <w:pPr>
              <w:pStyle w:val="TableParagraph"/>
              <w:spacing w:line="176" w:lineRule="exact"/>
              <w:ind w:left="205" w:right="210"/>
              <w:rPr>
                <w:sz w:val="18"/>
              </w:rPr>
            </w:pPr>
            <w:r>
              <w:rPr>
                <w:sz w:val="18"/>
              </w:rPr>
              <w:t>65</w:t>
            </w:r>
          </w:p>
        </w:tc>
        <w:tc>
          <w:tcPr>
            <w:tcW w:w="655" w:type="dxa"/>
            <w:tcBorders>
              <w:bottom w:val="single" w:sz="8" w:space="0" w:color="000000"/>
            </w:tcBorders>
          </w:tcPr>
          <w:p>
            <w:pPr>
              <w:pStyle w:val="TableParagraph"/>
              <w:spacing w:line="176" w:lineRule="exact"/>
              <w:ind w:left="103" w:right="109"/>
              <w:rPr>
                <w:sz w:val="18"/>
              </w:rPr>
            </w:pPr>
            <w:r>
              <w:rPr>
                <w:sz w:val="18"/>
              </w:rPr>
              <w:t>80</w:t>
            </w:r>
          </w:p>
        </w:tc>
        <w:tc>
          <w:tcPr>
            <w:tcW w:w="654" w:type="dxa"/>
            <w:tcBorders>
              <w:bottom w:val="single" w:sz="8" w:space="0" w:color="000000"/>
            </w:tcBorders>
          </w:tcPr>
          <w:p>
            <w:pPr>
              <w:pStyle w:val="TableParagraph"/>
              <w:spacing w:line="176" w:lineRule="exact"/>
              <w:ind w:left="172"/>
              <w:jc w:val="left"/>
              <w:rPr>
                <w:sz w:val="18"/>
              </w:rPr>
            </w:pPr>
            <w:r>
              <w:rPr>
                <w:sz w:val="18"/>
              </w:rPr>
              <w:t>100</w:t>
            </w:r>
          </w:p>
        </w:tc>
        <w:tc>
          <w:tcPr>
            <w:tcW w:w="655" w:type="dxa"/>
            <w:tcBorders>
              <w:bottom w:val="single" w:sz="8" w:space="0" w:color="000000"/>
            </w:tcBorders>
          </w:tcPr>
          <w:p>
            <w:pPr>
              <w:pStyle w:val="TableParagraph"/>
              <w:spacing w:line="176" w:lineRule="exact"/>
              <w:ind w:left="102" w:right="110"/>
              <w:rPr>
                <w:sz w:val="18"/>
              </w:rPr>
            </w:pPr>
            <w:r>
              <w:rPr>
                <w:sz w:val="18"/>
              </w:rPr>
              <w:t>125</w:t>
            </w:r>
          </w:p>
        </w:tc>
        <w:tc>
          <w:tcPr>
            <w:tcW w:w="657" w:type="dxa"/>
            <w:tcBorders>
              <w:bottom w:val="single" w:sz="8" w:space="0" w:color="000000"/>
            </w:tcBorders>
          </w:tcPr>
          <w:p>
            <w:pPr>
              <w:pStyle w:val="TableParagraph"/>
              <w:spacing w:line="176" w:lineRule="exact"/>
              <w:ind w:right="184"/>
              <w:jc w:val="right"/>
              <w:rPr>
                <w:sz w:val="18"/>
              </w:rPr>
            </w:pPr>
            <w:r>
              <w:rPr>
                <w:w w:val="95"/>
                <w:sz w:val="18"/>
              </w:rPr>
              <w:t>150</w:t>
            </w:r>
          </w:p>
        </w:tc>
      </w:tr>
      <w:tr>
        <w:trPr>
          <w:trHeight w:val="207" w:hRule="atLeast"/>
        </w:trPr>
        <w:tc>
          <w:tcPr>
            <w:tcW w:w="1763" w:type="dxa"/>
            <w:tcBorders>
              <w:top w:val="single" w:sz="8" w:space="0" w:color="000000"/>
              <w:right w:val="single" w:sz="4" w:space="0" w:color="000000"/>
            </w:tcBorders>
          </w:tcPr>
          <w:p>
            <w:pPr>
              <w:pStyle w:val="TableParagraph"/>
              <w:spacing w:line="188" w:lineRule="exact"/>
              <w:ind w:left="84"/>
              <w:jc w:val="left"/>
              <w:rPr>
                <w:sz w:val="18"/>
              </w:rPr>
            </w:pPr>
            <w:r>
              <w:rPr>
                <w:sz w:val="18"/>
              </w:rPr>
              <w:t>Largo</w:t>
            </w:r>
          </w:p>
        </w:tc>
        <w:tc>
          <w:tcPr>
            <w:tcW w:w="653" w:type="dxa"/>
            <w:tcBorders>
              <w:top w:val="single" w:sz="8" w:space="0" w:color="000000"/>
              <w:left w:val="single" w:sz="4" w:space="0" w:color="000000"/>
            </w:tcBorders>
          </w:tcPr>
          <w:p>
            <w:pPr>
              <w:pStyle w:val="TableParagraph"/>
              <w:spacing w:line="188" w:lineRule="exact"/>
              <w:ind w:left="151" w:right="155"/>
              <w:rPr>
                <w:sz w:val="18"/>
              </w:rPr>
            </w:pPr>
            <w:r>
              <w:rPr>
                <w:sz w:val="18"/>
              </w:rPr>
              <w:t>600</w:t>
            </w:r>
          </w:p>
        </w:tc>
        <w:tc>
          <w:tcPr>
            <w:tcW w:w="654" w:type="dxa"/>
            <w:tcBorders>
              <w:top w:val="single" w:sz="8" w:space="0" w:color="000000"/>
            </w:tcBorders>
          </w:tcPr>
          <w:p>
            <w:pPr>
              <w:pStyle w:val="TableParagraph"/>
              <w:spacing w:line="188" w:lineRule="exact"/>
              <w:ind w:right="177"/>
              <w:jc w:val="right"/>
              <w:rPr>
                <w:sz w:val="18"/>
              </w:rPr>
            </w:pPr>
            <w:r>
              <w:rPr>
                <w:w w:val="95"/>
                <w:sz w:val="18"/>
              </w:rPr>
              <w:t>600</w:t>
            </w:r>
          </w:p>
        </w:tc>
        <w:tc>
          <w:tcPr>
            <w:tcW w:w="654" w:type="dxa"/>
            <w:tcBorders>
              <w:top w:val="single" w:sz="8" w:space="0" w:color="000000"/>
            </w:tcBorders>
          </w:tcPr>
          <w:p>
            <w:pPr>
              <w:pStyle w:val="TableParagraph"/>
              <w:spacing w:line="188" w:lineRule="exact"/>
              <w:rPr>
                <w:sz w:val="18"/>
              </w:rPr>
            </w:pPr>
            <w:r>
              <w:rPr>
                <w:sz w:val="18"/>
              </w:rPr>
              <w:t>900</w:t>
            </w:r>
          </w:p>
        </w:tc>
        <w:tc>
          <w:tcPr>
            <w:tcW w:w="629" w:type="dxa"/>
            <w:tcBorders>
              <w:top w:val="single" w:sz="8" w:space="0" w:color="000000"/>
            </w:tcBorders>
          </w:tcPr>
          <w:p>
            <w:pPr>
              <w:pStyle w:val="TableParagraph"/>
              <w:spacing w:line="188" w:lineRule="exact"/>
              <w:ind w:left="156" w:right="131"/>
              <w:rPr>
                <w:sz w:val="18"/>
              </w:rPr>
            </w:pPr>
            <w:r>
              <w:rPr>
                <w:sz w:val="18"/>
              </w:rPr>
              <w:t>900</w:t>
            </w:r>
          </w:p>
        </w:tc>
        <w:tc>
          <w:tcPr>
            <w:tcW w:w="681" w:type="dxa"/>
            <w:tcBorders>
              <w:top w:val="single" w:sz="8" w:space="0" w:color="000000"/>
              <w:right w:val="single" w:sz="4" w:space="0" w:color="000000"/>
            </w:tcBorders>
          </w:tcPr>
          <w:p>
            <w:pPr>
              <w:pStyle w:val="TableParagraph"/>
              <w:spacing w:line="188" w:lineRule="exact"/>
              <w:ind w:left="131" w:right="103"/>
              <w:rPr>
                <w:sz w:val="18"/>
              </w:rPr>
            </w:pPr>
            <w:r>
              <w:rPr>
                <w:sz w:val="18"/>
              </w:rPr>
              <w:t>1300</w:t>
            </w:r>
          </w:p>
        </w:tc>
        <w:tc>
          <w:tcPr>
            <w:tcW w:w="654" w:type="dxa"/>
            <w:tcBorders>
              <w:top w:val="single" w:sz="8" w:space="0" w:color="000000"/>
              <w:left w:val="single" w:sz="4" w:space="0" w:color="000000"/>
            </w:tcBorders>
          </w:tcPr>
          <w:p>
            <w:pPr>
              <w:pStyle w:val="TableParagraph"/>
              <w:spacing w:line="188" w:lineRule="exact"/>
              <w:ind w:left="101" w:right="107"/>
              <w:rPr>
                <w:sz w:val="18"/>
              </w:rPr>
            </w:pPr>
            <w:r>
              <w:rPr>
                <w:sz w:val="18"/>
              </w:rPr>
              <w:t>2100</w:t>
            </w:r>
          </w:p>
        </w:tc>
        <w:tc>
          <w:tcPr>
            <w:tcW w:w="656" w:type="dxa"/>
            <w:tcBorders>
              <w:top w:val="single" w:sz="8" w:space="0" w:color="000000"/>
            </w:tcBorders>
          </w:tcPr>
          <w:p>
            <w:pPr>
              <w:pStyle w:val="TableParagraph"/>
              <w:spacing w:line="188" w:lineRule="exact"/>
              <w:ind w:right="128"/>
              <w:jc w:val="right"/>
              <w:rPr>
                <w:sz w:val="18"/>
              </w:rPr>
            </w:pPr>
            <w:r>
              <w:rPr>
                <w:sz w:val="18"/>
              </w:rPr>
              <w:t>2100</w:t>
            </w:r>
          </w:p>
        </w:tc>
        <w:tc>
          <w:tcPr>
            <w:tcW w:w="655" w:type="dxa"/>
            <w:tcBorders>
              <w:top w:val="single" w:sz="8" w:space="0" w:color="000000"/>
            </w:tcBorders>
          </w:tcPr>
          <w:p>
            <w:pPr>
              <w:pStyle w:val="TableParagraph"/>
              <w:spacing w:line="188" w:lineRule="exact"/>
              <w:ind w:right="128"/>
              <w:jc w:val="right"/>
              <w:rPr>
                <w:sz w:val="18"/>
              </w:rPr>
            </w:pPr>
            <w:r>
              <w:rPr>
                <w:sz w:val="18"/>
              </w:rPr>
              <w:t>2200</w:t>
            </w:r>
          </w:p>
        </w:tc>
        <w:tc>
          <w:tcPr>
            <w:tcW w:w="654" w:type="dxa"/>
            <w:tcBorders>
              <w:top w:val="single" w:sz="8" w:space="0" w:color="000000"/>
            </w:tcBorders>
          </w:tcPr>
          <w:p>
            <w:pPr>
              <w:pStyle w:val="TableParagraph"/>
              <w:spacing w:line="188" w:lineRule="exact"/>
              <w:ind w:left="122"/>
              <w:jc w:val="left"/>
              <w:rPr>
                <w:sz w:val="18"/>
              </w:rPr>
            </w:pPr>
            <w:r>
              <w:rPr>
                <w:sz w:val="18"/>
              </w:rPr>
              <w:t>2500</w:t>
            </w:r>
          </w:p>
        </w:tc>
        <w:tc>
          <w:tcPr>
            <w:tcW w:w="655" w:type="dxa"/>
            <w:tcBorders>
              <w:top w:val="single" w:sz="8" w:space="0" w:color="000000"/>
            </w:tcBorders>
          </w:tcPr>
          <w:p>
            <w:pPr>
              <w:pStyle w:val="TableParagraph"/>
              <w:spacing w:line="188" w:lineRule="exact"/>
              <w:ind w:left="103" w:right="110"/>
              <w:rPr>
                <w:sz w:val="18"/>
              </w:rPr>
            </w:pPr>
            <w:r>
              <w:rPr>
                <w:sz w:val="18"/>
              </w:rPr>
              <w:t>3000</w:t>
            </w:r>
          </w:p>
        </w:tc>
        <w:tc>
          <w:tcPr>
            <w:tcW w:w="657" w:type="dxa"/>
            <w:tcBorders>
              <w:top w:val="single" w:sz="8" w:space="0" w:color="000000"/>
            </w:tcBorders>
          </w:tcPr>
          <w:p>
            <w:pPr>
              <w:pStyle w:val="TableParagraph"/>
              <w:spacing w:line="188" w:lineRule="exact"/>
              <w:ind w:right="133"/>
              <w:jc w:val="right"/>
              <w:rPr>
                <w:sz w:val="18"/>
              </w:rPr>
            </w:pPr>
            <w:r>
              <w:rPr>
                <w:sz w:val="18"/>
              </w:rPr>
              <w:t>3000</w:t>
            </w:r>
          </w:p>
        </w:tc>
      </w:tr>
      <w:tr>
        <w:trPr>
          <w:trHeight w:val="207" w:hRule="atLeast"/>
        </w:trPr>
        <w:tc>
          <w:tcPr>
            <w:tcW w:w="1763" w:type="dxa"/>
            <w:tcBorders>
              <w:right w:val="single" w:sz="4" w:space="0" w:color="000000"/>
            </w:tcBorders>
          </w:tcPr>
          <w:p>
            <w:pPr>
              <w:pStyle w:val="TableParagraph"/>
              <w:spacing w:line="187" w:lineRule="exact"/>
              <w:ind w:left="84"/>
              <w:jc w:val="left"/>
              <w:rPr>
                <w:sz w:val="18"/>
              </w:rPr>
            </w:pPr>
            <w:r>
              <w:rPr>
                <w:sz w:val="18"/>
              </w:rPr>
              <w:t>Ancho</w:t>
            </w:r>
          </w:p>
        </w:tc>
        <w:tc>
          <w:tcPr>
            <w:tcW w:w="653" w:type="dxa"/>
            <w:tcBorders>
              <w:left w:val="single" w:sz="4" w:space="0" w:color="000000"/>
            </w:tcBorders>
          </w:tcPr>
          <w:p>
            <w:pPr>
              <w:pStyle w:val="TableParagraph"/>
              <w:spacing w:line="187" w:lineRule="exact"/>
              <w:ind w:left="151" w:right="155"/>
              <w:rPr>
                <w:sz w:val="18"/>
              </w:rPr>
            </w:pPr>
            <w:r>
              <w:rPr>
                <w:sz w:val="18"/>
              </w:rPr>
              <w:t>500</w:t>
            </w:r>
          </w:p>
        </w:tc>
        <w:tc>
          <w:tcPr>
            <w:tcW w:w="654" w:type="dxa"/>
          </w:tcPr>
          <w:p>
            <w:pPr>
              <w:pStyle w:val="TableParagraph"/>
              <w:spacing w:line="187" w:lineRule="exact"/>
              <w:ind w:right="177"/>
              <w:jc w:val="right"/>
              <w:rPr>
                <w:sz w:val="18"/>
              </w:rPr>
            </w:pPr>
            <w:r>
              <w:rPr>
                <w:w w:val="95"/>
                <w:sz w:val="18"/>
              </w:rPr>
              <w:t>500</w:t>
            </w:r>
          </w:p>
        </w:tc>
        <w:tc>
          <w:tcPr>
            <w:tcW w:w="654" w:type="dxa"/>
          </w:tcPr>
          <w:p>
            <w:pPr>
              <w:pStyle w:val="TableParagraph"/>
              <w:spacing w:line="187" w:lineRule="exact"/>
              <w:rPr>
                <w:sz w:val="18"/>
              </w:rPr>
            </w:pPr>
            <w:r>
              <w:rPr>
                <w:sz w:val="18"/>
              </w:rPr>
              <w:t>500</w:t>
            </w:r>
          </w:p>
        </w:tc>
        <w:tc>
          <w:tcPr>
            <w:tcW w:w="629" w:type="dxa"/>
          </w:tcPr>
          <w:p>
            <w:pPr>
              <w:pStyle w:val="TableParagraph"/>
              <w:spacing w:line="187" w:lineRule="exact"/>
              <w:ind w:left="156" w:right="131"/>
              <w:rPr>
                <w:sz w:val="18"/>
              </w:rPr>
            </w:pPr>
            <w:r>
              <w:rPr>
                <w:sz w:val="18"/>
              </w:rPr>
              <w:t>500</w:t>
            </w:r>
          </w:p>
        </w:tc>
        <w:tc>
          <w:tcPr>
            <w:tcW w:w="681" w:type="dxa"/>
            <w:tcBorders>
              <w:right w:val="single" w:sz="4" w:space="0" w:color="000000"/>
            </w:tcBorders>
          </w:tcPr>
          <w:p>
            <w:pPr>
              <w:pStyle w:val="TableParagraph"/>
              <w:spacing w:line="187" w:lineRule="exact"/>
              <w:ind w:left="131" w:right="103"/>
              <w:rPr>
                <w:sz w:val="18"/>
              </w:rPr>
            </w:pPr>
            <w:r>
              <w:rPr>
                <w:sz w:val="18"/>
              </w:rPr>
              <w:t>600</w:t>
            </w:r>
          </w:p>
        </w:tc>
        <w:tc>
          <w:tcPr>
            <w:tcW w:w="654" w:type="dxa"/>
            <w:tcBorders>
              <w:left w:val="single" w:sz="4" w:space="0" w:color="000000"/>
            </w:tcBorders>
          </w:tcPr>
          <w:p>
            <w:pPr>
              <w:pStyle w:val="TableParagraph"/>
              <w:spacing w:line="187" w:lineRule="exact"/>
              <w:ind w:left="99" w:right="107"/>
              <w:rPr>
                <w:sz w:val="18"/>
              </w:rPr>
            </w:pPr>
            <w:r>
              <w:rPr>
                <w:sz w:val="18"/>
              </w:rPr>
              <w:t>700</w:t>
            </w:r>
          </w:p>
        </w:tc>
        <w:tc>
          <w:tcPr>
            <w:tcW w:w="656" w:type="dxa"/>
          </w:tcPr>
          <w:p>
            <w:pPr>
              <w:pStyle w:val="TableParagraph"/>
              <w:spacing w:line="187" w:lineRule="exact"/>
              <w:ind w:right="179"/>
              <w:jc w:val="right"/>
              <w:rPr>
                <w:sz w:val="18"/>
              </w:rPr>
            </w:pPr>
            <w:r>
              <w:rPr>
                <w:w w:val="95"/>
                <w:sz w:val="18"/>
              </w:rPr>
              <w:t>700</w:t>
            </w:r>
          </w:p>
        </w:tc>
        <w:tc>
          <w:tcPr>
            <w:tcW w:w="655" w:type="dxa"/>
          </w:tcPr>
          <w:p>
            <w:pPr>
              <w:pStyle w:val="TableParagraph"/>
              <w:spacing w:line="187" w:lineRule="exact"/>
              <w:ind w:right="180"/>
              <w:jc w:val="right"/>
              <w:rPr>
                <w:sz w:val="18"/>
              </w:rPr>
            </w:pPr>
            <w:r>
              <w:rPr>
                <w:w w:val="95"/>
                <w:sz w:val="18"/>
              </w:rPr>
              <w:t>800</w:t>
            </w:r>
          </w:p>
        </w:tc>
        <w:tc>
          <w:tcPr>
            <w:tcW w:w="654" w:type="dxa"/>
          </w:tcPr>
          <w:p>
            <w:pPr>
              <w:pStyle w:val="TableParagraph"/>
              <w:spacing w:line="187" w:lineRule="exact"/>
              <w:ind w:left="172"/>
              <w:jc w:val="left"/>
              <w:rPr>
                <w:sz w:val="18"/>
              </w:rPr>
            </w:pPr>
            <w:r>
              <w:rPr>
                <w:sz w:val="18"/>
              </w:rPr>
              <w:t>800</w:t>
            </w:r>
          </w:p>
        </w:tc>
        <w:tc>
          <w:tcPr>
            <w:tcW w:w="655" w:type="dxa"/>
          </w:tcPr>
          <w:p>
            <w:pPr>
              <w:pStyle w:val="TableParagraph"/>
              <w:spacing w:line="187" w:lineRule="exact"/>
              <w:ind w:left="102" w:right="110"/>
              <w:rPr>
                <w:sz w:val="18"/>
              </w:rPr>
            </w:pPr>
            <w:r>
              <w:rPr>
                <w:sz w:val="18"/>
              </w:rPr>
              <w:t>800</w:t>
            </w:r>
          </w:p>
        </w:tc>
        <w:tc>
          <w:tcPr>
            <w:tcW w:w="657" w:type="dxa"/>
          </w:tcPr>
          <w:p>
            <w:pPr>
              <w:pStyle w:val="TableParagraph"/>
              <w:spacing w:line="187" w:lineRule="exact"/>
              <w:ind w:right="184"/>
              <w:jc w:val="right"/>
              <w:rPr>
                <w:sz w:val="18"/>
              </w:rPr>
            </w:pPr>
            <w:r>
              <w:rPr>
                <w:w w:val="95"/>
                <w:sz w:val="18"/>
              </w:rPr>
              <w:t>800</w:t>
            </w:r>
          </w:p>
        </w:tc>
      </w:tr>
      <w:tr>
        <w:trPr>
          <w:trHeight w:val="206" w:hRule="atLeast"/>
        </w:trPr>
        <w:tc>
          <w:tcPr>
            <w:tcW w:w="1763" w:type="dxa"/>
            <w:tcBorders>
              <w:bottom w:val="single" w:sz="4" w:space="0" w:color="000000"/>
              <w:right w:val="single" w:sz="4" w:space="0" w:color="000000"/>
            </w:tcBorders>
          </w:tcPr>
          <w:p>
            <w:pPr>
              <w:pStyle w:val="TableParagraph"/>
              <w:spacing w:line="186" w:lineRule="exact"/>
              <w:ind w:left="84"/>
              <w:jc w:val="left"/>
              <w:rPr>
                <w:sz w:val="18"/>
              </w:rPr>
            </w:pPr>
            <w:r>
              <w:rPr>
                <w:sz w:val="18"/>
              </w:rPr>
              <w:t>Alto</w:t>
            </w:r>
          </w:p>
        </w:tc>
        <w:tc>
          <w:tcPr>
            <w:tcW w:w="653" w:type="dxa"/>
            <w:tcBorders>
              <w:left w:val="single" w:sz="4" w:space="0" w:color="000000"/>
              <w:bottom w:val="single" w:sz="4" w:space="0" w:color="000000"/>
            </w:tcBorders>
          </w:tcPr>
          <w:p>
            <w:pPr>
              <w:pStyle w:val="TableParagraph"/>
              <w:spacing w:line="186" w:lineRule="exact"/>
              <w:ind w:left="151" w:right="155"/>
              <w:rPr>
                <w:sz w:val="18"/>
              </w:rPr>
            </w:pPr>
            <w:r>
              <w:rPr>
                <w:sz w:val="18"/>
              </w:rPr>
              <w:t>200</w:t>
            </w:r>
          </w:p>
        </w:tc>
        <w:tc>
          <w:tcPr>
            <w:tcW w:w="654" w:type="dxa"/>
            <w:tcBorders>
              <w:bottom w:val="single" w:sz="4" w:space="0" w:color="000000"/>
            </w:tcBorders>
          </w:tcPr>
          <w:p>
            <w:pPr>
              <w:pStyle w:val="TableParagraph"/>
              <w:spacing w:line="186" w:lineRule="exact"/>
              <w:ind w:right="177"/>
              <w:jc w:val="right"/>
              <w:rPr>
                <w:sz w:val="18"/>
              </w:rPr>
            </w:pPr>
            <w:r>
              <w:rPr>
                <w:w w:val="95"/>
                <w:sz w:val="18"/>
              </w:rPr>
              <w:t>200</w:t>
            </w:r>
          </w:p>
        </w:tc>
        <w:tc>
          <w:tcPr>
            <w:tcW w:w="654" w:type="dxa"/>
            <w:tcBorders>
              <w:bottom w:val="single" w:sz="4" w:space="0" w:color="000000"/>
            </w:tcBorders>
          </w:tcPr>
          <w:p>
            <w:pPr>
              <w:pStyle w:val="TableParagraph"/>
              <w:spacing w:line="186" w:lineRule="exact"/>
              <w:rPr>
                <w:sz w:val="18"/>
              </w:rPr>
            </w:pPr>
            <w:r>
              <w:rPr>
                <w:sz w:val="18"/>
              </w:rPr>
              <w:t>300</w:t>
            </w:r>
          </w:p>
        </w:tc>
        <w:tc>
          <w:tcPr>
            <w:tcW w:w="629" w:type="dxa"/>
            <w:tcBorders>
              <w:bottom w:val="single" w:sz="4" w:space="0" w:color="000000"/>
            </w:tcBorders>
          </w:tcPr>
          <w:p>
            <w:pPr>
              <w:pStyle w:val="TableParagraph"/>
              <w:spacing w:line="186" w:lineRule="exact"/>
              <w:ind w:left="156" w:right="131"/>
              <w:rPr>
                <w:sz w:val="18"/>
              </w:rPr>
            </w:pPr>
            <w:r>
              <w:rPr>
                <w:sz w:val="18"/>
              </w:rPr>
              <w:t>300</w:t>
            </w:r>
          </w:p>
        </w:tc>
        <w:tc>
          <w:tcPr>
            <w:tcW w:w="681" w:type="dxa"/>
            <w:tcBorders>
              <w:bottom w:val="single" w:sz="4" w:space="0" w:color="000000"/>
              <w:right w:val="single" w:sz="4" w:space="0" w:color="000000"/>
            </w:tcBorders>
          </w:tcPr>
          <w:p>
            <w:pPr>
              <w:pStyle w:val="TableParagraph"/>
              <w:spacing w:line="186" w:lineRule="exact"/>
              <w:ind w:left="131" w:right="103"/>
              <w:rPr>
                <w:sz w:val="18"/>
              </w:rPr>
            </w:pPr>
            <w:r>
              <w:rPr>
                <w:sz w:val="18"/>
              </w:rPr>
              <w:t>500</w:t>
            </w:r>
          </w:p>
        </w:tc>
        <w:tc>
          <w:tcPr>
            <w:tcW w:w="654" w:type="dxa"/>
            <w:tcBorders>
              <w:left w:val="single" w:sz="4" w:space="0" w:color="000000"/>
              <w:bottom w:val="single" w:sz="4" w:space="0" w:color="000000"/>
            </w:tcBorders>
          </w:tcPr>
          <w:p>
            <w:pPr>
              <w:pStyle w:val="TableParagraph"/>
              <w:spacing w:line="186" w:lineRule="exact"/>
              <w:ind w:left="99" w:right="107"/>
              <w:rPr>
                <w:sz w:val="18"/>
              </w:rPr>
            </w:pPr>
            <w:r>
              <w:rPr>
                <w:sz w:val="18"/>
              </w:rPr>
              <w:t>700</w:t>
            </w:r>
          </w:p>
        </w:tc>
        <w:tc>
          <w:tcPr>
            <w:tcW w:w="656" w:type="dxa"/>
            <w:tcBorders>
              <w:bottom w:val="single" w:sz="4" w:space="0" w:color="000000"/>
            </w:tcBorders>
          </w:tcPr>
          <w:p>
            <w:pPr>
              <w:pStyle w:val="TableParagraph"/>
              <w:spacing w:line="186" w:lineRule="exact"/>
              <w:ind w:right="179"/>
              <w:jc w:val="right"/>
              <w:rPr>
                <w:sz w:val="18"/>
              </w:rPr>
            </w:pPr>
            <w:r>
              <w:rPr>
                <w:w w:val="95"/>
                <w:sz w:val="18"/>
              </w:rPr>
              <w:t>700</w:t>
            </w:r>
          </w:p>
        </w:tc>
        <w:tc>
          <w:tcPr>
            <w:tcW w:w="655" w:type="dxa"/>
            <w:tcBorders>
              <w:bottom w:val="single" w:sz="4" w:space="0" w:color="000000"/>
            </w:tcBorders>
          </w:tcPr>
          <w:p>
            <w:pPr>
              <w:pStyle w:val="TableParagraph"/>
              <w:spacing w:line="186" w:lineRule="exact"/>
              <w:ind w:right="180"/>
              <w:jc w:val="right"/>
              <w:rPr>
                <w:sz w:val="18"/>
              </w:rPr>
            </w:pPr>
            <w:r>
              <w:rPr>
                <w:w w:val="95"/>
                <w:sz w:val="18"/>
              </w:rPr>
              <w:t>800</w:t>
            </w:r>
          </w:p>
        </w:tc>
        <w:tc>
          <w:tcPr>
            <w:tcW w:w="654" w:type="dxa"/>
            <w:tcBorders>
              <w:bottom w:val="single" w:sz="4" w:space="0" w:color="000000"/>
            </w:tcBorders>
          </w:tcPr>
          <w:p>
            <w:pPr>
              <w:pStyle w:val="TableParagraph"/>
              <w:spacing w:line="186" w:lineRule="exact"/>
              <w:ind w:left="172"/>
              <w:jc w:val="left"/>
              <w:rPr>
                <w:sz w:val="18"/>
              </w:rPr>
            </w:pPr>
            <w:r>
              <w:rPr>
                <w:sz w:val="18"/>
              </w:rPr>
              <w:t>900</w:t>
            </w:r>
          </w:p>
        </w:tc>
        <w:tc>
          <w:tcPr>
            <w:tcW w:w="655" w:type="dxa"/>
            <w:tcBorders>
              <w:bottom w:val="single" w:sz="4" w:space="0" w:color="000000"/>
            </w:tcBorders>
          </w:tcPr>
          <w:p>
            <w:pPr>
              <w:pStyle w:val="TableParagraph"/>
              <w:spacing w:line="186" w:lineRule="exact"/>
              <w:ind w:left="103" w:right="110"/>
              <w:rPr>
                <w:sz w:val="18"/>
              </w:rPr>
            </w:pPr>
            <w:r>
              <w:rPr>
                <w:sz w:val="18"/>
              </w:rPr>
              <w:t>1000</w:t>
            </w:r>
          </w:p>
        </w:tc>
        <w:tc>
          <w:tcPr>
            <w:tcW w:w="657" w:type="dxa"/>
            <w:tcBorders>
              <w:bottom w:val="single" w:sz="4" w:space="0" w:color="000000"/>
            </w:tcBorders>
          </w:tcPr>
          <w:p>
            <w:pPr>
              <w:pStyle w:val="TableParagraph"/>
              <w:spacing w:line="186" w:lineRule="exact"/>
              <w:ind w:right="133"/>
              <w:jc w:val="right"/>
              <w:rPr>
                <w:sz w:val="18"/>
              </w:rPr>
            </w:pPr>
            <w:r>
              <w:rPr>
                <w:sz w:val="18"/>
              </w:rPr>
              <w:t>1000</w:t>
            </w:r>
          </w:p>
        </w:tc>
      </w:tr>
    </w:tbl>
    <w:p>
      <w:pPr>
        <w:pStyle w:val="BodyText"/>
        <w:rPr>
          <w:b/>
          <w:sz w:val="25"/>
        </w:rPr>
      </w:pPr>
    </w:p>
    <w:p>
      <w:pPr>
        <w:spacing w:before="0"/>
        <w:ind w:left="1778" w:right="0" w:firstLine="0"/>
        <w:jc w:val="left"/>
        <w:rPr>
          <w:b/>
          <w:sz w:val="16"/>
        </w:rPr>
      </w:pPr>
      <w:r>
        <w:rPr/>
        <w:pict>
          <v:group style="position:absolute;margin-left:143pt;margin-top:-2.876083pt;width:.5pt;height:70.25pt;mso-position-horizontal-relative:page;mso-position-vertical-relative:paragraph;z-index:251993088" coordorigin="2860,-58" coordsize="10,1405">
            <v:line style="position:absolute" from="2865,-58" to="2865,246" stroked="true" strokeweight=".48pt" strokecolor="#000000">
              <v:stroke dashstyle="solid"/>
            </v:line>
            <v:line style="position:absolute" from="2865,246" to="2865,430" stroked="true" strokeweight=".48pt" strokecolor="#000000">
              <v:stroke dashstyle="solid"/>
            </v:line>
            <v:line style="position:absolute" from="2865,430" to="2865,674" stroked="true" strokeweight=".48pt" strokecolor="#000000">
              <v:stroke dashstyle="solid"/>
            </v:line>
            <v:line style="position:absolute" from="2865,674" to="2865,918" stroked="true" strokeweight=".48pt" strokecolor="#000000">
              <v:stroke dashstyle="solid"/>
            </v:line>
            <v:line style="position:absolute" from="2865,918" to="2865,1102" stroked="true" strokeweight=".48pt" strokecolor="#000000">
              <v:stroke dashstyle="solid"/>
            </v:line>
            <v:line style="position:absolute" from="2865,1102" to="2865,1347" stroked="true" strokeweight=".48pt" strokecolor="#000000">
              <v:stroke dashstyle="solid"/>
            </v:line>
            <w10:wrap type="none"/>
          </v:group>
        </w:pict>
      </w:r>
      <w:r>
        <w:rPr>
          <w:b/>
          <w:sz w:val="16"/>
        </w:rPr>
        <w:t>Dimensiones del alojamiento para el contador general</w:t>
      </w:r>
    </w:p>
    <w:p>
      <w:pPr>
        <w:spacing w:before="60"/>
        <w:ind w:left="1778" w:right="392" w:firstLine="0"/>
        <w:jc w:val="left"/>
        <w:rPr>
          <w:sz w:val="16"/>
        </w:rPr>
      </w:pPr>
      <w:r>
        <w:rPr>
          <w:sz w:val="16"/>
        </w:rPr>
        <w:t>Las dimensiones Largo-Ancho-Alto, pueden entenderse para mayor claridad en el caso de armarios como Longitud-Anchura-Profundidad.</w:t>
      </w:r>
    </w:p>
    <w:p>
      <w:pPr>
        <w:spacing w:before="61"/>
        <w:ind w:left="1778" w:right="0" w:firstLine="0"/>
        <w:jc w:val="left"/>
        <w:rPr>
          <w:b/>
          <w:sz w:val="16"/>
        </w:rPr>
      </w:pPr>
      <w:r>
        <w:rPr>
          <w:b/>
          <w:sz w:val="16"/>
        </w:rPr>
        <w:t>Dimensiones del alojamiento para la batería de contadores</w:t>
      </w:r>
    </w:p>
    <w:p>
      <w:pPr>
        <w:spacing w:before="59"/>
        <w:ind w:left="1778" w:right="0" w:firstLine="0"/>
        <w:jc w:val="left"/>
        <w:rPr>
          <w:sz w:val="16"/>
        </w:rPr>
      </w:pPr>
      <w:r>
        <w:rPr>
          <w:sz w:val="16"/>
        </w:rPr>
        <w:t>No se especifican unas dimensiones mínimas, por lo que el espacio reservado deberá ser adecuado a las necesidades concretas del número de contadores a instalar y a las tareas de mantenimiento necesarias.</w:t>
      </w:r>
    </w:p>
    <w:p>
      <w:pPr>
        <w:pStyle w:val="BodyText"/>
      </w:pPr>
    </w:p>
    <w:p>
      <w:pPr>
        <w:pStyle w:val="BodyText"/>
        <w:spacing w:before="7"/>
        <w:rPr>
          <w:sz w:val="21"/>
        </w:rPr>
      </w:pPr>
    </w:p>
    <w:p>
      <w:pPr>
        <w:pStyle w:val="Heading3"/>
        <w:numPr>
          <w:ilvl w:val="1"/>
          <w:numId w:val="177"/>
        </w:numPr>
        <w:tabs>
          <w:tab w:pos="673" w:val="left" w:leader="none"/>
        </w:tabs>
        <w:spacing w:line="240" w:lineRule="auto" w:before="93" w:after="0"/>
        <w:ind w:left="672" w:right="0" w:hanging="455"/>
        <w:jc w:val="both"/>
      </w:pPr>
      <w:r>
        <w:rPr/>
        <w:t>Dimensionado de las redes de</w:t>
      </w:r>
      <w:r>
        <w:rPr>
          <w:spacing w:val="-1"/>
        </w:rPr>
        <w:t> </w:t>
      </w:r>
      <w:r>
        <w:rPr/>
        <w:t>distribución</w:t>
      </w:r>
    </w:p>
    <w:p>
      <w:pPr>
        <w:pStyle w:val="ListParagraph"/>
        <w:numPr>
          <w:ilvl w:val="0"/>
          <w:numId w:val="178"/>
        </w:numPr>
        <w:tabs>
          <w:tab w:pos="673" w:val="left" w:leader="none"/>
        </w:tabs>
        <w:spacing w:line="240" w:lineRule="auto" w:before="98" w:after="0"/>
        <w:ind w:left="672" w:right="393" w:hanging="454"/>
        <w:jc w:val="both"/>
        <w:rPr>
          <w:sz w:val="20"/>
        </w:rPr>
      </w:pPr>
      <w:r>
        <w:rPr>
          <w:sz w:val="20"/>
        </w:rPr>
        <w:t>El cálculo se realizará con un primer dimensionado seleccionando el tramo más desfavorable de la misma y obteniéndose unos diámetros previos que posteriormente habrá que comprobar en función de la pérdida de carga que se obtenga con los</w:t>
      </w:r>
      <w:r>
        <w:rPr>
          <w:spacing w:val="-8"/>
          <w:sz w:val="20"/>
        </w:rPr>
        <w:t> </w:t>
      </w:r>
      <w:r>
        <w:rPr>
          <w:sz w:val="20"/>
        </w:rPr>
        <w:t>mismos.</w:t>
      </w:r>
    </w:p>
    <w:p>
      <w:pPr>
        <w:pStyle w:val="ListParagraph"/>
        <w:numPr>
          <w:ilvl w:val="0"/>
          <w:numId w:val="178"/>
        </w:numPr>
        <w:tabs>
          <w:tab w:pos="673" w:val="left" w:leader="none"/>
        </w:tabs>
        <w:spacing w:line="240" w:lineRule="auto" w:before="61" w:after="0"/>
        <w:ind w:left="672" w:right="389" w:hanging="454"/>
        <w:jc w:val="both"/>
        <w:rPr>
          <w:sz w:val="20"/>
        </w:rPr>
      </w:pPr>
      <w:r>
        <w:rPr>
          <w:sz w:val="20"/>
        </w:rPr>
        <w:t>Este dimensionado se hará siempre teniendo en cuenta las peculiaridades de cada instalación y los diámetros obtenidos serán los mínimos que hagan compatibles el buen funcionamiento y la econo- mía de la</w:t>
      </w:r>
      <w:r>
        <w:rPr>
          <w:spacing w:val="-1"/>
          <w:sz w:val="20"/>
        </w:rPr>
        <w:t> </w:t>
      </w:r>
      <w:r>
        <w:rPr>
          <w:sz w:val="20"/>
        </w:rPr>
        <w:t>misma.</w:t>
      </w:r>
    </w:p>
    <w:p>
      <w:pPr>
        <w:pStyle w:val="BodyText"/>
        <w:spacing w:before="6"/>
        <w:rPr>
          <w:sz w:val="17"/>
        </w:rPr>
      </w:pPr>
    </w:p>
    <w:p>
      <w:pPr>
        <w:pStyle w:val="Heading5"/>
        <w:numPr>
          <w:ilvl w:val="2"/>
          <w:numId w:val="177"/>
        </w:numPr>
        <w:tabs>
          <w:tab w:pos="787" w:val="left" w:leader="none"/>
        </w:tabs>
        <w:spacing w:line="240" w:lineRule="auto" w:before="0" w:after="0"/>
        <w:ind w:left="786" w:right="0" w:hanging="569"/>
        <w:jc w:val="both"/>
      </w:pPr>
      <w:r>
        <w:rPr/>
        <w:t>Dimensionado de los</w:t>
      </w:r>
      <w:r>
        <w:rPr>
          <w:spacing w:val="-1"/>
        </w:rPr>
        <w:t> </w:t>
      </w:r>
      <w:r>
        <w:rPr/>
        <w:t>tramos</w:t>
      </w:r>
    </w:p>
    <w:p>
      <w:pPr>
        <w:pStyle w:val="ListParagraph"/>
        <w:numPr>
          <w:ilvl w:val="0"/>
          <w:numId w:val="179"/>
        </w:numPr>
        <w:tabs>
          <w:tab w:pos="673" w:val="left" w:leader="none"/>
        </w:tabs>
        <w:spacing w:line="240" w:lineRule="auto" w:before="99" w:after="0"/>
        <w:ind w:left="672" w:right="392" w:hanging="454"/>
        <w:jc w:val="both"/>
        <w:rPr>
          <w:sz w:val="20"/>
        </w:rPr>
      </w:pPr>
      <w:r>
        <w:rPr>
          <w:sz w:val="20"/>
        </w:rPr>
        <w:t>El dimensionado de la red se hará a partir del dimensionado de cada tramo, y para ello se partirá del circuito considerado como más desfavorable que será aquel que cuente con la mayor pérdida  de presión debida tanto al rozamiento como a su altura</w:t>
      </w:r>
      <w:r>
        <w:rPr>
          <w:spacing w:val="-3"/>
          <w:sz w:val="20"/>
        </w:rPr>
        <w:t> </w:t>
      </w:r>
      <w:r>
        <w:rPr>
          <w:sz w:val="20"/>
        </w:rPr>
        <w:t>geométrica.</w:t>
      </w:r>
    </w:p>
    <w:p>
      <w:pPr>
        <w:pStyle w:val="ListParagraph"/>
        <w:numPr>
          <w:ilvl w:val="0"/>
          <w:numId w:val="179"/>
        </w:numPr>
        <w:tabs>
          <w:tab w:pos="673" w:val="left" w:leader="none"/>
        </w:tabs>
        <w:spacing w:line="240" w:lineRule="auto" w:before="60" w:after="0"/>
        <w:ind w:left="672" w:right="0" w:hanging="455"/>
        <w:jc w:val="both"/>
        <w:rPr>
          <w:sz w:val="20"/>
        </w:rPr>
      </w:pPr>
      <w:r>
        <w:rPr>
          <w:sz w:val="20"/>
        </w:rPr>
        <w:t>El dimensionado de los tramos se hará de acuerdo al procedimiento</w:t>
      </w:r>
      <w:r>
        <w:rPr>
          <w:spacing w:val="-7"/>
          <w:sz w:val="20"/>
        </w:rPr>
        <w:t> </w:t>
      </w:r>
      <w:r>
        <w:rPr>
          <w:sz w:val="20"/>
        </w:rPr>
        <w:t>siguiente:</w:t>
      </w:r>
    </w:p>
    <w:p>
      <w:pPr>
        <w:pStyle w:val="ListParagraph"/>
        <w:numPr>
          <w:ilvl w:val="1"/>
          <w:numId w:val="179"/>
        </w:numPr>
        <w:tabs>
          <w:tab w:pos="1125" w:val="left" w:leader="none"/>
          <w:tab w:pos="1126" w:val="left" w:leader="none"/>
        </w:tabs>
        <w:spacing w:line="240" w:lineRule="auto" w:before="59" w:after="0"/>
        <w:ind w:left="1126" w:right="391" w:hanging="454"/>
        <w:jc w:val="left"/>
        <w:rPr>
          <w:sz w:val="20"/>
        </w:rPr>
      </w:pPr>
      <w:r>
        <w:rPr>
          <w:sz w:val="20"/>
        </w:rPr>
        <w:t>el caudal máximo de cada tramos será igual a la suma de los caudales de los puntos de con- sumo alimentados por el mismo de acuerdo con la tabla</w:t>
      </w:r>
      <w:r>
        <w:rPr>
          <w:spacing w:val="-2"/>
          <w:sz w:val="20"/>
        </w:rPr>
        <w:t> </w:t>
      </w:r>
      <w:r>
        <w:rPr>
          <w:sz w:val="20"/>
        </w:rPr>
        <w:t>2.1.</w:t>
      </w:r>
    </w:p>
    <w:p>
      <w:pPr>
        <w:pStyle w:val="ListParagraph"/>
        <w:numPr>
          <w:ilvl w:val="1"/>
          <w:numId w:val="179"/>
        </w:numPr>
        <w:tabs>
          <w:tab w:pos="1125" w:val="left" w:leader="none"/>
          <w:tab w:pos="1126" w:val="left" w:leader="none"/>
        </w:tabs>
        <w:spacing w:line="240" w:lineRule="auto" w:before="61" w:after="0"/>
        <w:ind w:left="1126" w:right="391" w:hanging="454"/>
        <w:jc w:val="left"/>
        <w:rPr>
          <w:sz w:val="20"/>
        </w:rPr>
      </w:pPr>
      <w:r>
        <w:rPr>
          <w:sz w:val="20"/>
        </w:rPr>
        <w:t>establecimiento de los coeficientes de simultaneidad de cada tramo de acuerdo con un criterio adecuado.</w:t>
      </w:r>
    </w:p>
    <w:p>
      <w:pPr>
        <w:pStyle w:val="ListParagraph"/>
        <w:numPr>
          <w:ilvl w:val="1"/>
          <w:numId w:val="179"/>
        </w:numPr>
        <w:tabs>
          <w:tab w:pos="1125" w:val="left" w:leader="none"/>
          <w:tab w:pos="1126" w:val="left" w:leader="none"/>
        </w:tabs>
        <w:spacing w:line="240" w:lineRule="auto" w:before="60" w:after="0"/>
        <w:ind w:left="1126" w:right="395" w:hanging="454"/>
        <w:jc w:val="left"/>
        <w:rPr>
          <w:sz w:val="20"/>
        </w:rPr>
      </w:pPr>
      <w:r>
        <w:rPr>
          <w:sz w:val="20"/>
        </w:rPr>
        <w:t>determinación del caudal de cálculo en cada tramo como producto del caudal máximo por el coeficiente de simultaneidad</w:t>
      </w:r>
      <w:r>
        <w:rPr>
          <w:spacing w:val="-2"/>
          <w:sz w:val="20"/>
        </w:rPr>
        <w:t> </w:t>
      </w:r>
      <w:r>
        <w:rPr>
          <w:sz w:val="20"/>
        </w:rPr>
        <w:t>correspondiente.</w:t>
      </w:r>
    </w:p>
    <w:p>
      <w:pPr>
        <w:pStyle w:val="ListParagraph"/>
        <w:numPr>
          <w:ilvl w:val="1"/>
          <w:numId w:val="179"/>
        </w:numPr>
        <w:tabs>
          <w:tab w:pos="1125" w:val="left" w:leader="none"/>
          <w:tab w:pos="1126" w:val="left" w:leader="none"/>
        </w:tabs>
        <w:spacing w:line="240" w:lineRule="auto" w:before="59" w:after="0"/>
        <w:ind w:left="1126" w:right="0" w:hanging="454"/>
        <w:jc w:val="left"/>
        <w:rPr>
          <w:sz w:val="20"/>
        </w:rPr>
      </w:pPr>
      <w:r>
        <w:rPr>
          <w:sz w:val="20"/>
        </w:rPr>
        <w:t>elección de una velocidad de cálculo comprendida dentro de los intervalos</w:t>
      </w:r>
      <w:r>
        <w:rPr>
          <w:spacing w:val="-6"/>
          <w:sz w:val="20"/>
        </w:rPr>
        <w:t> </w:t>
      </w:r>
      <w:r>
        <w:rPr>
          <w:sz w:val="20"/>
        </w:rPr>
        <w:t>siguientes:</w:t>
      </w:r>
    </w:p>
    <w:p>
      <w:pPr>
        <w:pStyle w:val="ListParagraph"/>
        <w:numPr>
          <w:ilvl w:val="2"/>
          <w:numId w:val="179"/>
        </w:numPr>
        <w:tabs>
          <w:tab w:pos="1579" w:val="left" w:leader="none"/>
          <w:tab w:pos="1580" w:val="left" w:leader="none"/>
        </w:tabs>
        <w:spacing w:line="240" w:lineRule="auto" w:before="61" w:after="0"/>
        <w:ind w:left="1579" w:right="0" w:hanging="510"/>
        <w:jc w:val="left"/>
        <w:rPr>
          <w:sz w:val="20"/>
        </w:rPr>
      </w:pPr>
      <w:r>
        <w:rPr>
          <w:sz w:val="20"/>
        </w:rPr>
        <w:t>tuberías metálicas: entre 0,50 y 2,00</w:t>
      </w:r>
      <w:r>
        <w:rPr>
          <w:spacing w:val="-3"/>
          <w:sz w:val="20"/>
        </w:rPr>
        <w:t> </w:t>
      </w:r>
      <w:r>
        <w:rPr>
          <w:sz w:val="20"/>
        </w:rPr>
        <w:t>m/s</w:t>
      </w:r>
    </w:p>
    <w:p>
      <w:pPr>
        <w:pStyle w:val="ListParagraph"/>
        <w:numPr>
          <w:ilvl w:val="2"/>
          <w:numId w:val="179"/>
        </w:numPr>
        <w:tabs>
          <w:tab w:pos="1579" w:val="left" w:leader="none"/>
          <w:tab w:pos="1580" w:val="left" w:leader="none"/>
        </w:tabs>
        <w:spacing w:line="240" w:lineRule="auto" w:before="59" w:after="0"/>
        <w:ind w:left="1579" w:right="0" w:hanging="532"/>
        <w:jc w:val="left"/>
        <w:rPr>
          <w:sz w:val="20"/>
        </w:rPr>
      </w:pPr>
      <w:r>
        <w:rPr>
          <w:sz w:val="20"/>
        </w:rPr>
        <w:t>tuberías termoplásticas y multicapas: entre 0,50 y 3,50</w:t>
      </w:r>
      <w:r>
        <w:rPr>
          <w:spacing w:val="-5"/>
          <w:sz w:val="20"/>
        </w:rPr>
        <w:t> </w:t>
      </w:r>
      <w:r>
        <w:rPr>
          <w:sz w:val="20"/>
        </w:rPr>
        <w:t>m/s</w:t>
      </w:r>
    </w:p>
    <w:p>
      <w:pPr>
        <w:pStyle w:val="ListParagraph"/>
        <w:numPr>
          <w:ilvl w:val="1"/>
          <w:numId w:val="179"/>
        </w:numPr>
        <w:tabs>
          <w:tab w:pos="1125" w:val="left" w:leader="none"/>
          <w:tab w:pos="1126" w:val="left" w:leader="none"/>
        </w:tabs>
        <w:spacing w:line="240" w:lineRule="auto" w:before="60" w:after="0"/>
        <w:ind w:left="1126" w:right="0" w:hanging="454"/>
        <w:jc w:val="left"/>
        <w:rPr>
          <w:sz w:val="20"/>
        </w:rPr>
      </w:pPr>
      <w:r>
        <w:rPr>
          <w:sz w:val="20"/>
        </w:rPr>
        <w:t>Obtención del diámetro correspondiente a cada tramo en función del caudal y de la</w:t>
      </w:r>
      <w:r>
        <w:rPr>
          <w:spacing w:val="-11"/>
          <w:sz w:val="20"/>
        </w:rPr>
        <w:t> </w:t>
      </w:r>
      <w:r>
        <w:rPr>
          <w:sz w:val="20"/>
        </w:rPr>
        <w:t>velocidad.</w:t>
      </w:r>
    </w:p>
    <w:p>
      <w:pPr>
        <w:spacing w:after="0" w:line="240" w:lineRule="auto"/>
        <w:jc w:val="left"/>
        <w:rPr>
          <w:sz w:val="20"/>
        </w:rPr>
        <w:sectPr>
          <w:pgSz w:w="11910" w:h="16840"/>
          <w:pgMar w:header="908" w:footer="636" w:top="1320" w:bottom="840" w:left="1200" w:right="740"/>
        </w:sectPr>
      </w:pPr>
    </w:p>
    <w:p>
      <w:pPr>
        <w:pStyle w:val="Heading5"/>
        <w:numPr>
          <w:ilvl w:val="2"/>
          <w:numId w:val="177"/>
        </w:numPr>
        <w:tabs>
          <w:tab w:pos="720" w:val="left" w:leader="none"/>
        </w:tabs>
        <w:spacing w:line="240" w:lineRule="auto" w:before="92" w:after="0"/>
        <w:ind w:left="719" w:right="0" w:hanging="502"/>
        <w:jc w:val="both"/>
      </w:pPr>
      <w:r>
        <w:rPr/>
        <w:t>Comprobación de la</w:t>
      </w:r>
      <w:r>
        <w:rPr>
          <w:spacing w:val="-1"/>
        </w:rPr>
        <w:t> </w:t>
      </w:r>
      <w:r>
        <w:rPr/>
        <w:t>presión</w:t>
      </w:r>
    </w:p>
    <w:p>
      <w:pPr>
        <w:pStyle w:val="BodyText"/>
        <w:spacing w:before="99"/>
        <w:ind w:left="672" w:right="393" w:hanging="454"/>
        <w:jc w:val="both"/>
      </w:pPr>
      <w:r>
        <w:rPr/>
        <w:t>1 Se comprobará que la presión disponible en el punto de consumo más desfavorable supera con los valores mínimos indicados en el apartado 2.1.3 y que en todos los puntos de consumo no se supera el valor máximo indicado en el mismo apartado, de acuerdo con lo siguiente:</w:t>
      </w:r>
    </w:p>
    <w:p>
      <w:pPr>
        <w:pStyle w:val="ListParagraph"/>
        <w:numPr>
          <w:ilvl w:val="0"/>
          <w:numId w:val="180"/>
        </w:numPr>
        <w:tabs>
          <w:tab w:pos="1126" w:val="left" w:leader="none"/>
        </w:tabs>
        <w:spacing w:line="240" w:lineRule="auto" w:before="61" w:after="0"/>
        <w:ind w:left="1126" w:right="395" w:hanging="454"/>
        <w:jc w:val="both"/>
        <w:rPr>
          <w:sz w:val="20"/>
        </w:rPr>
      </w:pPr>
      <w:r>
        <w:rPr>
          <w:sz w:val="20"/>
        </w:rPr>
        <w:t>determinar la pérdida de presión del circuito sumando las pérdidas de presión total de cada tramo. Las perdidas de carga localizadas podrán estimarse en un 20% al 30% de la producida sobre la longitud real del tramo o evaluarse a partir de los elementos de la</w:t>
      </w:r>
      <w:r>
        <w:rPr>
          <w:spacing w:val="-11"/>
          <w:sz w:val="20"/>
        </w:rPr>
        <w:t> </w:t>
      </w:r>
      <w:r>
        <w:rPr>
          <w:sz w:val="20"/>
        </w:rPr>
        <w:t>instalación.</w:t>
      </w:r>
    </w:p>
    <w:p>
      <w:pPr>
        <w:pStyle w:val="ListParagraph"/>
        <w:numPr>
          <w:ilvl w:val="0"/>
          <w:numId w:val="180"/>
        </w:numPr>
        <w:tabs>
          <w:tab w:pos="1126" w:val="left" w:leader="none"/>
        </w:tabs>
        <w:spacing w:line="240" w:lineRule="auto" w:before="60" w:after="0"/>
        <w:ind w:left="1126" w:right="389" w:hanging="454"/>
        <w:jc w:val="both"/>
        <w:rPr>
          <w:sz w:val="20"/>
        </w:rPr>
      </w:pPr>
      <w:r>
        <w:rPr>
          <w:sz w:val="20"/>
        </w:rPr>
        <w:t>comprobar la suficiencia de la presión disponible: una vez obtenidos los valores de las pérdi- das de presión del circuito, se comprueba si son sensiblemente iguales a la presión disponible que queda después de descontar a la presión total, la altura geométrica y la residual del punto de consumo más desfavorable. En el caso de que la presión disponible en el punto de consu- mo fuera inferior a la presión mínima exigida sería necesaria la instalación de un grupo de pre- sión.</w:t>
      </w:r>
    </w:p>
    <w:p>
      <w:pPr>
        <w:pStyle w:val="BodyText"/>
        <w:spacing w:before="4"/>
        <w:rPr>
          <w:sz w:val="24"/>
        </w:rPr>
      </w:pPr>
    </w:p>
    <w:p>
      <w:pPr>
        <w:pStyle w:val="Heading3"/>
        <w:numPr>
          <w:ilvl w:val="1"/>
          <w:numId w:val="177"/>
        </w:numPr>
        <w:tabs>
          <w:tab w:pos="673" w:val="left" w:leader="none"/>
        </w:tabs>
        <w:spacing w:line="240" w:lineRule="auto" w:before="0" w:after="0"/>
        <w:ind w:left="672" w:right="0" w:hanging="455"/>
        <w:jc w:val="both"/>
      </w:pPr>
      <w:r>
        <w:rPr/>
        <w:t>Dimensionado de las derivaciones a cuartos húmedos y ramales de</w:t>
      </w:r>
      <w:r>
        <w:rPr>
          <w:spacing w:val="-5"/>
        </w:rPr>
        <w:t> </w:t>
      </w:r>
      <w:r>
        <w:rPr/>
        <w:t>enlace</w:t>
      </w:r>
    </w:p>
    <w:p>
      <w:pPr>
        <w:pStyle w:val="ListParagraph"/>
        <w:numPr>
          <w:ilvl w:val="0"/>
          <w:numId w:val="181"/>
        </w:numPr>
        <w:tabs>
          <w:tab w:pos="673" w:val="left" w:leader="none"/>
        </w:tabs>
        <w:spacing w:line="240" w:lineRule="auto" w:before="99" w:after="0"/>
        <w:ind w:left="672" w:right="392" w:hanging="454"/>
        <w:jc w:val="both"/>
        <w:rPr>
          <w:sz w:val="20"/>
        </w:rPr>
      </w:pPr>
      <w:r>
        <w:rPr>
          <w:sz w:val="20"/>
        </w:rPr>
        <w:t>Los ramales de enlace a los aparatos domésticos se dimensionarán conforme a lo que se establece en las tabla 4.2. En el resto, se tomarán en cuenta los criterios de suministro dados por las caracte- rísticas de cada aparato y se dimensionará en</w:t>
      </w:r>
      <w:r>
        <w:rPr>
          <w:spacing w:val="-6"/>
          <w:sz w:val="20"/>
        </w:rPr>
        <w:t> </w:t>
      </w:r>
      <w:r>
        <w:rPr>
          <w:sz w:val="20"/>
        </w:rPr>
        <w:t>consecuencia.</w:t>
      </w:r>
    </w:p>
    <w:p>
      <w:pPr>
        <w:pStyle w:val="BodyText"/>
        <w:spacing w:before="5"/>
        <w:rPr>
          <w:sz w:val="30"/>
        </w:rPr>
      </w:pPr>
    </w:p>
    <w:p>
      <w:pPr>
        <w:spacing w:before="0" w:after="3"/>
        <w:ind w:left="1180" w:right="1355" w:firstLine="0"/>
        <w:jc w:val="center"/>
        <w:rPr>
          <w:b/>
          <w:sz w:val="18"/>
        </w:rPr>
      </w:pPr>
      <w:r>
        <w:rPr>
          <w:b/>
          <w:sz w:val="18"/>
        </w:rPr>
        <w:t>Tabla 4.2 Diámetros mínimos de derivaciones a los aparatos</w:t>
      </w:r>
    </w:p>
    <w:tbl>
      <w:tblPr>
        <w:tblW w:w="0" w:type="auto"/>
        <w:jc w:val="left"/>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3"/>
        <w:gridCol w:w="1666"/>
        <w:gridCol w:w="2258"/>
      </w:tblGrid>
      <w:tr>
        <w:trPr>
          <w:trHeight w:val="292" w:hRule="atLeast"/>
        </w:trPr>
        <w:tc>
          <w:tcPr>
            <w:tcW w:w="3603" w:type="dxa"/>
            <w:vMerge w:val="restart"/>
            <w:tcBorders>
              <w:top w:val="single" w:sz="8" w:space="0" w:color="000000"/>
              <w:bottom w:val="single" w:sz="8" w:space="0" w:color="000000"/>
              <w:right w:val="single" w:sz="4" w:space="0" w:color="000000"/>
            </w:tcBorders>
          </w:tcPr>
          <w:p>
            <w:pPr>
              <w:pStyle w:val="TableParagraph"/>
              <w:jc w:val="left"/>
              <w:rPr>
                <w:b/>
                <w:sz w:val="26"/>
              </w:rPr>
            </w:pPr>
          </w:p>
          <w:p>
            <w:pPr>
              <w:pStyle w:val="TableParagraph"/>
              <w:spacing w:before="1"/>
              <w:ind w:left="561"/>
              <w:jc w:val="left"/>
              <w:rPr>
                <w:b/>
                <w:sz w:val="18"/>
              </w:rPr>
            </w:pPr>
            <w:r>
              <w:rPr>
                <w:b/>
                <w:sz w:val="18"/>
              </w:rPr>
              <w:t>Aparato o punto de consumo</w:t>
            </w:r>
          </w:p>
        </w:tc>
        <w:tc>
          <w:tcPr>
            <w:tcW w:w="3924" w:type="dxa"/>
            <w:gridSpan w:val="2"/>
            <w:tcBorders>
              <w:top w:val="single" w:sz="8" w:space="0" w:color="000000"/>
              <w:left w:val="single" w:sz="4" w:space="0" w:color="000000"/>
            </w:tcBorders>
          </w:tcPr>
          <w:p>
            <w:pPr>
              <w:pStyle w:val="TableParagraph"/>
              <w:spacing w:line="205" w:lineRule="exact"/>
              <w:ind w:left="340"/>
              <w:jc w:val="left"/>
              <w:rPr>
                <w:b/>
                <w:sz w:val="18"/>
              </w:rPr>
            </w:pPr>
            <w:r>
              <w:rPr>
                <w:b/>
                <w:i/>
                <w:sz w:val="18"/>
              </w:rPr>
              <w:t>Diámetro nominal </w:t>
            </w:r>
            <w:r>
              <w:rPr>
                <w:b/>
                <w:sz w:val="18"/>
              </w:rPr>
              <w:t>del ramal de enlace</w:t>
            </w:r>
          </w:p>
        </w:tc>
      </w:tr>
      <w:tr>
        <w:trPr>
          <w:trHeight w:val="499" w:hRule="atLeast"/>
        </w:trPr>
        <w:tc>
          <w:tcPr>
            <w:tcW w:w="3603" w:type="dxa"/>
            <w:vMerge/>
            <w:tcBorders>
              <w:top w:val="nil"/>
              <w:bottom w:val="single" w:sz="8" w:space="0" w:color="000000"/>
              <w:right w:val="single" w:sz="4" w:space="0" w:color="000000"/>
            </w:tcBorders>
          </w:tcPr>
          <w:p>
            <w:pPr>
              <w:rPr>
                <w:sz w:val="2"/>
                <w:szCs w:val="2"/>
              </w:rPr>
            </w:pPr>
          </w:p>
        </w:tc>
        <w:tc>
          <w:tcPr>
            <w:tcW w:w="1666" w:type="dxa"/>
            <w:tcBorders>
              <w:left w:val="single" w:sz="4" w:space="0" w:color="000000"/>
              <w:bottom w:val="single" w:sz="8" w:space="0" w:color="000000"/>
            </w:tcBorders>
          </w:tcPr>
          <w:p>
            <w:pPr>
              <w:pStyle w:val="TableParagraph"/>
              <w:spacing w:before="82"/>
              <w:ind w:left="231" w:right="159"/>
              <w:rPr>
                <w:b/>
                <w:sz w:val="18"/>
              </w:rPr>
            </w:pPr>
            <w:r>
              <w:rPr>
                <w:b/>
                <w:sz w:val="18"/>
              </w:rPr>
              <w:t>Tubo de acero</w:t>
            </w:r>
          </w:p>
        </w:tc>
        <w:tc>
          <w:tcPr>
            <w:tcW w:w="2258" w:type="dxa"/>
            <w:tcBorders>
              <w:bottom w:val="single" w:sz="8" w:space="0" w:color="000000"/>
            </w:tcBorders>
          </w:tcPr>
          <w:p>
            <w:pPr>
              <w:pStyle w:val="TableParagraph"/>
              <w:spacing w:line="206" w:lineRule="exact" w:before="86"/>
              <w:ind w:left="818" w:right="79" w:hanging="640"/>
              <w:jc w:val="left"/>
              <w:rPr>
                <w:b/>
                <w:sz w:val="18"/>
              </w:rPr>
            </w:pPr>
            <w:r>
              <w:rPr>
                <w:b/>
                <w:sz w:val="18"/>
              </w:rPr>
              <w:t>Tubo de cobre o plásti- co (mm)</w:t>
            </w:r>
          </w:p>
        </w:tc>
      </w:tr>
      <w:tr>
        <w:trPr>
          <w:trHeight w:val="207" w:hRule="atLeast"/>
        </w:trPr>
        <w:tc>
          <w:tcPr>
            <w:tcW w:w="3603" w:type="dxa"/>
            <w:tcBorders>
              <w:top w:val="single" w:sz="8" w:space="0" w:color="000000"/>
              <w:right w:val="single" w:sz="4" w:space="0" w:color="000000"/>
            </w:tcBorders>
          </w:tcPr>
          <w:p>
            <w:pPr>
              <w:pStyle w:val="TableParagraph"/>
              <w:spacing w:line="188" w:lineRule="exact"/>
              <w:ind w:left="84"/>
              <w:jc w:val="left"/>
              <w:rPr>
                <w:sz w:val="18"/>
              </w:rPr>
            </w:pPr>
            <w:r>
              <w:rPr>
                <w:sz w:val="18"/>
              </w:rPr>
              <w:t>Lavamanos</w:t>
            </w:r>
          </w:p>
        </w:tc>
        <w:tc>
          <w:tcPr>
            <w:tcW w:w="1666" w:type="dxa"/>
            <w:tcBorders>
              <w:top w:val="single" w:sz="8" w:space="0" w:color="000000"/>
              <w:left w:val="single" w:sz="4" w:space="0" w:color="000000"/>
            </w:tcBorders>
          </w:tcPr>
          <w:p>
            <w:pPr>
              <w:pStyle w:val="TableParagraph"/>
              <w:spacing w:line="188" w:lineRule="exact"/>
              <w:ind w:left="81"/>
              <w:rPr>
                <w:sz w:val="18"/>
              </w:rPr>
            </w:pPr>
            <w:r>
              <w:rPr>
                <w:w w:val="100"/>
                <w:sz w:val="18"/>
              </w:rPr>
              <w:t>½</w:t>
            </w:r>
          </w:p>
        </w:tc>
        <w:tc>
          <w:tcPr>
            <w:tcW w:w="2258" w:type="dxa"/>
            <w:tcBorders>
              <w:top w:val="single" w:sz="8" w:space="0" w:color="000000"/>
            </w:tcBorders>
          </w:tcPr>
          <w:p>
            <w:pPr>
              <w:pStyle w:val="TableParagraph"/>
              <w:spacing w:line="188" w:lineRule="exact"/>
              <w:ind w:left="919" w:right="835"/>
              <w:rPr>
                <w:sz w:val="18"/>
              </w:rPr>
            </w:pPr>
            <w:r>
              <w:rPr>
                <w:sz w:val="18"/>
              </w:rPr>
              <w:t>12</w:t>
            </w:r>
          </w:p>
        </w:tc>
      </w:tr>
      <w:tr>
        <w:trPr>
          <w:trHeight w:val="206" w:hRule="atLeast"/>
        </w:trPr>
        <w:tc>
          <w:tcPr>
            <w:tcW w:w="3603" w:type="dxa"/>
            <w:tcBorders>
              <w:right w:val="single" w:sz="4" w:space="0" w:color="000000"/>
            </w:tcBorders>
          </w:tcPr>
          <w:p>
            <w:pPr>
              <w:pStyle w:val="TableParagraph"/>
              <w:spacing w:line="187" w:lineRule="exact"/>
              <w:ind w:left="84"/>
              <w:jc w:val="left"/>
              <w:rPr>
                <w:sz w:val="18"/>
              </w:rPr>
            </w:pPr>
            <w:r>
              <w:rPr>
                <w:sz w:val="18"/>
              </w:rPr>
              <w:t>Lavabo, bidé</w:t>
            </w:r>
          </w:p>
        </w:tc>
        <w:tc>
          <w:tcPr>
            <w:tcW w:w="1666" w:type="dxa"/>
            <w:tcBorders>
              <w:left w:val="single" w:sz="4" w:space="0" w:color="000000"/>
            </w:tcBorders>
          </w:tcPr>
          <w:p>
            <w:pPr>
              <w:pStyle w:val="TableParagraph"/>
              <w:spacing w:line="187" w:lineRule="exact"/>
              <w:ind w:left="81"/>
              <w:rPr>
                <w:sz w:val="18"/>
              </w:rPr>
            </w:pPr>
            <w:r>
              <w:rPr>
                <w:w w:val="100"/>
                <w:sz w:val="18"/>
              </w:rPr>
              <w:t>½</w:t>
            </w:r>
          </w:p>
        </w:tc>
        <w:tc>
          <w:tcPr>
            <w:tcW w:w="2258" w:type="dxa"/>
          </w:tcPr>
          <w:p>
            <w:pPr>
              <w:pStyle w:val="TableParagraph"/>
              <w:spacing w:line="187" w:lineRule="exact"/>
              <w:ind w:left="919" w:right="835"/>
              <w:rPr>
                <w:sz w:val="18"/>
              </w:rPr>
            </w:pPr>
            <w:r>
              <w:rPr>
                <w:sz w:val="18"/>
              </w:rPr>
              <w:t>12</w:t>
            </w:r>
          </w:p>
        </w:tc>
      </w:tr>
      <w:tr>
        <w:trPr>
          <w:trHeight w:val="207" w:hRule="atLeast"/>
        </w:trPr>
        <w:tc>
          <w:tcPr>
            <w:tcW w:w="3603" w:type="dxa"/>
            <w:tcBorders>
              <w:right w:val="single" w:sz="4" w:space="0" w:color="000000"/>
            </w:tcBorders>
          </w:tcPr>
          <w:p>
            <w:pPr>
              <w:pStyle w:val="TableParagraph"/>
              <w:spacing w:line="187" w:lineRule="exact"/>
              <w:ind w:left="84"/>
              <w:jc w:val="left"/>
              <w:rPr>
                <w:sz w:val="18"/>
              </w:rPr>
            </w:pPr>
            <w:r>
              <w:rPr>
                <w:sz w:val="18"/>
              </w:rPr>
              <w:t>Ducha</w:t>
            </w:r>
          </w:p>
        </w:tc>
        <w:tc>
          <w:tcPr>
            <w:tcW w:w="1666" w:type="dxa"/>
            <w:tcBorders>
              <w:left w:val="single" w:sz="4" w:space="0" w:color="000000"/>
            </w:tcBorders>
          </w:tcPr>
          <w:p>
            <w:pPr>
              <w:pStyle w:val="TableParagraph"/>
              <w:spacing w:line="187" w:lineRule="exact"/>
              <w:ind w:left="81"/>
              <w:rPr>
                <w:sz w:val="18"/>
              </w:rPr>
            </w:pPr>
            <w:r>
              <w:rPr>
                <w:w w:val="100"/>
                <w:sz w:val="18"/>
              </w:rPr>
              <w:t>½</w:t>
            </w:r>
          </w:p>
        </w:tc>
        <w:tc>
          <w:tcPr>
            <w:tcW w:w="2258" w:type="dxa"/>
          </w:tcPr>
          <w:p>
            <w:pPr>
              <w:pStyle w:val="TableParagraph"/>
              <w:spacing w:line="187" w:lineRule="exact"/>
              <w:ind w:left="919" w:right="835"/>
              <w:rPr>
                <w:sz w:val="18"/>
              </w:rPr>
            </w:pPr>
            <w:r>
              <w:rPr>
                <w:sz w:val="18"/>
              </w:rPr>
              <w:t>12</w:t>
            </w:r>
          </w:p>
        </w:tc>
      </w:tr>
      <w:tr>
        <w:trPr>
          <w:trHeight w:val="207" w:hRule="atLeast"/>
        </w:trPr>
        <w:tc>
          <w:tcPr>
            <w:tcW w:w="3603" w:type="dxa"/>
            <w:tcBorders>
              <w:right w:val="single" w:sz="4" w:space="0" w:color="000000"/>
            </w:tcBorders>
          </w:tcPr>
          <w:p>
            <w:pPr>
              <w:pStyle w:val="TableParagraph"/>
              <w:spacing w:line="187" w:lineRule="exact"/>
              <w:ind w:left="84"/>
              <w:jc w:val="left"/>
              <w:rPr>
                <w:sz w:val="18"/>
              </w:rPr>
            </w:pPr>
            <w:r>
              <w:rPr>
                <w:sz w:val="18"/>
              </w:rPr>
              <w:t>Bañera &lt;1,40 m</w:t>
            </w:r>
          </w:p>
        </w:tc>
        <w:tc>
          <w:tcPr>
            <w:tcW w:w="1666" w:type="dxa"/>
            <w:tcBorders>
              <w:left w:val="single" w:sz="4" w:space="0" w:color="000000"/>
            </w:tcBorders>
          </w:tcPr>
          <w:p>
            <w:pPr>
              <w:pStyle w:val="TableParagraph"/>
              <w:spacing w:line="187" w:lineRule="exact"/>
              <w:ind w:left="81"/>
              <w:rPr>
                <w:sz w:val="18"/>
              </w:rPr>
            </w:pPr>
            <w:r>
              <w:rPr>
                <w:w w:val="100"/>
                <w:sz w:val="18"/>
              </w:rPr>
              <w:t>¾</w:t>
            </w:r>
          </w:p>
        </w:tc>
        <w:tc>
          <w:tcPr>
            <w:tcW w:w="2258" w:type="dxa"/>
          </w:tcPr>
          <w:p>
            <w:pPr>
              <w:pStyle w:val="TableParagraph"/>
              <w:spacing w:line="187" w:lineRule="exact"/>
              <w:ind w:left="919" w:right="835"/>
              <w:rPr>
                <w:sz w:val="18"/>
              </w:rPr>
            </w:pPr>
            <w:r>
              <w:rPr>
                <w:sz w:val="18"/>
              </w:rPr>
              <w:t>20</w:t>
            </w:r>
          </w:p>
        </w:tc>
      </w:tr>
      <w:tr>
        <w:trPr>
          <w:trHeight w:val="207" w:hRule="atLeast"/>
        </w:trPr>
        <w:tc>
          <w:tcPr>
            <w:tcW w:w="3603" w:type="dxa"/>
            <w:tcBorders>
              <w:right w:val="single" w:sz="4" w:space="0" w:color="000000"/>
            </w:tcBorders>
          </w:tcPr>
          <w:p>
            <w:pPr>
              <w:pStyle w:val="TableParagraph"/>
              <w:spacing w:line="187" w:lineRule="exact"/>
              <w:ind w:left="84"/>
              <w:jc w:val="left"/>
              <w:rPr>
                <w:sz w:val="18"/>
              </w:rPr>
            </w:pPr>
            <w:r>
              <w:rPr>
                <w:sz w:val="18"/>
              </w:rPr>
              <w:t>Bañera &gt;1,40 m</w:t>
            </w:r>
          </w:p>
        </w:tc>
        <w:tc>
          <w:tcPr>
            <w:tcW w:w="1666" w:type="dxa"/>
            <w:tcBorders>
              <w:left w:val="single" w:sz="4" w:space="0" w:color="000000"/>
            </w:tcBorders>
          </w:tcPr>
          <w:p>
            <w:pPr>
              <w:pStyle w:val="TableParagraph"/>
              <w:spacing w:line="187" w:lineRule="exact"/>
              <w:ind w:left="81"/>
              <w:rPr>
                <w:sz w:val="18"/>
              </w:rPr>
            </w:pPr>
            <w:r>
              <w:rPr>
                <w:w w:val="100"/>
                <w:sz w:val="18"/>
              </w:rPr>
              <w:t>¾</w:t>
            </w:r>
          </w:p>
        </w:tc>
        <w:tc>
          <w:tcPr>
            <w:tcW w:w="2258" w:type="dxa"/>
          </w:tcPr>
          <w:p>
            <w:pPr>
              <w:pStyle w:val="TableParagraph"/>
              <w:spacing w:line="187" w:lineRule="exact"/>
              <w:ind w:left="919" w:right="835"/>
              <w:rPr>
                <w:sz w:val="18"/>
              </w:rPr>
            </w:pPr>
            <w:r>
              <w:rPr>
                <w:sz w:val="18"/>
              </w:rPr>
              <w:t>20</w:t>
            </w:r>
          </w:p>
        </w:tc>
      </w:tr>
      <w:tr>
        <w:trPr>
          <w:trHeight w:val="207" w:hRule="atLeast"/>
        </w:trPr>
        <w:tc>
          <w:tcPr>
            <w:tcW w:w="3603" w:type="dxa"/>
            <w:tcBorders>
              <w:right w:val="single" w:sz="4" w:space="0" w:color="000000"/>
            </w:tcBorders>
          </w:tcPr>
          <w:p>
            <w:pPr>
              <w:pStyle w:val="TableParagraph"/>
              <w:spacing w:line="187" w:lineRule="exact"/>
              <w:ind w:left="84"/>
              <w:jc w:val="left"/>
              <w:rPr>
                <w:sz w:val="18"/>
              </w:rPr>
            </w:pPr>
            <w:r>
              <w:rPr>
                <w:sz w:val="18"/>
              </w:rPr>
              <w:t>Inodoro con cisterna</w:t>
            </w:r>
          </w:p>
        </w:tc>
        <w:tc>
          <w:tcPr>
            <w:tcW w:w="1666" w:type="dxa"/>
            <w:tcBorders>
              <w:left w:val="single" w:sz="4" w:space="0" w:color="000000"/>
            </w:tcBorders>
          </w:tcPr>
          <w:p>
            <w:pPr>
              <w:pStyle w:val="TableParagraph"/>
              <w:spacing w:line="187" w:lineRule="exact"/>
              <w:ind w:left="81"/>
              <w:rPr>
                <w:sz w:val="18"/>
              </w:rPr>
            </w:pPr>
            <w:r>
              <w:rPr>
                <w:w w:val="100"/>
                <w:sz w:val="18"/>
              </w:rPr>
              <w:t>½</w:t>
            </w:r>
          </w:p>
        </w:tc>
        <w:tc>
          <w:tcPr>
            <w:tcW w:w="2258" w:type="dxa"/>
          </w:tcPr>
          <w:p>
            <w:pPr>
              <w:pStyle w:val="TableParagraph"/>
              <w:spacing w:line="187" w:lineRule="exact"/>
              <w:ind w:left="919" w:right="835"/>
              <w:rPr>
                <w:sz w:val="18"/>
              </w:rPr>
            </w:pPr>
            <w:r>
              <w:rPr>
                <w:sz w:val="18"/>
              </w:rPr>
              <w:t>12</w:t>
            </w:r>
          </w:p>
        </w:tc>
      </w:tr>
      <w:tr>
        <w:trPr>
          <w:trHeight w:val="206" w:hRule="atLeast"/>
        </w:trPr>
        <w:tc>
          <w:tcPr>
            <w:tcW w:w="3603" w:type="dxa"/>
            <w:tcBorders>
              <w:right w:val="single" w:sz="4" w:space="0" w:color="000000"/>
            </w:tcBorders>
          </w:tcPr>
          <w:p>
            <w:pPr>
              <w:pStyle w:val="TableParagraph"/>
              <w:spacing w:line="187" w:lineRule="exact"/>
              <w:ind w:left="84"/>
              <w:jc w:val="left"/>
              <w:rPr>
                <w:sz w:val="18"/>
              </w:rPr>
            </w:pPr>
            <w:r>
              <w:rPr>
                <w:sz w:val="18"/>
              </w:rPr>
              <w:t>Inodoro con fluxor</w:t>
            </w:r>
          </w:p>
        </w:tc>
        <w:tc>
          <w:tcPr>
            <w:tcW w:w="1666" w:type="dxa"/>
            <w:tcBorders>
              <w:left w:val="single" w:sz="4" w:space="0" w:color="000000"/>
            </w:tcBorders>
          </w:tcPr>
          <w:p>
            <w:pPr>
              <w:pStyle w:val="TableParagraph"/>
              <w:spacing w:line="187" w:lineRule="exact"/>
              <w:ind w:left="231" w:right="149"/>
              <w:rPr>
                <w:sz w:val="18"/>
              </w:rPr>
            </w:pPr>
            <w:r>
              <w:rPr>
                <w:sz w:val="18"/>
              </w:rPr>
              <w:t>1- 1 ½</w:t>
            </w:r>
          </w:p>
        </w:tc>
        <w:tc>
          <w:tcPr>
            <w:tcW w:w="2258" w:type="dxa"/>
          </w:tcPr>
          <w:p>
            <w:pPr>
              <w:pStyle w:val="TableParagraph"/>
              <w:spacing w:line="187" w:lineRule="exact"/>
              <w:ind w:left="921" w:right="835"/>
              <w:rPr>
                <w:sz w:val="18"/>
              </w:rPr>
            </w:pPr>
            <w:r>
              <w:rPr>
                <w:sz w:val="18"/>
              </w:rPr>
              <w:t>25-40</w:t>
            </w:r>
          </w:p>
        </w:tc>
      </w:tr>
      <w:tr>
        <w:trPr>
          <w:trHeight w:val="206" w:hRule="atLeast"/>
        </w:trPr>
        <w:tc>
          <w:tcPr>
            <w:tcW w:w="3603" w:type="dxa"/>
            <w:tcBorders>
              <w:right w:val="single" w:sz="4" w:space="0" w:color="000000"/>
            </w:tcBorders>
          </w:tcPr>
          <w:p>
            <w:pPr>
              <w:pStyle w:val="TableParagraph"/>
              <w:spacing w:line="187" w:lineRule="exact"/>
              <w:ind w:left="84"/>
              <w:jc w:val="left"/>
              <w:rPr>
                <w:sz w:val="18"/>
              </w:rPr>
            </w:pPr>
            <w:r>
              <w:rPr>
                <w:sz w:val="18"/>
              </w:rPr>
              <w:t>Urinario con grifo temporizado</w:t>
            </w:r>
          </w:p>
        </w:tc>
        <w:tc>
          <w:tcPr>
            <w:tcW w:w="1666" w:type="dxa"/>
            <w:tcBorders>
              <w:left w:val="single" w:sz="4" w:space="0" w:color="000000"/>
            </w:tcBorders>
          </w:tcPr>
          <w:p>
            <w:pPr>
              <w:pStyle w:val="TableParagraph"/>
              <w:spacing w:line="187" w:lineRule="exact"/>
              <w:ind w:left="81"/>
              <w:rPr>
                <w:sz w:val="18"/>
              </w:rPr>
            </w:pPr>
            <w:r>
              <w:rPr>
                <w:w w:val="100"/>
                <w:sz w:val="18"/>
              </w:rPr>
              <w:t>½</w:t>
            </w:r>
          </w:p>
        </w:tc>
        <w:tc>
          <w:tcPr>
            <w:tcW w:w="2258" w:type="dxa"/>
          </w:tcPr>
          <w:p>
            <w:pPr>
              <w:pStyle w:val="TableParagraph"/>
              <w:spacing w:line="187" w:lineRule="exact"/>
              <w:ind w:left="919" w:right="835"/>
              <w:rPr>
                <w:sz w:val="18"/>
              </w:rPr>
            </w:pPr>
            <w:r>
              <w:rPr>
                <w:sz w:val="18"/>
              </w:rPr>
              <w:t>12</w:t>
            </w:r>
          </w:p>
        </w:tc>
      </w:tr>
      <w:tr>
        <w:trPr>
          <w:trHeight w:val="207" w:hRule="atLeast"/>
        </w:trPr>
        <w:tc>
          <w:tcPr>
            <w:tcW w:w="3603" w:type="dxa"/>
            <w:tcBorders>
              <w:right w:val="single" w:sz="4" w:space="0" w:color="000000"/>
            </w:tcBorders>
          </w:tcPr>
          <w:p>
            <w:pPr>
              <w:pStyle w:val="TableParagraph"/>
              <w:spacing w:line="187" w:lineRule="exact"/>
              <w:ind w:left="84"/>
              <w:jc w:val="left"/>
              <w:rPr>
                <w:sz w:val="18"/>
              </w:rPr>
            </w:pPr>
            <w:r>
              <w:rPr>
                <w:sz w:val="18"/>
              </w:rPr>
              <w:t>Urinario con cisterna</w:t>
            </w:r>
          </w:p>
        </w:tc>
        <w:tc>
          <w:tcPr>
            <w:tcW w:w="1666" w:type="dxa"/>
            <w:tcBorders>
              <w:left w:val="single" w:sz="4" w:space="0" w:color="000000"/>
            </w:tcBorders>
          </w:tcPr>
          <w:p>
            <w:pPr>
              <w:pStyle w:val="TableParagraph"/>
              <w:spacing w:line="187" w:lineRule="exact"/>
              <w:ind w:left="81"/>
              <w:rPr>
                <w:sz w:val="18"/>
              </w:rPr>
            </w:pPr>
            <w:r>
              <w:rPr>
                <w:w w:val="100"/>
                <w:sz w:val="18"/>
              </w:rPr>
              <w:t>½</w:t>
            </w:r>
          </w:p>
        </w:tc>
        <w:tc>
          <w:tcPr>
            <w:tcW w:w="2258" w:type="dxa"/>
          </w:tcPr>
          <w:p>
            <w:pPr>
              <w:pStyle w:val="TableParagraph"/>
              <w:spacing w:line="187" w:lineRule="exact"/>
              <w:ind w:left="919" w:right="835"/>
              <w:rPr>
                <w:sz w:val="18"/>
              </w:rPr>
            </w:pPr>
            <w:r>
              <w:rPr>
                <w:sz w:val="18"/>
              </w:rPr>
              <w:t>12</w:t>
            </w:r>
          </w:p>
        </w:tc>
      </w:tr>
      <w:tr>
        <w:trPr>
          <w:trHeight w:val="207" w:hRule="atLeast"/>
        </w:trPr>
        <w:tc>
          <w:tcPr>
            <w:tcW w:w="3603" w:type="dxa"/>
            <w:tcBorders>
              <w:right w:val="single" w:sz="4" w:space="0" w:color="000000"/>
            </w:tcBorders>
          </w:tcPr>
          <w:p>
            <w:pPr>
              <w:pStyle w:val="TableParagraph"/>
              <w:spacing w:line="187" w:lineRule="exact"/>
              <w:ind w:left="84"/>
              <w:jc w:val="left"/>
              <w:rPr>
                <w:sz w:val="18"/>
              </w:rPr>
            </w:pPr>
            <w:r>
              <w:rPr>
                <w:sz w:val="18"/>
              </w:rPr>
              <w:t>Fregadero doméstico</w:t>
            </w:r>
          </w:p>
        </w:tc>
        <w:tc>
          <w:tcPr>
            <w:tcW w:w="1666" w:type="dxa"/>
            <w:tcBorders>
              <w:left w:val="single" w:sz="4" w:space="0" w:color="000000"/>
            </w:tcBorders>
          </w:tcPr>
          <w:p>
            <w:pPr>
              <w:pStyle w:val="TableParagraph"/>
              <w:spacing w:line="187" w:lineRule="exact"/>
              <w:ind w:left="81"/>
              <w:rPr>
                <w:sz w:val="18"/>
              </w:rPr>
            </w:pPr>
            <w:r>
              <w:rPr>
                <w:w w:val="100"/>
                <w:sz w:val="18"/>
              </w:rPr>
              <w:t>½</w:t>
            </w:r>
          </w:p>
        </w:tc>
        <w:tc>
          <w:tcPr>
            <w:tcW w:w="2258" w:type="dxa"/>
          </w:tcPr>
          <w:p>
            <w:pPr>
              <w:pStyle w:val="TableParagraph"/>
              <w:spacing w:line="187" w:lineRule="exact"/>
              <w:ind w:left="919" w:right="835"/>
              <w:rPr>
                <w:sz w:val="18"/>
              </w:rPr>
            </w:pPr>
            <w:r>
              <w:rPr>
                <w:sz w:val="18"/>
              </w:rPr>
              <w:t>12</w:t>
            </w:r>
          </w:p>
        </w:tc>
      </w:tr>
      <w:tr>
        <w:trPr>
          <w:trHeight w:val="206" w:hRule="atLeast"/>
        </w:trPr>
        <w:tc>
          <w:tcPr>
            <w:tcW w:w="3603" w:type="dxa"/>
            <w:tcBorders>
              <w:right w:val="single" w:sz="4" w:space="0" w:color="000000"/>
            </w:tcBorders>
          </w:tcPr>
          <w:p>
            <w:pPr>
              <w:pStyle w:val="TableParagraph"/>
              <w:spacing w:line="187" w:lineRule="exact"/>
              <w:ind w:left="84"/>
              <w:jc w:val="left"/>
              <w:rPr>
                <w:sz w:val="18"/>
              </w:rPr>
            </w:pPr>
            <w:r>
              <w:rPr>
                <w:sz w:val="18"/>
              </w:rPr>
              <w:t>Fregadero industrial</w:t>
            </w:r>
          </w:p>
        </w:tc>
        <w:tc>
          <w:tcPr>
            <w:tcW w:w="1666" w:type="dxa"/>
            <w:tcBorders>
              <w:left w:val="single" w:sz="4" w:space="0" w:color="000000"/>
            </w:tcBorders>
          </w:tcPr>
          <w:p>
            <w:pPr>
              <w:pStyle w:val="TableParagraph"/>
              <w:spacing w:line="187" w:lineRule="exact"/>
              <w:ind w:left="81"/>
              <w:rPr>
                <w:sz w:val="18"/>
              </w:rPr>
            </w:pPr>
            <w:r>
              <w:rPr>
                <w:w w:val="100"/>
                <w:sz w:val="18"/>
              </w:rPr>
              <w:t>¾</w:t>
            </w:r>
          </w:p>
        </w:tc>
        <w:tc>
          <w:tcPr>
            <w:tcW w:w="2258" w:type="dxa"/>
          </w:tcPr>
          <w:p>
            <w:pPr>
              <w:pStyle w:val="TableParagraph"/>
              <w:spacing w:line="187" w:lineRule="exact"/>
              <w:ind w:left="919" w:right="835"/>
              <w:rPr>
                <w:sz w:val="18"/>
              </w:rPr>
            </w:pPr>
            <w:r>
              <w:rPr>
                <w:sz w:val="18"/>
              </w:rPr>
              <w:t>20</w:t>
            </w:r>
          </w:p>
        </w:tc>
      </w:tr>
      <w:tr>
        <w:trPr>
          <w:trHeight w:val="207" w:hRule="atLeast"/>
        </w:trPr>
        <w:tc>
          <w:tcPr>
            <w:tcW w:w="3603" w:type="dxa"/>
            <w:tcBorders>
              <w:right w:val="single" w:sz="4" w:space="0" w:color="000000"/>
            </w:tcBorders>
          </w:tcPr>
          <w:p>
            <w:pPr>
              <w:pStyle w:val="TableParagraph"/>
              <w:spacing w:line="187" w:lineRule="exact"/>
              <w:ind w:left="84"/>
              <w:jc w:val="left"/>
              <w:rPr>
                <w:sz w:val="18"/>
              </w:rPr>
            </w:pPr>
            <w:r>
              <w:rPr>
                <w:sz w:val="18"/>
              </w:rPr>
              <w:t>Lavavajillas doméstico</w:t>
            </w:r>
          </w:p>
        </w:tc>
        <w:tc>
          <w:tcPr>
            <w:tcW w:w="1666" w:type="dxa"/>
            <w:tcBorders>
              <w:left w:val="single" w:sz="4" w:space="0" w:color="000000"/>
            </w:tcBorders>
          </w:tcPr>
          <w:p>
            <w:pPr>
              <w:pStyle w:val="TableParagraph"/>
              <w:spacing w:line="187" w:lineRule="exact"/>
              <w:ind w:left="231" w:right="150"/>
              <w:rPr>
                <w:sz w:val="18"/>
              </w:rPr>
            </w:pPr>
            <w:r>
              <w:rPr>
                <w:sz w:val="18"/>
              </w:rPr>
              <w:t>½ (rosca a ¾)</w:t>
            </w:r>
          </w:p>
        </w:tc>
        <w:tc>
          <w:tcPr>
            <w:tcW w:w="2258" w:type="dxa"/>
          </w:tcPr>
          <w:p>
            <w:pPr>
              <w:pStyle w:val="TableParagraph"/>
              <w:spacing w:line="187" w:lineRule="exact"/>
              <w:ind w:left="919" w:right="835"/>
              <w:rPr>
                <w:sz w:val="18"/>
              </w:rPr>
            </w:pPr>
            <w:r>
              <w:rPr>
                <w:sz w:val="18"/>
              </w:rPr>
              <w:t>12</w:t>
            </w:r>
          </w:p>
        </w:tc>
      </w:tr>
      <w:tr>
        <w:trPr>
          <w:trHeight w:val="207" w:hRule="atLeast"/>
        </w:trPr>
        <w:tc>
          <w:tcPr>
            <w:tcW w:w="3603" w:type="dxa"/>
            <w:tcBorders>
              <w:right w:val="single" w:sz="4" w:space="0" w:color="000000"/>
            </w:tcBorders>
          </w:tcPr>
          <w:p>
            <w:pPr>
              <w:pStyle w:val="TableParagraph"/>
              <w:spacing w:line="187" w:lineRule="exact"/>
              <w:ind w:left="84"/>
              <w:jc w:val="left"/>
              <w:rPr>
                <w:sz w:val="18"/>
              </w:rPr>
            </w:pPr>
            <w:r>
              <w:rPr>
                <w:sz w:val="18"/>
              </w:rPr>
              <w:t>Lavavajillas industrial</w:t>
            </w:r>
          </w:p>
        </w:tc>
        <w:tc>
          <w:tcPr>
            <w:tcW w:w="1666" w:type="dxa"/>
            <w:tcBorders>
              <w:left w:val="single" w:sz="4" w:space="0" w:color="000000"/>
            </w:tcBorders>
          </w:tcPr>
          <w:p>
            <w:pPr>
              <w:pStyle w:val="TableParagraph"/>
              <w:spacing w:line="187" w:lineRule="exact"/>
              <w:ind w:left="81"/>
              <w:rPr>
                <w:sz w:val="18"/>
              </w:rPr>
            </w:pPr>
            <w:r>
              <w:rPr>
                <w:w w:val="100"/>
                <w:sz w:val="18"/>
              </w:rPr>
              <w:t>¾</w:t>
            </w:r>
          </w:p>
        </w:tc>
        <w:tc>
          <w:tcPr>
            <w:tcW w:w="2258" w:type="dxa"/>
          </w:tcPr>
          <w:p>
            <w:pPr>
              <w:pStyle w:val="TableParagraph"/>
              <w:spacing w:line="187" w:lineRule="exact"/>
              <w:ind w:left="919" w:right="835"/>
              <w:rPr>
                <w:sz w:val="18"/>
              </w:rPr>
            </w:pPr>
            <w:r>
              <w:rPr>
                <w:sz w:val="18"/>
              </w:rPr>
              <w:t>20</w:t>
            </w:r>
          </w:p>
        </w:tc>
      </w:tr>
      <w:tr>
        <w:trPr>
          <w:trHeight w:val="206" w:hRule="atLeast"/>
        </w:trPr>
        <w:tc>
          <w:tcPr>
            <w:tcW w:w="3603" w:type="dxa"/>
            <w:tcBorders>
              <w:right w:val="single" w:sz="4" w:space="0" w:color="000000"/>
            </w:tcBorders>
          </w:tcPr>
          <w:p>
            <w:pPr>
              <w:pStyle w:val="TableParagraph"/>
              <w:spacing w:line="187" w:lineRule="exact"/>
              <w:ind w:left="84"/>
              <w:jc w:val="left"/>
              <w:rPr>
                <w:sz w:val="18"/>
              </w:rPr>
            </w:pPr>
            <w:r>
              <w:rPr>
                <w:sz w:val="18"/>
              </w:rPr>
              <w:t>Lavadora doméstica</w:t>
            </w:r>
          </w:p>
        </w:tc>
        <w:tc>
          <w:tcPr>
            <w:tcW w:w="1666" w:type="dxa"/>
            <w:tcBorders>
              <w:left w:val="single" w:sz="4" w:space="0" w:color="000000"/>
            </w:tcBorders>
          </w:tcPr>
          <w:p>
            <w:pPr>
              <w:pStyle w:val="TableParagraph"/>
              <w:spacing w:line="187" w:lineRule="exact"/>
              <w:ind w:left="81"/>
              <w:rPr>
                <w:sz w:val="18"/>
              </w:rPr>
            </w:pPr>
            <w:r>
              <w:rPr>
                <w:w w:val="100"/>
                <w:sz w:val="18"/>
              </w:rPr>
              <w:t>¾</w:t>
            </w:r>
          </w:p>
        </w:tc>
        <w:tc>
          <w:tcPr>
            <w:tcW w:w="2258" w:type="dxa"/>
          </w:tcPr>
          <w:p>
            <w:pPr>
              <w:pStyle w:val="TableParagraph"/>
              <w:spacing w:line="187" w:lineRule="exact"/>
              <w:ind w:left="919" w:right="835"/>
              <w:rPr>
                <w:sz w:val="18"/>
              </w:rPr>
            </w:pPr>
            <w:r>
              <w:rPr>
                <w:sz w:val="18"/>
              </w:rPr>
              <w:t>20</w:t>
            </w:r>
          </w:p>
        </w:tc>
      </w:tr>
      <w:tr>
        <w:trPr>
          <w:trHeight w:val="207" w:hRule="atLeast"/>
        </w:trPr>
        <w:tc>
          <w:tcPr>
            <w:tcW w:w="3603" w:type="dxa"/>
            <w:tcBorders>
              <w:right w:val="single" w:sz="4" w:space="0" w:color="000000"/>
            </w:tcBorders>
          </w:tcPr>
          <w:p>
            <w:pPr>
              <w:pStyle w:val="TableParagraph"/>
              <w:spacing w:line="187" w:lineRule="exact"/>
              <w:ind w:left="84"/>
              <w:jc w:val="left"/>
              <w:rPr>
                <w:sz w:val="18"/>
              </w:rPr>
            </w:pPr>
            <w:r>
              <w:rPr>
                <w:sz w:val="18"/>
              </w:rPr>
              <w:t>Lavadora industrial</w:t>
            </w:r>
          </w:p>
        </w:tc>
        <w:tc>
          <w:tcPr>
            <w:tcW w:w="1666" w:type="dxa"/>
            <w:tcBorders>
              <w:left w:val="single" w:sz="4" w:space="0" w:color="000000"/>
            </w:tcBorders>
          </w:tcPr>
          <w:p>
            <w:pPr>
              <w:pStyle w:val="TableParagraph"/>
              <w:spacing w:line="187" w:lineRule="exact"/>
              <w:ind w:left="82"/>
              <w:rPr>
                <w:sz w:val="18"/>
              </w:rPr>
            </w:pPr>
            <w:r>
              <w:rPr>
                <w:w w:val="99"/>
                <w:sz w:val="18"/>
              </w:rPr>
              <w:t>1</w:t>
            </w:r>
          </w:p>
        </w:tc>
        <w:tc>
          <w:tcPr>
            <w:tcW w:w="2258" w:type="dxa"/>
          </w:tcPr>
          <w:p>
            <w:pPr>
              <w:pStyle w:val="TableParagraph"/>
              <w:spacing w:line="187" w:lineRule="exact"/>
              <w:ind w:left="919" w:right="835"/>
              <w:rPr>
                <w:sz w:val="18"/>
              </w:rPr>
            </w:pPr>
            <w:r>
              <w:rPr>
                <w:sz w:val="18"/>
              </w:rPr>
              <w:t>25</w:t>
            </w:r>
          </w:p>
        </w:tc>
      </w:tr>
      <w:tr>
        <w:trPr>
          <w:trHeight w:val="205" w:hRule="atLeast"/>
        </w:trPr>
        <w:tc>
          <w:tcPr>
            <w:tcW w:w="3603" w:type="dxa"/>
            <w:tcBorders>
              <w:bottom w:val="single" w:sz="4" w:space="0" w:color="000000"/>
              <w:right w:val="single" w:sz="4" w:space="0" w:color="000000"/>
            </w:tcBorders>
          </w:tcPr>
          <w:p>
            <w:pPr>
              <w:pStyle w:val="TableParagraph"/>
              <w:spacing w:line="186" w:lineRule="exact"/>
              <w:ind w:left="84"/>
              <w:jc w:val="left"/>
              <w:rPr>
                <w:sz w:val="18"/>
              </w:rPr>
            </w:pPr>
            <w:r>
              <w:rPr>
                <w:sz w:val="18"/>
              </w:rPr>
              <w:t>Vertedero</w:t>
            </w:r>
          </w:p>
        </w:tc>
        <w:tc>
          <w:tcPr>
            <w:tcW w:w="1666" w:type="dxa"/>
            <w:tcBorders>
              <w:left w:val="single" w:sz="4" w:space="0" w:color="000000"/>
              <w:bottom w:val="single" w:sz="4" w:space="0" w:color="000000"/>
            </w:tcBorders>
          </w:tcPr>
          <w:p>
            <w:pPr>
              <w:pStyle w:val="TableParagraph"/>
              <w:spacing w:line="186" w:lineRule="exact"/>
              <w:ind w:left="81"/>
              <w:rPr>
                <w:sz w:val="18"/>
              </w:rPr>
            </w:pPr>
            <w:r>
              <w:rPr>
                <w:w w:val="100"/>
                <w:sz w:val="18"/>
              </w:rPr>
              <w:t>¾</w:t>
            </w:r>
          </w:p>
        </w:tc>
        <w:tc>
          <w:tcPr>
            <w:tcW w:w="2258" w:type="dxa"/>
            <w:tcBorders>
              <w:bottom w:val="single" w:sz="4" w:space="0" w:color="000000"/>
            </w:tcBorders>
          </w:tcPr>
          <w:p>
            <w:pPr>
              <w:pStyle w:val="TableParagraph"/>
              <w:spacing w:line="186" w:lineRule="exact"/>
              <w:ind w:left="919" w:right="835"/>
              <w:rPr>
                <w:sz w:val="18"/>
              </w:rPr>
            </w:pPr>
            <w:r>
              <w:rPr>
                <w:sz w:val="18"/>
              </w:rPr>
              <w:t>20</w:t>
            </w:r>
          </w:p>
        </w:tc>
      </w:tr>
    </w:tbl>
    <w:p>
      <w:pPr>
        <w:pStyle w:val="BodyText"/>
        <w:rPr>
          <w:b/>
          <w:sz w:val="25"/>
        </w:rPr>
      </w:pPr>
    </w:p>
    <w:p>
      <w:pPr>
        <w:pStyle w:val="ListParagraph"/>
        <w:numPr>
          <w:ilvl w:val="0"/>
          <w:numId w:val="181"/>
        </w:numPr>
        <w:tabs>
          <w:tab w:pos="673" w:val="left" w:leader="none"/>
        </w:tabs>
        <w:spacing w:line="240" w:lineRule="auto" w:before="0" w:after="0"/>
        <w:ind w:left="672" w:right="392" w:hanging="454"/>
        <w:jc w:val="both"/>
        <w:rPr>
          <w:sz w:val="20"/>
        </w:rPr>
      </w:pPr>
      <w:r>
        <w:rPr>
          <w:sz w:val="20"/>
        </w:rPr>
        <w:t>Los diámetros de los diferentes tramos de la red de suministro se dimensionarán conforme al pro- cedimiento establecido en el apartado 4.2, adoptándose como mínimo los valores de la tabla</w:t>
      </w:r>
      <w:r>
        <w:rPr>
          <w:spacing w:val="-10"/>
          <w:sz w:val="20"/>
        </w:rPr>
        <w:t> </w:t>
      </w:r>
      <w:r>
        <w:rPr>
          <w:sz w:val="20"/>
        </w:rPr>
        <w:t>4.3:</w:t>
      </w:r>
    </w:p>
    <w:p>
      <w:pPr>
        <w:spacing w:after="0" w:line="240" w:lineRule="auto"/>
        <w:jc w:val="both"/>
        <w:rPr>
          <w:sz w:val="20"/>
        </w:rPr>
        <w:sectPr>
          <w:pgSz w:w="11910" w:h="16840"/>
          <w:pgMar w:header="908" w:footer="636" w:top="1320" w:bottom="840" w:left="1200" w:right="740"/>
        </w:sectPr>
      </w:pPr>
    </w:p>
    <w:p>
      <w:pPr>
        <w:spacing w:before="91" w:after="3"/>
        <w:ind w:left="1180" w:right="1355" w:firstLine="0"/>
        <w:jc w:val="center"/>
        <w:rPr>
          <w:b/>
          <w:sz w:val="18"/>
        </w:rPr>
      </w:pPr>
      <w:r>
        <w:rPr>
          <w:b/>
          <w:sz w:val="18"/>
        </w:rPr>
        <w:t>Tabla 4.3 Diámetros mínimos de alimentación</w:t>
      </w:r>
    </w:p>
    <w:tbl>
      <w:tblPr>
        <w:tblW w:w="0" w:type="auto"/>
        <w:jc w:val="left"/>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0"/>
        <w:gridCol w:w="2431"/>
        <w:gridCol w:w="1729"/>
        <w:gridCol w:w="2656"/>
      </w:tblGrid>
      <w:tr>
        <w:trPr>
          <w:trHeight w:val="253" w:hRule="atLeast"/>
        </w:trPr>
        <w:tc>
          <w:tcPr>
            <w:tcW w:w="4561" w:type="dxa"/>
            <w:gridSpan w:val="2"/>
            <w:vMerge w:val="restart"/>
            <w:tcBorders>
              <w:top w:val="single" w:sz="8" w:space="0" w:color="000000"/>
              <w:bottom w:val="single" w:sz="8" w:space="0" w:color="000000"/>
              <w:right w:val="single" w:sz="4" w:space="0" w:color="000000"/>
            </w:tcBorders>
          </w:tcPr>
          <w:p>
            <w:pPr>
              <w:pStyle w:val="TableParagraph"/>
              <w:spacing w:before="5"/>
              <w:jc w:val="left"/>
              <w:rPr>
                <w:b/>
                <w:sz w:val="19"/>
              </w:rPr>
            </w:pPr>
          </w:p>
          <w:p>
            <w:pPr>
              <w:pStyle w:val="TableParagraph"/>
              <w:spacing w:before="1"/>
              <w:ind w:left="1444"/>
              <w:jc w:val="left"/>
              <w:rPr>
                <w:b/>
                <w:sz w:val="18"/>
              </w:rPr>
            </w:pPr>
            <w:r>
              <w:rPr>
                <w:b/>
                <w:sz w:val="18"/>
              </w:rPr>
              <w:t>Tramo considerado</w:t>
            </w:r>
          </w:p>
        </w:tc>
        <w:tc>
          <w:tcPr>
            <w:tcW w:w="4385" w:type="dxa"/>
            <w:gridSpan w:val="2"/>
            <w:tcBorders>
              <w:top w:val="single" w:sz="8" w:space="0" w:color="000000"/>
              <w:left w:val="single" w:sz="4" w:space="0" w:color="000000"/>
            </w:tcBorders>
          </w:tcPr>
          <w:p>
            <w:pPr>
              <w:pStyle w:val="TableParagraph"/>
              <w:spacing w:line="205" w:lineRule="exact"/>
              <w:ind w:left="346"/>
              <w:jc w:val="left"/>
              <w:rPr>
                <w:b/>
                <w:sz w:val="18"/>
              </w:rPr>
            </w:pPr>
            <w:r>
              <w:rPr>
                <w:b/>
                <w:i/>
                <w:sz w:val="18"/>
              </w:rPr>
              <w:t>Diámetro nominal </w:t>
            </w:r>
            <w:r>
              <w:rPr>
                <w:b/>
                <w:sz w:val="18"/>
              </w:rPr>
              <w:t>del tubo de alimentación</w:t>
            </w:r>
          </w:p>
        </w:tc>
      </w:tr>
      <w:tr>
        <w:trPr>
          <w:trHeight w:val="386" w:hRule="atLeast"/>
        </w:trPr>
        <w:tc>
          <w:tcPr>
            <w:tcW w:w="4561" w:type="dxa"/>
            <w:gridSpan w:val="2"/>
            <w:vMerge/>
            <w:tcBorders>
              <w:top w:val="nil"/>
              <w:bottom w:val="single" w:sz="8" w:space="0" w:color="000000"/>
              <w:right w:val="single" w:sz="4" w:space="0" w:color="000000"/>
            </w:tcBorders>
          </w:tcPr>
          <w:p>
            <w:pPr>
              <w:rPr>
                <w:sz w:val="2"/>
                <w:szCs w:val="2"/>
              </w:rPr>
            </w:pPr>
          </w:p>
        </w:tc>
        <w:tc>
          <w:tcPr>
            <w:tcW w:w="1729" w:type="dxa"/>
            <w:tcBorders>
              <w:left w:val="single" w:sz="4" w:space="0" w:color="000000"/>
              <w:bottom w:val="single" w:sz="8" w:space="0" w:color="000000"/>
            </w:tcBorders>
          </w:tcPr>
          <w:p>
            <w:pPr>
              <w:pStyle w:val="TableParagraph"/>
              <w:spacing w:before="43"/>
              <w:ind w:left="699" w:right="474"/>
              <w:rPr>
                <w:b/>
                <w:sz w:val="18"/>
              </w:rPr>
            </w:pPr>
            <w:r>
              <w:rPr>
                <w:b/>
                <w:sz w:val="18"/>
              </w:rPr>
              <w:t>Acero</w:t>
            </w:r>
          </w:p>
        </w:tc>
        <w:tc>
          <w:tcPr>
            <w:tcW w:w="2656" w:type="dxa"/>
            <w:tcBorders>
              <w:bottom w:val="single" w:sz="8" w:space="0" w:color="000000"/>
            </w:tcBorders>
          </w:tcPr>
          <w:p>
            <w:pPr>
              <w:pStyle w:val="TableParagraph"/>
              <w:spacing w:before="43"/>
              <w:ind w:left="472" w:right="243"/>
              <w:rPr>
                <w:b/>
                <w:sz w:val="18"/>
              </w:rPr>
            </w:pPr>
            <w:r>
              <w:rPr>
                <w:b/>
                <w:sz w:val="18"/>
              </w:rPr>
              <w:t>Cobre o plástico (mm)</w:t>
            </w:r>
          </w:p>
        </w:tc>
      </w:tr>
      <w:tr>
        <w:trPr>
          <w:trHeight w:val="440" w:hRule="atLeast"/>
        </w:trPr>
        <w:tc>
          <w:tcPr>
            <w:tcW w:w="4561" w:type="dxa"/>
            <w:gridSpan w:val="2"/>
            <w:tcBorders>
              <w:top w:val="single" w:sz="8" w:space="0" w:color="000000"/>
              <w:right w:val="single" w:sz="4" w:space="0" w:color="000000"/>
            </w:tcBorders>
          </w:tcPr>
          <w:p>
            <w:pPr>
              <w:pStyle w:val="TableParagraph"/>
              <w:spacing w:line="200" w:lineRule="atLeast" w:before="8"/>
              <w:ind w:left="69" w:right="354"/>
              <w:jc w:val="left"/>
              <w:rPr>
                <w:sz w:val="18"/>
              </w:rPr>
            </w:pPr>
            <w:r>
              <w:rPr>
                <w:sz w:val="18"/>
              </w:rPr>
              <w:t>Alimentación a cuarto húmedo privado: baño, aseo, cocina.</w:t>
            </w:r>
          </w:p>
        </w:tc>
        <w:tc>
          <w:tcPr>
            <w:tcW w:w="1729" w:type="dxa"/>
            <w:tcBorders>
              <w:top w:val="single" w:sz="8" w:space="0" w:color="000000"/>
              <w:left w:val="single" w:sz="4" w:space="0" w:color="000000"/>
            </w:tcBorders>
          </w:tcPr>
          <w:p>
            <w:pPr>
              <w:pStyle w:val="TableParagraph"/>
              <w:spacing w:before="88"/>
              <w:ind w:left="223"/>
              <w:rPr>
                <w:sz w:val="22"/>
              </w:rPr>
            </w:pPr>
            <w:r>
              <w:rPr>
                <w:w w:val="99"/>
                <w:sz w:val="22"/>
              </w:rPr>
              <w:t>¾</w:t>
            </w:r>
          </w:p>
        </w:tc>
        <w:tc>
          <w:tcPr>
            <w:tcW w:w="2656" w:type="dxa"/>
            <w:tcBorders>
              <w:top w:val="single" w:sz="8" w:space="0" w:color="000000"/>
            </w:tcBorders>
          </w:tcPr>
          <w:p>
            <w:pPr>
              <w:pStyle w:val="TableParagraph"/>
              <w:spacing w:before="111"/>
              <w:ind w:left="472" w:right="240"/>
              <w:rPr>
                <w:sz w:val="18"/>
              </w:rPr>
            </w:pPr>
            <w:r>
              <w:rPr>
                <w:sz w:val="18"/>
              </w:rPr>
              <w:t>20</w:t>
            </w:r>
          </w:p>
        </w:tc>
      </w:tr>
      <w:tr>
        <w:trPr>
          <w:trHeight w:val="490" w:hRule="atLeast"/>
        </w:trPr>
        <w:tc>
          <w:tcPr>
            <w:tcW w:w="4561" w:type="dxa"/>
            <w:gridSpan w:val="2"/>
            <w:tcBorders>
              <w:right w:val="single" w:sz="4" w:space="0" w:color="000000"/>
            </w:tcBorders>
          </w:tcPr>
          <w:p>
            <w:pPr>
              <w:pStyle w:val="TableParagraph"/>
              <w:spacing w:before="12"/>
              <w:ind w:left="69" w:right="194"/>
              <w:jc w:val="left"/>
              <w:rPr>
                <w:sz w:val="18"/>
              </w:rPr>
            </w:pPr>
            <w:r>
              <w:rPr>
                <w:sz w:val="18"/>
              </w:rPr>
              <w:t>Alimentación a derivación particular: vivienda, aparta- mento, local comercial</w:t>
            </w:r>
          </w:p>
        </w:tc>
        <w:tc>
          <w:tcPr>
            <w:tcW w:w="1729" w:type="dxa"/>
            <w:tcBorders>
              <w:left w:val="single" w:sz="4" w:space="0" w:color="000000"/>
            </w:tcBorders>
          </w:tcPr>
          <w:p>
            <w:pPr>
              <w:pStyle w:val="TableParagraph"/>
              <w:spacing w:before="92"/>
              <w:ind w:left="223"/>
              <w:rPr>
                <w:sz w:val="22"/>
              </w:rPr>
            </w:pPr>
            <w:r>
              <w:rPr>
                <w:w w:val="99"/>
                <w:sz w:val="22"/>
              </w:rPr>
              <w:t>¾</w:t>
            </w:r>
          </w:p>
        </w:tc>
        <w:tc>
          <w:tcPr>
            <w:tcW w:w="2656" w:type="dxa"/>
          </w:tcPr>
          <w:p>
            <w:pPr>
              <w:pStyle w:val="TableParagraph"/>
              <w:spacing w:before="115"/>
              <w:ind w:left="472" w:right="240"/>
              <w:rPr>
                <w:sz w:val="18"/>
              </w:rPr>
            </w:pPr>
            <w:r>
              <w:rPr>
                <w:sz w:val="18"/>
              </w:rPr>
              <w:t>20</w:t>
            </w:r>
          </w:p>
        </w:tc>
      </w:tr>
      <w:tr>
        <w:trPr>
          <w:trHeight w:val="425" w:hRule="atLeast"/>
        </w:trPr>
        <w:tc>
          <w:tcPr>
            <w:tcW w:w="4561" w:type="dxa"/>
            <w:gridSpan w:val="2"/>
            <w:tcBorders>
              <w:right w:val="single" w:sz="4" w:space="0" w:color="000000"/>
            </w:tcBorders>
          </w:tcPr>
          <w:p>
            <w:pPr>
              <w:pStyle w:val="TableParagraph"/>
              <w:spacing w:before="80"/>
              <w:ind w:left="69"/>
              <w:jc w:val="left"/>
              <w:rPr>
                <w:sz w:val="18"/>
              </w:rPr>
            </w:pPr>
            <w:r>
              <w:rPr>
                <w:sz w:val="18"/>
              </w:rPr>
              <w:t>Columna (montante o descendente)</w:t>
            </w:r>
          </w:p>
        </w:tc>
        <w:tc>
          <w:tcPr>
            <w:tcW w:w="1729" w:type="dxa"/>
            <w:tcBorders>
              <w:left w:val="single" w:sz="4" w:space="0" w:color="000000"/>
            </w:tcBorders>
          </w:tcPr>
          <w:p>
            <w:pPr>
              <w:pStyle w:val="TableParagraph"/>
              <w:spacing w:before="56"/>
              <w:ind w:left="223"/>
              <w:rPr>
                <w:sz w:val="22"/>
              </w:rPr>
            </w:pPr>
            <w:r>
              <w:rPr>
                <w:w w:val="99"/>
                <w:sz w:val="22"/>
              </w:rPr>
              <w:t>¾</w:t>
            </w:r>
          </w:p>
        </w:tc>
        <w:tc>
          <w:tcPr>
            <w:tcW w:w="2656" w:type="dxa"/>
          </w:tcPr>
          <w:p>
            <w:pPr>
              <w:pStyle w:val="TableParagraph"/>
              <w:spacing w:before="80"/>
              <w:ind w:left="472" w:right="240"/>
              <w:rPr>
                <w:sz w:val="18"/>
              </w:rPr>
            </w:pPr>
            <w:r>
              <w:rPr>
                <w:sz w:val="18"/>
              </w:rPr>
              <w:t>20</w:t>
            </w:r>
          </w:p>
        </w:tc>
      </w:tr>
      <w:tr>
        <w:trPr>
          <w:trHeight w:val="432" w:hRule="atLeast"/>
        </w:trPr>
        <w:tc>
          <w:tcPr>
            <w:tcW w:w="2130" w:type="dxa"/>
          </w:tcPr>
          <w:p>
            <w:pPr>
              <w:pStyle w:val="TableParagraph"/>
              <w:spacing w:before="110"/>
              <w:ind w:left="69"/>
              <w:jc w:val="left"/>
              <w:rPr>
                <w:sz w:val="18"/>
              </w:rPr>
            </w:pPr>
            <w:r>
              <w:rPr>
                <w:sz w:val="18"/>
              </w:rPr>
              <w:t>Distribuidor principal</w:t>
            </w:r>
          </w:p>
        </w:tc>
        <w:tc>
          <w:tcPr>
            <w:tcW w:w="2431" w:type="dxa"/>
            <w:tcBorders>
              <w:right w:val="single" w:sz="4" w:space="0" w:color="000000"/>
            </w:tcBorders>
          </w:tcPr>
          <w:p>
            <w:pPr>
              <w:pStyle w:val="TableParagraph"/>
              <w:jc w:val="left"/>
              <w:rPr>
                <w:rFonts w:ascii="Times New Roman"/>
                <w:sz w:val="18"/>
              </w:rPr>
            </w:pPr>
          </w:p>
        </w:tc>
        <w:tc>
          <w:tcPr>
            <w:tcW w:w="1729" w:type="dxa"/>
            <w:tcBorders>
              <w:left w:val="single" w:sz="4" w:space="0" w:color="000000"/>
            </w:tcBorders>
          </w:tcPr>
          <w:p>
            <w:pPr>
              <w:pStyle w:val="TableParagraph"/>
              <w:spacing w:before="110"/>
              <w:ind w:left="224"/>
              <w:rPr>
                <w:sz w:val="18"/>
              </w:rPr>
            </w:pPr>
            <w:r>
              <w:rPr>
                <w:w w:val="99"/>
                <w:sz w:val="18"/>
              </w:rPr>
              <w:t>1</w:t>
            </w:r>
          </w:p>
        </w:tc>
        <w:tc>
          <w:tcPr>
            <w:tcW w:w="2656" w:type="dxa"/>
          </w:tcPr>
          <w:p>
            <w:pPr>
              <w:pStyle w:val="TableParagraph"/>
              <w:spacing w:before="110"/>
              <w:ind w:left="471" w:right="243"/>
              <w:rPr>
                <w:sz w:val="18"/>
              </w:rPr>
            </w:pPr>
            <w:r>
              <w:rPr>
                <w:sz w:val="18"/>
              </w:rPr>
              <w:t>25</w:t>
            </w:r>
          </w:p>
        </w:tc>
      </w:tr>
      <w:tr>
        <w:trPr>
          <w:trHeight w:val="465" w:hRule="atLeast"/>
        </w:trPr>
        <w:tc>
          <w:tcPr>
            <w:tcW w:w="2130" w:type="dxa"/>
          </w:tcPr>
          <w:p>
            <w:pPr>
              <w:pStyle w:val="TableParagraph"/>
              <w:jc w:val="left"/>
              <w:rPr>
                <w:rFonts w:ascii="Times New Roman"/>
                <w:sz w:val="18"/>
              </w:rPr>
            </w:pPr>
          </w:p>
        </w:tc>
        <w:tc>
          <w:tcPr>
            <w:tcW w:w="2431" w:type="dxa"/>
            <w:tcBorders>
              <w:right w:val="single" w:sz="4" w:space="0" w:color="000000"/>
            </w:tcBorders>
          </w:tcPr>
          <w:p>
            <w:pPr>
              <w:pStyle w:val="TableParagraph"/>
              <w:spacing w:before="132"/>
              <w:ind w:left="99"/>
              <w:jc w:val="left"/>
              <w:rPr>
                <w:sz w:val="18"/>
              </w:rPr>
            </w:pPr>
            <w:r>
              <w:rPr>
                <w:sz w:val="18"/>
              </w:rPr>
              <w:t>&lt; 50 kW</w:t>
            </w:r>
          </w:p>
        </w:tc>
        <w:tc>
          <w:tcPr>
            <w:tcW w:w="1729" w:type="dxa"/>
            <w:tcBorders>
              <w:left w:val="single" w:sz="4" w:space="0" w:color="000000"/>
            </w:tcBorders>
          </w:tcPr>
          <w:p>
            <w:pPr>
              <w:pStyle w:val="TableParagraph"/>
              <w:spacing w:before="108"/>
              <w:ind w:left="223"/>
              <w:rPr>
                <w:sz w:val="22"/>
              </w:rPr>
            </w:pPr>
            <w:r>
              <w:rPr>
                <w:w w:val="99"/>
                <w:sz w:val="22"/>
              </w:rPr>
              <w:t>½</w:t>
            </w:r>
          </w:p>
        </w:tc>
        <w:tc>
          <w:tcPr>
            <w:tcW w:w="2656" w:type="dxa"/>
          </w:tcPr>
          <w:p>
            <w:pPr>
              <w:pStyle w:val="TableParagraph"/>
              <w:spacing w:before="132"/>
              <w:ind w:left="471" w:right="243"/>
              <w:rPr>
                <w:sz w:val="18"/>
              </w:rPr>
            </w:pPr>
            <w:r>
              <w:rPr>
                <w:sz w:val="18"/>
              </w:rPr>
              <w:t>12</w:t>
            </w:r>
          </w:p>
        </w:tc>
      </w:tr>
      <w:tr>
        <w:trPr>
          <w:trHeight w:val="464" w:hRule="atLeast"/>
        </w:trPr>
        <w:tc>
          <w:tcPr>
            <w:tcW w:w="2130" w:type="dxa"/>
            <w:vMerge w:val="restart"/>
          </w:tcPr>
          <w:p>
            <w:pPr>
              <w:pStyle w:val="TableParagraph"/>
              <w:spacing w:before="2"/>
              <w:jc w:val="left"/>
              <w:rPr>
                <w:b/>
                <w:sz w:val="21"/>
              </w:rPr>
            </w:pPr>
          </w:p>
          <w:p>
            <w:pPr>
              <w:pStyle w:val="TableParagraph"/>
              <w:ind w:left="69" w:right="79"/>
              <w:jc w:val="left"/>
              <w:rPr>
                <w:sz w:val="18"/>
              </w:rPr>
            </w:pPr>
            <w:r>
              <w:rPr>
                <w:sz w:val="18"/>
              </w:rPr>
              <w:t>Alimentación equipos de climatización</w:t>
            </w:r>
          </w:p>
        </w:tc>
        <w:tc>
          <w:tcPr>
            <w:tcW w:w="2431" w:type="dxa"/>
            <w:tcBorders>
              <w:right w:val="single" w:sz="4" w:space="0" w:color="000000"/>
            </w:tcBorders>
          </w:tcPr>
          <w:p>
            <w:pPr>
              <w:pStyle w:val="TableParagraph"/>
              <w:spacing w:before="120"/>
              <w:ind w:left="99"/>
              <w:jc w:val="left"/>
              <w:rPr>
                <w:sz w:val="18"/>
              </w:rPr>
            </w:pPr>
            <w:r>
              <w:rPr>
                <w:sz w:val="18"/>
              </w:rPr>
              <w:t>50 - 250 kW</w:t>
            </w:r>
          </w:p>
        </w:tc>
        <w:tc>
          <w:tcPr>
            <w:tcW w:w="1729" w:type="dxa"/>
            <w:tcBorders>
              <w:left w:val="single" w:sz="4" w:space="0" w:color="000000"/>
            </w:tcBorders>
          </w:tcPr>
          <w:p>
            <w:pPr>
              <w:pStyle w:val="TableParagraph"/>
              <w:spacing w:before="97"/>
              <w:ind w:left="223"/>
              <w:rPr>
                <w:sz w:val="22"/>
              </w:rPr>
            </w:pPr>
            <w:r>
              <w:rPr>
                <w:w w:val="99"/>
                <w:sz w:val="22"/>
              </w:rPr>
              <w:t>¾</w:t>
            </w:r>
          </w:p>
        </w:tc>
        <w:tc>
          <w:tcPr>
            <w:tcW w:w="2656" w:type="dxa"/>
          </w:tcPr>
          <w:p>
            <w:pPr>
              <w:pStyle w:val="TableParagraph"/>
              <w:spacing w:before="120"/>
              <w:ind w:left="472" w:right="240"/>
              <w:rPr>
                <w:sz w:val="18"/>
              </w:rPr>
            </w:pPr>
            <w:r>
              <w:rPr>
                <w:sz w:val="18"/>
              </w:rPr>
              <w:t>20</w:t>
            </w:r>
          </w:p>
        </w:tc>
      </w:tr>
      <w:tr>
        <w:trPr>
          <w:trHeight w:val="431" w:hRule="atLeast"/>
        </w:trPr>
        <w:tc>
          <w:tcPr>
            <w:tcW w:w="2130" w:type="dxa"/>
            <w:vMerge/>
            <w:tcBorders>
              <w:top w:val="nil"/>
            </w:tcBorders>
          </w:tcPr>
          <w:p>
            <w:pPr>
              <w:rPr>
                <w:sz w:val="2"/>
                <w:szCs w:val="2"/>
              </w:rPr>
            </w:pPr>
          </w:p>
        </w:tc>
        <w:tc>
          <w:tcPr>
            <w:tcW w:w="2431" w:type="dxa"/>
            <w:tcBorders>
              <w:right w:val="single" w:sz="4" w:space="0" w:color="000000"/>
            </w:tcBorders>
          </w:tcPr>
          <w:p>
            <w:pPr>
              <w:pStyle w:val="TableParagraph"/>
              <w:spacing w:before="109"/>
              <w:ind w:left="99"/>
              <w:jc w:val="left"/>
              <w:rPr>
                <w:sz w:val="18"/>
              </w:rPr>
            </w:pPr>
            <w:r>
              <w:rPr>
                <w:sz w:val="18"/>
              </w:rPr>
              <w:t>250 - 500 kW</w:t>
            </w:r>
          </w:p>
        </w:tc>
        <w:tc>
          <w:tcPr>
            <w:tcW w:w="1729" w:type="dxa"/>
            <w:tcBorders>
              <w:left w:val="single" w:sz="4" w:space="0" w:color="000000"/>
            </w:tcBorders>
          </w:tcPr>
          <w:p>
            <w:pPr>
              <w:pStyle w:val="TableParagraph"/>
              <w:spacing w:before="109"/>
              <w:ind w:left="224"/>
              <w:rPr>
                <w:sz w:val="18"/>
              </w:rPr>
            </w:pPr>
            <w:r>
              <w:rPr>
                <w:w w:val="99"/>
                <w:sz w:val="18"/>
              </w:rPr>
              <w:t>1</w:t>
            </w:r>
          </w:p>
        </w:tc>
        <w:tc>
          <w:tcPr>
            <w:tcW w:w="2656" w:type="dxa"/>
          </w:tcPr>
          <w:p>
            <w:pPr>
              <w:pStyle w:val="TableParagraph"/>
              <w:spacing w:before="109"/>
              <w:ind w:left="472" w:right="240"/>
              <w:rPr>
                <w:sz w:val="18"/>
              </w:rPr>
            </w:pPr>
            <w:r>
              <w:rPr>
                <w:sz w:val="18"/>
              </w:rPr>
              <w:t>25</w:t>
            </w:r>
          </w:p>
        </w:tc>
      </w:tr>
      <w:tr>
        <w:trPr>
          <w:trHeight w:val="464" w:hRule="atLeast"/>
        </w:trPr>
        <w:tc>
          <w:tcPr>
            <w:tcW w:w="2130" w:type="dxa"/>
            <w:tcBorders>
              <w:bottom w:val="single" w:sz="4" w:space="0" w:color="000000"/>
            </w:tcBorders>
          </w:tcPr>
          <w:p>
            <w:pPr>
              <w:pStyle w:val="TableParagraph"/>
              <w:jc w:val="left"/>
              <w:rPr>
                <w:rFonts w:ascii="Times New Roman"/>
                <w:sz w:val="18"/>
              </w:rPr>
            </w:pPr>
          </w:p>
        </w:tc>
        <w:tc>
          <w:tcPr>
            <w:tcW w:w="2431" w:type="dxa"/>
            <w:tcBorders>
              <w:bottom w:val="single" w:sz="4" w:space="0" w:color="000000"/>
              <w:right w:val="single" w:sz="4" w:space="0" w:color="000000"/>
            </w:tcBorders>
          </w:tcPr>
          <w:p>
            <w:pPr>
              <w:pStyle w:val="TableParagraph"/>
              <w:spacing w:before="132"/>
              <w:ind w:left="99"/>
              <w:jc w:val="left"/>
              <w:rPr>
                <w:sz w:val="18"/>
              </w:rPr>
            </w:pPr>
            <w:r>
              <w:rPr>
                <w:sz w:val="18"/>
              </w:rPr>
              <w:t>&gt; 500 kW</w:t>
            </w:r>
          </w:p>
        </w:tc>
        <w:tc>
          <w:tcPr>
            <w:tcW w:w="1729" w:type="dxa"/>
            <w:tcBorders>
              <w:left w:val="single" w:sz="4" w:space="0" w:color="000000"/>
              <w:bottom w:val="single" w:sz="4" w:space="0" w:color="000000"/>
            </w:tcBorders>
          </w:tcPr>
          <w:p>
            <w:pPr>
              <w:pStyle w:val="TableParagraph"/>
              <w:spacing w:before="108"/>
              <w:ind w:left="699" w:right="474"/>
              <w:rPr>
                <w:sz w:val="22"/>
              </w:rPr>
            </w:pPr>
            <w:r>
              <w:rPr>
                <w:sz w:val="18"/>
              </w:rPr>
              <w:t>1 </w:t>
            </w:r>
            <w:r>
              <w:rPr>
                <w:sz w:val="22"/>
              </w:rPr>
              <w:t>¼</w:t>
            </w:r>
          </w:p>
        </w:tc>
        <w:tc>
          <w:tcPr>
            <w:tcW w:w="2656" w:type="dxa"/>
            <w:tcBorders>
              <w:bottom w:val="single" w:sz="4" w:space="0" w:color="000000"/>
            </w:tcBorders>
          </w:tcPr>
          <w:p>
            <w:pPr>
              <w:pStyle w:val="TableParagraph"/>
              <w:spacing w:before="132"/>
              <w:ind w:left="472" w:right="240"/>
              <w:rPr>
                <w:sz w:val="18"/>
              </w:rPr>
            </w:pPr>
            <w:r>
              <w:rPr>
                <w:sz w:val="18"/>
              </w:rPr>
              <w:t>32</w:t>
            </w:r>
          </w:p>
        </w:tc>
      </w:tr>
    </w:tbl>
    <w:p>
      <w:pPr>
        <w:pStyle w:val="BodyText"/>
        <w:spacing w:before="2"/>
        <w:rPr>
          <w:b/>
          <w:sz w:val="24"/>
        </w:rPr>
      </w:pPr>
    </w:p>
    <w:p>
      <w:pPr>
        <w:pStyle w:val="Heading3"/>
        <w:numPr>
          <w:ilvl w:val="1"/>
          <w:numId w:val="177"/>
        </w:numPr>
        <w:tabs>
          <w:tab w:pos="673" w:val="left" w:leader="none"/>
        </w:tabs>
        <w:spacing w:line="240" w:lineRule="auto" w:before="1" w:after="0"/>
        <w:ind w:left="672" w:right="0" w:hanging="455"/>
        <w:jc w:val="both"/>
      </w:pPr>
      <w:r>
        <w:rPr/>
        <w:t>Dimensionado de las redes de</w:t>
      </w:r>
      <w:r>
        <w:rPr>
          <w:spacing w:val="-1"/>
        </w:rPr>
        <w:t> </w:t>
      </w:r>
      <w:r>
        <w:rPr/>
        <w:t>ACS</w:t>
      </w:r>
    </w:p>
    <w:p>
      <w:pPr>
        <w:pStyle w:val="Heading5"/>
        <w:numPr>
          <w:ilvl w:val="2"/>
          <w:numId w:val="177"/>
        </w:numPr>
        <w:tabs>
          <w:tab w:pos="787" w:val="left" w:leader="none"/>
        </w:tabs>
        <w:spacing w:line="240" w:lineRule="auto" w:before="200" w:after="0"/>
        <w:ind w:left="786" w:right="0" w:hanging="569"/>
        <w:jc w:val="both"/>
      </w:pPr>
      <w:r>
        <w:rPr/>
        <w:t>Dimensionado de las redes de impulsión de</w:t>
      </w:r>
      <w:r>
        <w:rPr>
          <w:spacing w:val="-1"/>
        </w:rPr>
        <w:t> </w:t>
      </w:r>
      <w:r>
        <w:rPr/>
        <w:t>ACS</w:t>
      </w:r>
    </w:p>
    <w:p>
      <w:pPr>
        <w:pStyle w:val="BodyText"/>
        <w:spacing w:before="98"/>
        <w:ind w:left="672" w:right="393" w:hanging="454"/>
        <w:jc w:val="both"/>
      </w:pPr>
      <w:r>
        <w:rPr/>
        <w:t>1 Para las redes de impulsión o ida de ACS se seguirá el mismo método de cálculo que para redes de agua fría.</w:t>
      </w:r>
    </w:p>
    <w:p>
      <w:pPr>
        <w:pStyle w:val="BodyText"/>
        <w:spacing w:before="7"/>
        <w:rPr>
          <w:sz w:val="17"/>
        </w:rPr>
      </w:pPr>
    </w:p>
    <w:p>
      <w:pPr>
        <w:pStyle w:val="Heading5"/>
        <w:numPr>
          <w:ilvl w:val="2"/>
          <w:numId w:val="177"/>
        </w:numPr>
        <w:tabs>
          <w:tab w:pos="787" w:val="left" w:leader="none"/>
        </w:tabs>
        <w:spacing w:line="240" w:lineRule="auto" w:before="0" w:after="0"/>
        <w:ind w:left="786" w:right="0" w:hanging="569"/>
        <w:jc w:val="both"/>
      </w:pPr>
      <w:r>
        <w:rPr/>
        <w:t>Dimensionado de las redes de retorno de</w:t>
      </w:r>
      <w:r>
        <w:rPr>
          <w:spacing w:val="-1"/>
        </w:rPr>
        <w:t> </w:t>
      </w:r>
      <w:r>
        <w:rPr/>
        <w:t>ACS</w:t>
      </w:r>
    </w:p>
    <w:p>
      <w:pPr>
        <w:pStyle w:val="ListParagraph"/>
        <w:numPr>
          <w:ilvl w:val="0"/>
          <w:numId w:val="182"/>
        </w:numPr>
        <w:tabs>
          <w:tab w:pos="673" w:val="left" w:leader="none"/>
        </w:tabs>
        <w:spacing w:line="240" w:lineRule="auto" w:before="98" w:after="0"/>
        <w:ind w:left="672" w:right="392" w:hanging="454"/>
        <w:jc w:val="both"/>
        <w:rPr>
          <w:sz w:val="20"/>
        </w:rPr>
      </w:pPr>
      <w:r>
        <w:rPr>
          <w:sz w:val="20"/>
        </w:rPr>
        <w:t>Para determinar el caudal que circulará por el circuito de retorno, se estimará que en el grifo más alejado, la pérdida de temperatura sea como máximo de 3 ºC desde la salida del acumulador o in- tercambiador en su</w:t>
      </w:r>
      <w:r>
        <w:rPr>
          <w:spacing w:val="-4"/>
          <w:sz w:val="20"/>
        </w:rPr>
        <w:t> </w:t>
      </w:r>
      <w:r>
        <w:rPr>
          <w:sz w:val="20"/>
        </w:rPr>
        <w:t>caso.</w:t>
      </w:r>
    </w:p>
    <w:p>
      <w:pPr>
        <w:pStyle w:val="ListParagraph"/>
        <w:numPr>
          <w:ilvl w:val="0"/>
          <w:numId w:val="182"/>
        </w:numPr>
        <w:tabs>
          <w:tab w:pos="673" w:val="left" w:leader="none"/>
        </w:tabs>
        <w:spacing w:line="240" w:lineRule="auto" w:before="60" w:after="0"/>
        <w:ind w:left="672" w:right="395" w:hanging="454"/>
        <w:jc w:val="both"/>
        <w:rPr>
          <w:sz w:val="20"/>
        </w:rPr>
      </w:pPr>
      <w:r>
        <w:rPr>
          <w:sz w:val="20"/>
        </w:rPr>
        <w:t>En cualquier caso no se recircularán menos de 250 l/h en cada columna, si la instalación responde a este esquema, para poder efectuar un adecuado equilibrado</w:t>
      </w:r>
      <w:r>
        <w:rPr>
          <w:spacing w:val="-3"/>
          <w:sz w:val="20"/>
        </w:rPr>
        <w:t> </w:t>
      </w:r>
      <w:r>
        <w:rPr>
          <w:sz w:val="20"/>
        </w:rPr>
        <w:t>hidráulico.</w:t>
      </w:r>
    </w:p>
    <w:p>
      <w:pPr>
        <w:pStyle w:val="ListParagraph"/>
        <w:numPr>
          <w:ilvl w:val="0"/>
          <w:numId w:val="182"/>
        </w:numPr>
        <w:tabs>
          <w:tab w:pos="673" w:val="left" w:leader="none"/>
        </w:tabs>
        <w:spacing w:line="240" w:lineRule="auto" w:before="60" w:after="0"/>
        <w:ind w:left="672" w:right="0" w:hanging="455"/>
        <w:jc w:val="both"/>
        <w:rPr>
          <w:sz w:val="20"/>
        </w:rPr>
      </w:pPr>
      <w:r>
        <w:rPr>
          <w:sz w:val="20"/>
        </w:rPr>
        <w:t>El caudal de retorno se podrá estimar según reglas empíricas de la siguiente</w:t>
      </w:r>
      <w:r>
        <w:rPr>
          <w:spacing w:val="-8"/>
          <w:sz w:val="20"/>
        </w:rPr>
        <w:t> </w:t>
      </w:r>
      <w:r>
        <w:rPr>
          <w:sz w:val="20"/>
        </w:rPr>
        <w:t>forma:</w:t>
      </w:r>
    </w:p>
    <w:p>
      <w:pPr>
        <w:pStyle w:val="ListParagraph"/>
        <w:numPr>
          <w:ilvl w:val="1"/>
          <w:numId w:val="182"/>
        </w:numPr>
        <w:tabs>
          <w:tab w:pos="1126" w:val="left" w:leader="none"/>
        </w:tabs>
        <w:spacing w:line="240" w:lineRule="auto" w:before="60" w:after="0"/>
        <w:ind w:left="1126" w:right="389" w:hanging="454"/>
        <w:jc w:val="both"/>
        <w:rPr>
          <w:sz w:val="20"/>
        </w:rPr>
      </w:pPr>
      <w:r>
        <w:rPr>
          <w:sz w:val="20"/>
        </w:rPr>
        <w:t>considerar que se recircula el 10% del agua de alimentación, como mínimo. De cualquier for- ma se considera que el diámetro interior mínimo de la tubería de retorno es de 16</w:t>
      </w:r>
      <w:r>
        <w:rPr>
          <w:spacing w:val="-7"/>
          <w:sz w:val="20"/>
        </w:rPr>
        <w:t> </w:t>
      </w:r>
      <w:r>
        <w:rPr>
          <w:sz w:val="20"/>
        </w:rPr>
        <w:t>mm.</w:t>
      </w:r>
    </w:p>
    <w:p>
      <w:pPr>
        <w:pStyle w:val="ListParagraph"/>
        <w:numPr>
          <w:ilvl w:val="1"/>
          <w:numId w:val="182"/>
        </w:numPr>
        <w:tabs>
          <w:tab w:pos="1126" w:val="left" w:leader="none"/>
        </w:tabs>
        <w:spacing w:line="240" w:lineRule="auto" w:before="60" w:after="0"/>
        <w:ind w:left="1126" w:right="0" w:hanging="454"/>
        <w:jc w:val="both"/>
        <w:rPr>
          <w:sz w:val="20"/>
        </w:rPr>
      </w:pPr>
      <w:r>
        <w:rPr>
          <w:sz w:val="20"/>
        </w:rPr>
        <w:t>los diámetros en función del caudal recirculado se indican en la tabla</w:t>
      </w:r>
      <w:r>
        <w:rPr>
          <w:spacing w:val="-7"/>
          <w:sz w:val="20"/>
        </w:rPr>
        <w:t> </w:t>
      </w:r>
      <w:r>
        <w:rPr>
          <w:sz w:val="20"/>
        </w:rPr>
        <w:t>4.4.</w:t>
      </w:r>
    </w:p>
    <w:p>
      <w:pPr>
        <w:pStyle w:val="Heading5"/>
        <w:spacing w:before="61" w:after="3"/>
        <w:ind w:left="1417"/>
        <w:jc w:val="both"/>
      </w:pPr>
      <w:r>
        <w:rPr/>
        <w:t>Tabla 4.4 Relación entre diámetro de tubería y caudal recirculado de ACS</w:t>
      </w:r>
    </w:p>
    <w:tbl>
      <w:tblPr>
        <w:tblW w:w="0" w:type="auto"/>
        <w:jc w:val="left"/>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3"/>
        <w:gridCol w:w="4456"/>
      </w:tblGrid>
      <w:tr>
        <w:trPr>
          <w:trHeight w:val="206" w:hRule="atLeast"/>
        </w:trPr>
        <w:tc>
          <w:tcPr>
            <w:tcW w:w="4503" w:type="dxa"/>
            <w:tcBorders>
              <w:bottom w:val="single" w:sz="4" w:space="0" w:color="000000"/>
              <w:right w:val="single" w:sz="4" w:space="0" w:color="000000"/>
            </w:tcBorders>
          </w:tcPr>
          <w:p>
            <w:pPr>
              <w:pStyle w:val="TableParagraph"/>
              <w:spacing w:line="186" w:lineRule="exact"/>
              <w:ind w:left="922" w:right="905"/>
              <w:rPr>
                <w:b/>
                <w:sz w:val="18"/>
              </w:rPr>
            </w:pPr>
            <w:r>
              <w:rPr>
                <w:b/>
                <w:sz w:val="18"/>
              </w:rPr>
              <w:t>Diámetro nominal de la tubería</w:t>
            </w:r>
          </w:p>
        </w:tc>
        <w:tc>
          <w:tcPr>
            <w:tcW w:w="4456" w:type="dxa"/>
            <w:tcBorders>
              <w:left w:val="single" w:sz="4" w:space="0" w:color="000000"/>
              <w:bottom w:val="single" w:sz="4" w:space="0" w:color="000000"/>
            </w:tcBorders>
          </w:tcPr>
          <w:p>
            <w:pPr>
              <w:pStyle w:val="TableParagraph"/>
              <w:spacing w:line="186" w:lineRule="exact"/>
              <w:ind w:left="1203" w:right="1207"/>
              <w:rPr>
                <w:b/>
                <w:sz w:val="18"/>
              </w:rPr>
            </w:pPr>
            <w:r>
              <w:rPr>
                <w:b/>
                <w:sz w:val="18"/>
              </w:rPr>
              <w:t>Caudal recirculado (l/h)</w:t>
            </w:r>
          </w:p>
        </w:tc>
      </w:tr>
      <w:tr>
        <w:trPr>
          <w:trHeight w:val="208" w:hRule="atLeast"/>
        </w:trPr>
        <w:tc>
          <w:tcPr>
            <w:tcW w:w="4503" w:type="dxa"/>
            <w:tcBorders>
              <w:top w:val="single" w:sz="4" w:space="0" w:color="000000"/>
              <w:right w:val="single" w:sz="4" w:space="0" w:color="000000"/>
            </w:tcBorders>
          </w:tcPr>
          <w:p>
            <w:pPr>
              <w:pStyle w:val="TableParagraph"/>
              <w:spacing w:line="189" w:lineRule="exact"/>
              <w:ind w:left="17"/>
              <w:rPr>
                <w:sz w:val="18"/>
              </w:rPr>
            </w:pPr>
            <w:r>
              <w:rPr>
                <w:w w:val="100"/>
                <w:sz w:val="18"/>
              </w:rPr>
              <w:t>½</w:t>
            </w:r>
          </w:p>
        </w:tc>
        <w:tc>
          <w:tcPr>
            <w:tcW w:w="4456" w:type="dxa"/>
            <w:tcBorders>
              <w:top w:val="single" w:sz="4" w:space="0" w:color="000000"/>
              <w:left w:val="single" w:sz="4" w:space="0" w:color="000000"/>
            </w:tcBorders>
          </w:tcPr>
          <w:p>
            <w:pPr>
              <w:pStyle w:val="TableParagraph"/>
              <w:spacing w:line="189" w:lineRule="exact"/>
              <w:ind w:left="1202" w:right="1207"/>
              <w:rPr>
                <w:sz w:val="18"/>
              </w:rPr>
            </w:pPr>
            <w:r>
              <w:rPr>
                <w:sz w:val="18"/>
              </w:rPr>
              <w:t>140</w:t>
            </w:r>
          </w:p>
        </w:tc>
      </w:tr>
      <w:tr>
        <w:trPr>
          <w:trHeight w:val="207" w:hRule="atLeast"/>
        </w:trPr>
        <w:tc>
          <w:tcPr>
            <w:tcW w:w="4503" w:type="dxa"/>
            <w:tcBorders>
              <w:right w:val="single" w:sz="4" w:space="0" w:color="000000"/>
            </w:tcBorders>
          </w:tcPr>
          <w:p>
            <w:pPr>
              <w:pStyle w:val="TableParagraph"/>
              <w:spacing w:line="187" w:lineRule="exact"/>
              <w:ind w:left="17"/>
              <w:rPr>
                <w:sz w:val="18"/>
              </w:rPr>
            </w:pPr>
            <w:r>
              <w:rPr>
                <w:w w:val="100"/>
                <w:sz w:val="18"/>
              </w:rPr>
              <w:t>¾</w:t>
            </w:r>
          </w:p>
        </w:tc>
        <w:tc>
          <w:tcPr>
            <w:tcW w:w="4456" w:type="dxa"/>
            <w:tcBorders>
              <w:left w:val="single" w:sz="4" w:space="0" w:color="000000"/>
            </w:tcBorders>
          </w:tcPr>
          <w:p>
            <w:pPr>
              <w:pStyle w:val="TableParagraph"/>
              <w:spacing w:line="187" w:lineRule="exact"/>
              <w:ind w:left="1202" w:right="1207"/>
              <w:rPr>
                <w:sz w:val="18"/>
              </w:rPr>
            </w:pPr>
            <w:r>
              <w:rPr>
                <w:sz w:val="18"/>
              </w:rPr>
              <w:t>300</w:t>
            </w:r>
          </w:p>
        </w:tc>
      </w:tr>
      <w:tr>
        <w:trPr>
          <w:trHeight w:val="207" w:hRule="atLeast"/>
        </w:trPr>
        <w:tc>
          <w:tcPr>
            <w:tcW w:w="4503" w:type="dxa"/>
            <w:tcBorders>
              <w:right w:val="single" w:sz="4" w:space="0" w:color="000000"/>
            </w:tcBorders>
          </w:tcPr>
          <w:p>
            <w:pPr>
              <w:pStyle w:val="TableParagraph"/>
              <w:spacing w:line="187" w:lineRule="exact"/>
              <w:ind w:left="18"/>
              <w:rPr>
                <w:sz w:val="18"/>
              </w:rPr>
            </w:pPr>
            <w:r>
              <w:rPr>
                <w:w w:val="99"/>
                <w:sz w:val="18"/>
              </w:rPr>
              <w:t>1</w:t>
            </w:r>
          </w:p>
        </w:tc>
        <w:tc>
          <w:tcPr>
            <w:tcW w:w="4456" w:type="dxa"/>
            <w:tcBorders>
              <w:left w:val="single" w:sz="4" w:space="0" w:color="000000"/>
            </w:tcBorders>
          </w:tcPr>
          <w:p>
            <w:pPr>
              <w:pStyle w:val="TableParagraph"/>
              <w:spacing w:line="187" w:lineRule="exact"/>
              <w:ind w:left="1202" w:right="1207"/>
              <w:rPr>
                <w:sz w:val="18"/>
              </w:rPr>
            </w:pPr>
            <w:r>
              <w:rPr>
                <w:sz w:val="18"/>
              </w:rPr>
              <w:t>600</w:t>
            </w:r>
          </w:p>
        </w:tc>
      </w:tr>
      <w:tr>
        <w:trPr>
          <w:trHeight w:val="206" w:hRule="atLeast"/>
        </w:trPr>
        <w:tc>
          <w:tcPr>
            <w:tcW w:w="4503" w:type="dxa"/>
            <w:tcBorders>
              <w:right w:val="single" w:sz="4" w:space="0" w:color="000000"/>
            </w:tcBorders>
          </w:tcPr>
          <w:p>
            <w:pPr>
              <w:pStyle w:val="TableParagraph"/>
              <w:spacing w:line="186" w:lineRule="exact"/>
              <w:ind w:left="921" w:right="905"/>
              <w:rPr>
                <w:sz w:val="18"/>
              </w:rPr>
            </w:pPr>
            <w:r>
              <w:rPr>
                <w:sz w:val="18"/>
              </w:rPr>
              <w:t>1 ¼</w:t>
            </w:r>
          </w:p>
        </w:tc>
        <w:tc>
          <w:tcPr>
            <w:tcW w:w="4456" w:type="dxa"/>
            <w:tcBorders>
              <w:left w:val="single" w:sz="4" w:space="0" w:color="000000"/>
            </w:tcBorders>
          </w:tcPr>
          <w:p>
            <w:pPr>
              <w:pStyle w:val="TableParagraph"/>
              <w:spacing w:line="186" w:lineRule="exact"/>
              <w:ind w:left="1203" w:right="1206"/>
              <w:rPr>
                <w:sz w:val="18"/>
              </w:rPr>
            </w:pPr>
            <w:r>
              <w:rPr>
                <w:sz w:val="18"/>
              </w:rPr>
              <w:t>1.100</w:t>
            </w:r>
          </w:p>
        </w:tc>
      </w:tr>
      <w:tr>
        <w:trPr>
          <w:trHeight w:val="206" w:hRule="atLeast"/>
        </w:trPr>
        <w:tc>
          <w:tcPr>
            <w:tcW w:w="4503" w:type="dxa"/>
            <w:tcBorders>
              <w:right w:val="single" w:sz="4" w:space="0" w:color="000000"/>
            </w:tcBorders>
          </w:tcPr>
          <w:p>
            <w:pPr>
              <w:pStyle w:val="TableParagraph"/>
              <w:spacing w:line="187" w:lineRule="exact"/>
              <w:ind w:left="921" w:right="905"/>
              <w:rPr>
                <w:sz w:val="18"/>
              </w:rPr>
            </w:pPr>
            <w:r>
              <w:rPr>
                <w:sz w:val="18"/>
              </w:rPr>
              <w:t>1 ½</w:t>
            </w:r>
          </w:p>
        </w:tc>
        <w:tc>
          <w:tcPr>
            <w:tcW w:w="4456" w:type="dxa"/>
            <w:tcBorders>
              <w:left w:val="single" w:sz="4" w:space="0" w:color="000000"/>
            </w:tcBorders>
          </w:tcPr>
          <w:p>
            <w:pPr>
              <w:pStyle w:val="TableParagraph"/>
              <w:spacing w:line="187" w:lineRule="exact"/>
              <w:ind w:left="1203" w:right="1206"/>
              <w:rPr>
                <w:sz w:val="18"/>
              </w:rPr>
            </w:pPr>
            <w:r>
              <w:rPr>
                <w:sz w:val="18"/>
              </w:rPr>
              <w:t>1.800</w:t>
            </w:r>
          </w:p>
        </w:tc>
      </w:tr>
      <w:tr>
        <w:trPr>
          <w:trHeight w:val="206" w:hRule="atLeast"/>
        </w:trPr>
        <w:tc>
          <w:tcPr>
            <w:tcW w:w="4503" w:type="dxa"/>
            <w:tcBorders>
              <w:bottom w:val="single" w:sz="4" w:space="0" w:color="000000"/>
              <w:right w:val="single" w:sz="4" w:space="0" w:color="000000"/>
            </w:tcBorders>
          </w:tcPr>
          <w:p>
            <w:pPr>
              <w:pStyle w:val="TableParagraph"/>
              <w:spacing w:line="187" w:lineRule="exact"/>
              <w:ind w:left="18"/>
              <w:rPr>
                <w:sz w:val="18"/>
              </w:rPr>
            </w:pPr>
            <w:r>
              <w:rPr>
                <w:w w:val="99"/>
                <w:sz w:val="18"/>
              </w:rPr>
              <w:t>2</w:t>
            </w:r>
          </w:p>
        </w:tc>
        <w:tc>
          <w:tcPr>
            <w:tcW w:w="4456" w:type="dxa"/>
            <w:tcBorders>
              <w:left w:val="single" w:sz="4" w:space="0" w:color="000000"/>
              <w:bottom w:val="single" w:sz="4" w:space="0" w:color="000000"/>
            </w:tcBorders>
          </w:tcPr>
          <w:p>
            <w:pPr>
              <w:pStyle w:val="TableParagraph"/>
              <w:spacing w:line="187" w:lineRule="exact"/>
              <w:ind w:left="1203" w:right="1206"/>
              <w:rPr>
                <w:sz w:val="18"/>
              </w:rPr>
            </w:pPr>
            <w:r>
              <w:rPr>
                <w:sz w:val="18"/>
              </w:rPr>
              <w:t>3.300</w:t>
            </w:r>
          </w:p>
        </w:tc>
      </w:tr>
    </w:tbl>
    <w:p>
      <w:pPr>
        <w:pStyle w:val="BodyText"/>
        <w:spacing w:before="3"/>
        <w:rPr>
          <w:b/>
          <w:sz w:val="17"/>
        </w:rPr>
      </w:pPr>
    </w:p>
    <w:p>
      <w:pPr>
        <w:pStyle w:val="ListParagraph"/>
        <w:numPr>
          <w:ilvl w:val="2"/>
          <w:numId w:val="177"/>
        </w:numPr>
        <w:tabs>
          <w:tab w:pos="787" w:val="left" w:leader="none"/>
        </w:tabs>
        <w:spacing w:line="240" w:lineRule="auto" w:before="0" w:after="0"/>
        <w:ind w:left="786" w:right="0" w:hanging="569"/>
        <w:jc w:val="both"/>
        <w:rPr>
          <w:b/>
          <w:sz w:val="20"/>
        </w:rPr>
      </w:pPr>
      <w:r>
        <w:rPr>
          <w:b/>
          <w:sz w:val="20"/>
        </w:rPr>
        <w:t>Cálculo del aislamiento</w:t>
      </w:r>
      <w:r>
        <w:rPr>
          <w:b/>
          <w:spacing w:val="-3"/>
          <w:sz w:val="20"/>
        </w:rPr>
        <w:t> </w:t>
      </w:r>
      <w:r>
        <w:rPr>
          <w:b/>
          <w:sz w:val="20"/>
        </w:rPr>
        <w:t>térmico</w:t>
      </w:r>
    </w:p>
    <w:p>
      <w:pPr>
        <w:pStyle w:val="BodyText"/>
        <w:spacing w:before="98"/>
        <w:ind w:left="672" w:right="392" w:hanging="454"/>
        <w:jc w:val="both"/>
      </w:pPr>
      <w:r>
        <w:rPr/>
        <w:t>1  El espesor del aislamiento de las conducciones, tanto en la ida como en el retorno, se dimensionará de acuerdo a lo indicado en el Reglamento de Instalaciones Térmicas en los Edificios RITE y sus Instrucciones Técnicas complementarias</w:t>
      </w:r>
      <w:r>
        <w:rPr>
          <w:spacing w:val="-3"/>
        </w:rPr>
        <w:t> </w:t>
      </w:r>
      <w:r>
        <w:rPr/>
        <w:t>ITE.</w:t>
      </w:r>
    </w:p>
    <w:p>
      <w:pPr>
        <w:pStyle w:val="BodyText"/>
        <w:spacing w:before="6"/>
        <w:rPr>
          <w:sz w:val="17"/>
        </w:rPr>
      </w:pPr>
    </w:p>
    <w:p>
      <w:pPr>
        <w:pStyle w:val="Heading5"/>
        <w:numPr>
          <w:ilvl w:val="2"/>
          <w:numId w:val="177"/>
        </w:numPr>
        <w:tabs>
          <w:tab w:pos="787" w:val="left" w:leader="none"/>
        </w:tabs>
        <w:spacing w:line="240" w:lineRule="auto" w:before="0" w:after="0"/>
        <w:ind w:left="786" w:right="0" w:hanging="569"/>
        <w:jc w:val="both"/>
      </w:pPr>
      <w:r>
        <w:rPr/>
        <w:t>Cálculo de</w:t>
      </w:r>
      <w:r>
        <w:rPr>
          <w:spacing w:val="-2"/>
        </w:rPr>
        <w:t> </w:t>
      </w:r>
      <w:r>
        <w:rPr/>
        <w:t>dilatadores</w:t>
      </w:r>
    </w:p>
    <w:p>
      <w:pPr>
        <w:pStyle w:val="ListParagraph"/>
        <w:numPr>
          <w:ilvl w:val="0"/>
          <w:numId w:val="183"/>
        </w:numPr>
        <w:tabs>
          <w:tab w:pos="673" w:val="left" w:leader="none"/>
        </w:tabs>
        <w:spacing w:line="240" w:lineRule="auto" w:before="99" w:after="0"/>
        <w:ind w:left="672" w:right="396" w:hanging="454"/>
        <w:jc w:val="both"/>
        <w:rPr>
          <w:sz w:val="20"/>
        </w:rPr>
      </w:pPr>
      <w:r>
        <w:rPr>
          <w:sz w:val="20"/>
        </w:rPr>
        <w:t>En los materiales metálicos se podrá aplicar lo especificado en la norma UNE 100 156:1989 y para los materiales termoplásticos lo indicado en la norma UNE ENV 12</w:t>
      </w:r>
      <w:r>
        <w:rPr>
          <w:spacing w:val="-7"/>
          <w:sz w:val="20"/>
        </w:rPr>
        <w:t> </w:t>
      </w:r>
      <w:r>
        <w:rPr>
          <w:sz w:val="20"/>
        </w:rPr>
        <w:t>108:2002.</w:t>
      </w:r>
    </w:p>
    <w:p>
      <w:pPr>
        <w:spacing w:after="0" w:line="240" w:lineRule="auto"/>
        <w:jc w:val="both"/>
        <w:rPr>
          <w:sz w:val="20"/>
        </w:rPr>
        <w:sectPr>
          <w:pgSz w:w="11910" w:h="16840"/>
          <w:pgMar w:header="908" w:footer="636" w:top="1320" w:bottom="840" w:left="1200" w:right="740"/>
        </w:sectPr>
      </w:pPr>
    </w:p>
    <w:p>
      <w:pPr>
        <w:pStyle w:val="ListParagraph"/>
        <w:numPr>
          <w:ilvl w:val="0"/>
          <w:numId w:val="183"/>
        </w:numPr>
        <w:tabs>
          <w:tab w:pos="673" w:val="left" w:leader="none"/>
        </w:tabs>
        <w:spacing w:line="240" w:lineRule="auto" w:before="91" w:after="0"/>
        <w:ind w:left="672" w:right="389" w:hanging="454"/>
        <w:jc w:val="both"/>
        <w:rPr>
          <w:sz w:val="20"/>
        </w:rPr>
      </w:pPr>
      <w:r>
        <w:rPr>
          <w:sz w:val="20"/>
        </w:rPr>
        <w:t>En todo tramo recto sin conexiones intermedias con una longitud superior a 25 m se deben adoptar las medidas oportunas para evitar posibles tensiones excesivas de la tubería, motivadas por las contracciones y dilataciones producidas por las variaciones de temperatura. El mejor punto para co- locarlos se encuentra equidistante de las derivaciones más próximas en los</w:t>
      </w:r>
      <w:r>
        <w:rPr>
          <w:spacing w:val="-5"/>
          <w:sz w:val="20"/>
        </w:rPr>
        <w:t> </w:t>
      </w:r>
      <w:r>
        <w:rPr>
          <w:sz w:val="20"/>
        </w:rPr>
        <w:t>montantes.</w:t>
      </w:r>
    </w:p>
    <w:p>
      <w:pPr>
        <w:pStyle w:val="BodyText"/>
        <w:spacing w:before="5"/>
        <w:rPr>
          <w:sz w:val="24"/>
        </w:rPr>
      </w:pPr>
    </w:p>
    <w:p>
      <w:pPr>
        <w:pStyle w:val="Heading3"/>
        <w:numPr>
          <w:ilvl w:val="1"/>
          <w:numId w:val="177"/>
        </w:numPr>
        <w:tabs>
          <w:tab w:pos="673" w:val="left" w:leader="none"/>
        </w:tabs>
        <w:spacing w:line="240" w:lineRule="auto" w:before="0" w:after="0"/>
        <w:ind w:left="672" w:right="0" w:hanging="455"/>
        <w:jc w:val="left"/>
      </w:pPr>
      <w:r>
        <w:rPr/>
        <w:t>Dimensionado de los equipos, elementos y dispositivos de la</w:t>
      </w:r>
      <w:r>
        <w:rPr>
          <w:spacing w:val="-5"/>
        </w:rPr>
        <w:t> </w:t>
      </w:r>
      <w:r>
        <w:rPr/>
        <w:t>instalación</w:t>
      </w:r>
    </w:p>
    <w:p>
      <w:pPr>
        <w:pStyle w:val="Heading5"/>
        <w:numPr>
          <w:ilvl w:val="2"/>
          <w:numId w:val="177"/>
        </w:numPr>
        <w:tabs>
          <w:tab w:pos="787" w:val="left" w:leader="none"/>
        </w:tabs>
        <w:spacing w:line="240" w:lineRule="auto" w:before="201" w:after="0"/>
        <w:ind w:left="786" w:right="0" w:hanging="569"/>
        <w:jc w:val="left"/>
      </w:pPr>
      <w:r>
        <w:rPr/>
        <w:t>Dimensionado de los</w:t>
      </w:r>
      <w:r>
        <w:rPr>
          <w:spacing w:val="-1"/>
        </w:rPr>
        <w:t> </w:t>
      </w:r>
      <w:r>
        <w:rPr/>
        <w:t>contadores</w:t>
      </w:r>
    </w:p>
    <w:p>
      <w:pPr>
        <w:pStyle w:val="BodyText"/>
        <w:spacing w:before="98"/>
        <w:ind w:left="672" w:right="391" w:hanging="454"/>
        <w:jc w:val="both"/>
      </w:pPr>
      <w:r>
        <w:rPr/>
        <w:t>1  El calibre nominal de los distintos tipos de contadores se adecuará, tanto en agua fría como calien-   te, a los caudales nominales y máximos de la</w:t>
      </w:r>
      <w:r>
        <w:rPr>
          <w:spacing w:val="-6"/>
        </w:rPr>
        <w:t> </w:t>
      </w:r>
      <w:r>
        <w:rPr/>
        <w:t>instalación.</w:t>
      </w:r>
    </w:p>
    <w:p>
      <w:pPr>
        <w:pStyle w:val="BodyText"/>
        <w:spacing w:before="7"/>
        <w:rPr>
          <w:sz w:val="17"/>
        </w:rPr>
      </w:pPr>
    </w:p>
    <w:p>
      <w:pPr>
        <w:pStyle w:val="Heading5"/>
        <w:numPr>
          <w:ilvl w:val="2"/>
          <w:numId w:val="177"/>
        </w:numPr>
        <w:tabs>
          <w:tab w:pos="787" w:val="left" w:leader="none"/>
        </w:tabs>
        <w:spacing w:line="240" w:lineRule="auto" w:before="0" w:after="0"/>
        <w:ind w:left="786" w:right="0" w:hanging="569"/>
        <w:jc w:val="left"/>
      </w:pPr>
      <w:r>
        <w:rPr/>
        <w:t>Cálculo del grupo de</w:t>
      </w:r>
      <w:r>
        <w:rPr>
          <w:spacing w:val="-4"/>
        </w:rPr>
        <w:t> </w:t>
      </w:r>
      <w:r>
        <w:rPr/>
        <w:t>presión</w:t>
      </w:r>
    </w:p>
    <w:p>
      <w:pPr>
        <w:pStyle w:val="BodyText"/>
        <w:spacing w:before="4"/>
        <w:rPr>
          <w:b/>
          <w:sz w:val="17"/>
        </w:rPr>
      </w:pPr>
    </w:p>
    <w:p>
      <w:pPr>
        <w:pStyle w:val="ListParagraph"/>
        <w:numPr>
          <w:ilvl w:val="3"/>
          <w:numId w:val="177"/>
        </w:numPr>
        <w:tabs>
          <w:tab w:pos="933" w:val="left" w:leader="none"/>
        </w:tabs>
        <w:spacing w:line="240" w:lineRule="auto" w:before="0" w:after="0"/>
        <w:ind w:left="932" w:right="0" w:hanging="708"/>
        <w:jc w:val="left"/>
        <w:rPr>
          <w:b/>
          <w:sz w:val="20"/>
        </w:rPr>
      </w:pPr>
      <w:r>
        <w:rPr>
          <w:b/>
          <w:sz w:val="20"/>
        </w:rPr>
        <w:t>Cálculo del depósito auxiliar de</w:t>
      </w:r>
      <w:r>
        <w:rPr>
          <w:b/>
          <w:spacing w:val="-4"/>
          <w:sz w:val="20"/>
        </w:rPr>
        <w:t> </w:t>
      </w:r>
      <w:r>
        <w:rPr>
          <w:b/>
          <w:sz w:val="20"/>
        </w:rPr>
        <w:t>alimentación</w:t>
      </w:r>
    </w:p>
    <w:p>
      <w:pPr>
        <w:pStyle w:val="ListParagraph"/>
        <w:numPr>
          <w:ilvl w:val="0"/>
          <w:numId w:val="184"/>
        </w:numPr>
        <w:tabs>
          <w:tab w:pos="673" w:val="left" w:leader="none"/>
        </w:tabs>
        <w:spacing w:line="240" w:lineRule="auto" w:before="98" w:after="0"/>
        <w:ind w:left="672" w:right="391" w:hanging="454"/>
        <w:jc w:val="both"/>
        <w:rPr>
          <w:sz w:val="20"/>
        </w:rPr>
      </w:pPr>
      <w:r>
        <w:rPr>
          <w:sz w:val="20"/>
        </w:rPr>
        <w:t>El volumen del depósito se calculará en función del tiempo previsto de utilización, aplicando la si- guiente</w:t>
      </w:r>
      <w:r>
        <w:rPr>
          <w:spacing w:val="-1"/>
          <w:sz w:val="20"/>
        </w:rPr>
        <w:t> </w:t>
      </w:r>
      <w:r>
        <w:rPr>
          <w:sz w:val="20"/>
        </w:rPr>
        <w:t>expresión:</w:t>
      </w:r>
    </w:p>
    <w:p>
      <w:pPr>
        <w:tabs>
          <w:tab w:pos="9164" w:val="left" w:leader="none"/>
        </w:tabs>
        <w:spacing w:before="67"/>
        <w:ind w:left="738" w:right="0" w:firstLine="0"/>
        <w:jc w:val="left"/>
        <w:rPr>
          <w:sz w:val="20"/>
        </w:rPr>
      </w:pPr>
      <w:r>
        <w:rPr>
          <w:w w:val="110"/>
          <w:sz w:val="19"/>
        </w:rPr>
        <w:t>V</w:t>
      </w:r>
      <w:r>
        <w:rPr>
          <w:spacing w:val="2"/>
          <w:w w:val="110"/>
          <w:sz w:val="19"/>
        </w:rPr>
        <w:t> </w:t>
      </w:r>
      <w:r>
        <w:rPr>
          <w:rFonts w:ascii="Symbol" w:hAnsi="Symbol"/>
          <w:w w:val="110"/>
          <w:sz w:val="19"/>
        </w:rPr>
        <w:t></w:t>
      </w:r>
      <w:r>
        <w:rPr>
          <w:rFonts w:ascii="Times New Roman" w:hAnsi="Times New Roman"/>
          <w:spacing w:val="-6"/>
          <w:w w:val="110"/>
          <w:sz w:val="19"/>
        </w:rPr>
        <w:t> </w:t>
      </w:r>
      <w:r>
        <w:rPr>
          <w:spacing w:val="10"/>
          <w:w w:val="110"/>
          <w:sz w:val="19"/>
        </w:rPr>
        <w:t>Q</w:t>
      </w:r>
      <w:r>
        <w:rPr>
          <w:rFonts w:ascii="Symbol" w:hAnsi="Symbol"/>
          <w:spacing w:val="10"/>
          <w:w w:val="110"/>
          <w:sz w:val="19"/>
        </w:rPr>
        <w:t></w:t>
      </w:r>
      <w:r>
        <w:rPr>
          <w:rFonts w:ascii="Times New Roman" w:hAnsi="Times New Roman"/>
          <w:spacing w:val="-20"/>
          <w:w w:val="110"/>
          <w:sz w:val="19"/>
        </w:rPr>
        <w:t> </w:t>
      </w:r>
      <w:r>
        <w:rPr>
          <w:w w:val="110"/>
          <w:sz w:val="19"/>
        </w:rPr>
        <w:t>t</w:t>
      </w:r>
      <w:r>
        <w:rPr>
          <w:spacing w:val="-23"/>
          <w:w w:val="110"/>
          <w:sz w:val="19"/>
        </w:rPr>
        <w:t> </w:t>
      </w:r>
      <w:r>
        <w:rPr>
          <w:rFonts w:ascii="Symbol" w:hAnsi="Symbol"/>
          <w:w w:val="110"/>
          <w:sz w:val="19"/>
        </w:rPr>
        <w:t></w:t>
      </w:r>
      <w:r>
        <w:rPr>
          <w:rFonts w:ascii="Times New Roman" w:hAnsi="Times New Roman"/>
          <w:spacing w:val="-23"/>
          <w:w w:val="110"/>
          <w:sz w:val="19"/>
        </w:rPr>
        <w:t> </w:t>
      </w:r>
      <w:r>
        <w:rPr>
          <w:w w:val="110"/>
          <w:sz w:val="19"/>
        </w:rPr>
        <w:t>60</w:t>
        <w:tab/>
      </w:r>
      <w:r>
        <w:rPr>
          <w:w w:val="110"/>
          <w:sz w:val="20"/>
        </w:rPr>
        <w:t>(4.1)</w:t>
      </w:r>
    </w:p>
    <w:p>
      <w:pPr>
        <w:pStyle w:val="BodyText"/>
        <w:rPr>
          <w:sz w:val="13"/>
        </w:rPr>
      </w:pPr>
    </w:p>
    <w:p>
      <w:pPr>
        <w:pStyle w:val="BodyText"/>
        <w:spacing w:before="94"/>
        <w:ind w:left="698"/>
      </w:pPr>
      <w:r>
        <w:rPr/>
        <w:t>siendo</w:t>
      </w:r>
    </w:p>
    <w:p>
      <w:pPr>
        <w:pStyle w:val="BodyText"/>
        <w:spacing w:before="60"/>
        <w:ind w:left="698"/>
      </w:pPr>
      <w:r>
        <w:rPr/>
        <w:t>V es el volumen del depósito [l];</w:t>
      </w:r>
    </w:p>
    <w:p>
      <w:pPr>
        <w:pStyle w:val="BodyText"/>
        <w:spacing w:before="60"/>
        <w:ind w:left="698"/>
      </w:pPr>
      <w:r>
        <w:rPr/>
        <w:t>Q es el caudal máximo simultáneo [</w:t>
      </w:r>
      <w:r>
        <w:rPr>
          <w:sz w:val="16"/>
        </w:rPr>
        <w:t>dm</w:t>
      </w:r>
      <w:r>
        <w:rPr>
          <w:sz w:val="16"/>
          <w:vertAlign w:val="superscript"/>
        </w:rPr>
        <w:t>3</w:t>
      </w:r>
      <w:r>
        <w:rPr>
          <w:vertAlign w:val="baseline"/>
        </w:rPr>
        <w:t>/s];</w:t>
      </w:r>
    </w:p>
    <w:p>
      <w:pPr>
        <w:pStyle w:val="BodyText"/>
        <w:spacing w:before="60"/>
        <w:ind w:left="698"/>
      </w:pPr>
      <w:r>
        <w:rPr/>
        <w:t>t es el tiempo estimado (de 15 a 20) [min].</w:t>
      </w:r>
    </w:p>
    <w:p>
      <w:pPr>
        <w:pStyle w:val="BodyText"/>
        <w:spacing w:before="5"/>
        <w:rPr>
          <w:sz w:val="30"/>
        </w:rPr>
      </w:pPr>
    </w:p>
    <w:p>
      <w:pPr>
        <w:spacing w:before="0"/>
        <w:ind w:left="1777" w:right="962" w:firstLine="0"/>
        <w:jc w:val="left"/>
        <w:rPr>
          <w:sz w:val="16"/>
        </w:rPr>
      </w:pPr>
      <w:r>
        <w:rPr/>
        <w:pict>
          <v:group style="position:absolute;margin-left:142.940002pt;margin-top:.12391pt;width:.5pt;height:42.85pt;mso-position-horizontal-relative:page;mso-position-vertical-relative:paragraph;z-index:251994112" coordorigin="2859,2" coordsize="10,857">
            <v:line style="position:absolute" from="2864,2" to="2864,187" stroked="true" strokeweight=".48pt" strokecolor="#000000">
              <v:stroke dashstyle="solid"/>
            </v:line>
            <v:line style="position:absolute" from="2864,187" to="2864,431" stroked="true" strokeweight=".48pt" strokecolor="#000000">
              <v:stroke dashstyle="solid"/>
            </v:line>
            <v:line style="position:absolute" from="2864,431" to="2864,614" stroked="true" strokeweight=".48pt" strokecolor="#000000">
              <v:stroke dashstyle="solid"/>
            </v:line>
            <v:line style="position:absolute" from="2864,614" to="2864,859" stroked="true" strokeweight=".48pt" strokecolor="#000000">
              <v:stroke dashstyle="solid"/>
            </v:line>
            <w10:wrap type="none"/>
          </v:group>
        </w:pict>
      </w:r>
      <w:r>
        <w:rPr>
          <w:sz w:val="16"/>
        </w:rPr>
        <w:t>Se considera como volumen del depósito el volumen total es el caso de que se dispongan más de un depósito.</w:t>
      </w:r>
    </w:p>
    <w:p>
      <w:pPr>
        <w:spacing w:before="61"/>
        <w:ind w:left="1777" w:right="962" w:firstLine="0"/>
        <w:jc w:val="left"/>
        <w:rPr>
          <w:sz w:val="16"/>
        </w:rPr>
      </w:pPr>
      <w:r>
        <w:rPr>
          <w:sz w:val="16"/>
        </w:rPr>
        <w:t>El tiempo estimado hace referencia al tiempo previsto en el que el volumen del depósito permitiría teóricamente alimentar a la instalación con el </w:t>
      </w:r>
      <w:r>
        <w:rPr>
          <w:i/>
          <w:sz w:val="16"/>
        </w:rPr>
        <w:t>caudal simultáneo </w:t>
      </w:r>
      <w:r>
        <w:rPr>
          <w:sz w:val="16"/>
        </w:rPr>
        <w:t>que ésta requiere.</w:t>
      </w:r>
    </w:p>
    <w:p>
      <w:pPr>
        <w:pStyle w:val="BodyText"/>
        <w:spacing w:before="2"/>
        <w:rPr>
          <w:sz w:val="22"/>
        </w:rPr>
      </w:pPr>
    </w:p>
    <w:p>
      <w:pPr>
        <w:pStyle w:val="ListParagraph"/>
        <w:numPr>
          <w:ilvl w:val="0"/>
          <w:numId w:val="184"/>
        </w:numPr>
        <w:tabs>
          <w:tab w:pos="673" w:val="left" w:leader="none"/>
        </w:tabs>
        <w:spacing w:line="240" w:lineRule="auto" w:before="94" w:after="0"/>
        <w:ind w:left="672" w:right="391" w:hanging="454"/>
        <w:jc w:val="both"/>
        <w:rPr>
          <w:sz w:val="20"/>
        </w:rPr>
      </w:pPr>
      <w:r>
        <w:rPr>
          <w:sz w:val="20"/>
        </w:rPr>
        <w:t>La estimación de la capacidad de agua se podrá realizar con los criterios de la norma UNE 100 030:1994.</w:t>
      </w:r>
    </w:p>
    <w:p>
      <w:pPr>
        <w:pStyle w:val="BodyText"/>
        <w:spacing w:before="7"/>
        <w:rPr>
          <w:sz w:val="17"/>
        </w:rPr>
      </w:pPr>
    </w:p>
    <w:p>
      <w:pPr>
        <w:pStyle w:val="Heading5"/>
        <w:numPr>
          <w:ilvl w:val="3"/>
          <w:numId w:val="177"/>
        </w:numPr>
        <w:tabs>
          <w:tab w:pos="933" w:val="left" w:leader="none"/>
        </w:tabs>
        <w:spacing w:line="240" w:lineRule="auto" w:before="0" w:after="0"/>
        <w:ind w:left="932" w:right="0" w:hanging="708"/>
        <w:jc w:val="both"/>
      </w:pPr>
      <w:r>
        <w:rPr/>
        <w:t>Cálculo de las</w:t>
      </w:r>
      <w:r>
        <w:rPr>
          <w:spacing w:val="-1"/>
        </w:rPr>
        <w:t> </w:t>
      </w:r>
      <w:r>
        <w:rPr/>
        <w:t>bombas</w:t>
      </w:r>
    </w:p>
    <w:p>
      <w:pPr>
        <w:pStyle w:val="ListParagraph"/>
        <w:numPr>
          <w:ilvl w:val="0"/>
          <w:numId w:val="185"/>
        </w:numPr>
        <w:tabs>
          <w:tab w:pos="673" w:val="left" w:leader="none"/>
        </w:tabs>
        <w:spacing w:line="240" w:lineRule="auto" w:before="98" w:after="0"/>
        <w:ind w:left="672" w:right="389" w:hanging="454"/>
        <w:jc w:val="both"/>
        <w:rPr>
          <w:sz w:val="20"/>
        </w:rPr>
      </w:pPr>
      <w:r>
        <w:rPr>
          <w:sz w:val="20"/>
        </w:rPr>
        <w:t>El cálculo de las bombas se hará en función del caudal y de las presiones de arranque y parada de la/s bomba/s (mínima y máxima respectivamente), siempre que no se instalen bombas de caudal variable. En este segundo caso la presión será función del caudal solicitado en cada momento y siempre</w:t>
      </w:r>
      <w:r>
        <w:rPr>
          <w:spacing w:val="-3"/>
          <w:sz w:val="20"/>
        </w:rPr>
        <w:t> </w:t>
      </w:r>
      <w:r>
        <w:rPr>
          <w:sz w:val="20"/>
        </w:rPr>
        <w:t>constante.</w:t>
      </w:r>
    </w:p>
    <w:p>
      <w:pPr>
        <w:pStyle w:val="ListParagraph"/>
        <w:numPr>
          <w:ilvl w:val="0"/>
          <w:numId w:val="185"/>
        </w:numPr>
        <w:tabs>
          <w:tab w:pos="673" w:val="left" w:leader="none"/>
        </w:tabs>
        <w:spacing w:line="240" w:lineRule="auto" w:before="60" w:after="0"/>
        <w:ind w:left="672" w:right="391" w:hanging="454"/>
        <w:jc w:val="both"/>
        <w:rPr>
          <w:sz w:val="20"/>
        </w:rPr>
      </w:pPr>
      <w:r>
        <w:rPr>
          <w:sz w:val="20"/>
        </w:rPr>
        <w:t>El número de bombas a instalar en el caso de un grupo de tipo convencional, excluyendo las de reserva, se determinará en función del caudal total del grupo. Se dispondrán dos bombas para cau- dales de hasta 10 dm</w:t>
      </w:r>
      <w:r>
        <w:rPr>
          <w:sz w:val="20"/>
          <w:vertAlign w:val="superscript"/>
        </w:rPr>
        <w:t>3</w:t>
      </w:r>
      <w:r>
        <w:rPr>
          <w:sz w:val="20"/>
          <w:vertAlign w:val="baseline"/>
        </w:rPr>
        <w:t>/s, tres para caudales de hasta 30 dm</w:t>
      </w:r>
      <w:r>
        <w:rPr>
          <w:sz w:val="20"/>
          <w:vertAlign w:val="superscript"/>
        </w:rPr>
        <w:t>3</w:t>
      </w:r>
      <w:r>
        <w:rPr>
          <w:sz w:val="20"/>
          <w:vertAlign w:val="baseline"/>
        </w:rPr>
        <w:t>/s y 4 para más de 30</w:t>
      </w:r>
      <w:r>
        <w:rPr>
          <w:spacing w:val="-10"/>
          <w:sz w:val="20"/>
          <w:vertAlign w:val="baseline"/>
        </w:rPr>
        <w:t> </w:t>
      </w:r>
      <w:r>
        <w:rPr>
          <w:sz w:val="20"/>
          <w:vertAlign w:val="baseline"/>
        </w:rPr>
        <w:t>dm</w:t>
      </w:r>
      <w:r>
        <w:rPr>
          <w:sz w:val="20"/>
          <w:vertAlign w:val="superscript"/>
        </w:rPr>
        <w:t>3</w:t>
      </w:r>
      <w:r>
        <w:rPr>
          <w:sz w:val="20"/>
          <w:vertAlign w:val="baseline"/>
        </w:rPr>
        <w:t>/s.</w:t>
      </w:r>
    </w:p>
    <w:p>
      <w:pPr>
        <w:pStyle w:val="BodyText"/>
        <w:spacing w:before="5"/>
        <w:rPr>
          <w:sz w:val="30"/>
        </w:rPr>
      </w:pPr>
    </w:p>
    <w:p>
      <w:pPr>
        <w:spacing w:before="0"/>
        <w:ind w:left="1777" w:right="0" w:firstLine="0"/>
        <w:jc w:val="both"/>
        <w:rPr>
          <w:b/>
          <w:sz w:val="16"/>
        </w:rPr>
      </w:pPr>
      <w:r>
        <w:rPr/>
        <w:pict>
          <v:group style="position:absolute;margin-left:142.940002pt;margin-top:.123892pt;width:.5pt;height:42.85pt;mso-position-horizontal-relative:page;mso-position-vertical-relative:paragraph;z-index:251995136" coordorigin="2859,2" coordsize="10,857">
            <v:line style="position:absolute" from="2864,2" to="2864,247" stroked="true" strokeweight=".48pt" strokecolor="#000000">
              <v:stroke dashstyle="solid"/>
            </v:line>
            <v:line style="position:absolute" from="2864,247" to="2864,431" stroked="true" strokeweight=".48pt" strokecolor="#000000">
              <v:stroke dashstyle="solid"/>
            </v:line>
            <v:line style="position:absolute" from="2864,431" to="2864,614" stroked="true" strokeweight=".48pt" strokecolor="#000000">
              <v:stroke dashstyle="solid"/>
            </v:line>
            <v:line style="position:absolute" from="2864,614" to="2864,859" stroked="true" strokeweight=".48pt" strokecolor="#000000">
              <v:stroke dashstyle="solid"/>
            </v:line>
            <w10:wrap type="none"/>
          </v:group>
        </w:pict>
      </w:r>
      <w:r>
        <w:rPr>
          <w:b/>
          <w:sz w:val="16"/>
        </w:rPr>
        <w:t>Número de bombas</w:t>
      </w:r>
    </w:p>
    <w:p>
      <w:pPr>
        <w:spacing w:before="61"/>
        <w:ind w:left="1777" w:right="392" w:firstLine="0"/>
        <w:jc w:val="both"/>
        <w:rPr>
          <w:sz w:val="16"/>
        </w:rPr>
      </w:pPr>
      <w:r>
        <w:rPr>
          <w:sz w:val="16"/>
        </w:rPr>
        <w:t>Una vez calculado el número de bombas necesarias en función del caudal, se incluyen las bombas de reserva, de forma que el número final de bombas sea como mínimo dos para caudales de hasta 10 dm</w:t>
      </w:r>
      <w:r>
        <w:rPr>
          <w:sz w:val="16"/>
          <w:vertAlign w:val="superscript"/>
        </w:rPr>
        <w:t>3</w:t>
      </w:r>
      <w:r>
        <w:rPr>
          <w:sz w:val="16"/>
          <w:vertAlign w:val="baseline"/>
        </w:rPr>
        <w:t>/s, tres para caudales de hasta 30 dm</w:t>
      </w:r>
      <w:r>
        <w:rPr>
          <w:sz w:val="16"/>
          <w:vertAlign w:val="superscript"/>
        </w:rPr>
        <w:t>3</w:t>
      </w:r>
      <w:r>
        <w:rPr>
          <w:sz w:val="16"/>
          <w:vertAlign w:val="baseline"/>
        </w:rPr>
        <w:t>/s y 4 para más de 30</w:t>
      </w:r>
      <w:r>
        <w:rPr>
          <w:spacing w:val="-11"/>
          <w:sz w:val="16"/>
          <w:vertAlign w:val="baseline"/>
        </w:rPr>
        <w:t> </w:t>
      </w:r>
      <w:r>
        <w:rPr>
          <w:sz w:val="16"/>
          <w:vertAlign w:val="baseline"/>
        </w:rPr>
        <w:t>dm</w:t>
      </w:r>
      <w:r>
        <w:rPr>
          <w:sz w:val="16"/>
          <w:vertAlign w:val="superscript"/>
        </w:rPr>
        <w:t>3</w:t>
      </w:r>
      <w:r>
        <w:rPr>
          <w:sz w:val="16"/>
          <w:vertAlign w:val="baseline"/>
        </w:rPr>
        <w:t>/s.</w:t>
      </w:r>
    </w:p>
    <w:p>
      <w:pPr>
        <w:pStyle w:val="BodyText"/>
        <w:spacing w:before="2"/>
        <w:rPr>
          <w:sz w:val="22"/>
        </w:rPr>
      </w:pPr>
    </w:p>
    <w:p>
      <w:pPr>
        <w:pStyle w:val="ListParagraph"/>
        <w:numPr>
          <w:ilvl w:val="0"/>
          <w:numId w:val="185"/>
        </w:numPr>
        <w:tabs>
          <w:tab w:pos="673" w:val="left" w:leader="none"/>
        </w:tabs>
        <w:spacing w:line="240" w:lineRule="auto" w:before="94" w:after="0"/>
        <w:ind w:left="672" w:right="392" w:hanging="454"/>
        <w:jc w:val="both"/>
        <w:rPr>
          <w:sz w:val="20"/>
        </w:rPr>
      </w:pPr>
      <w:r>
        <w:rPr>
          <w:sz w:val="20"/>
        </w:rPr>
        <w:t>El caudal de las bombas será el máximo simultáneo de la instalación o caudal punta y vendrá fijado por el uso y necesidades de la</w:t>
      </w:r>
      <w:r>
        <w:rPr>
          <w:spacing w:val="-4"/>
          <w:sz w:val="20"/>
        </w:rPr>
        <w:t> </w:t>
      </w:r>
      <w:r>
        <w:rPr>
          <w:sz w:val="20"/>
        </w:rPr>
        <w:t>instalación.</w:t>
      </w:r>
    </w:p>
    <w:p>
      <w:pPr>
        <w:pStyle w:val="ListParagraph"/>
        <w:numPr>
          <w:ilvl w:val="0"/>
          <w:numId w:val="185"/>
        </w:numPr>
        <w:tabs>
          <w:tab w:pos="673" w:val="left" w:leader="none"/>
        </w:tabs>
        <w:spacing w:line="240" w:lineRule="auto" w:before="61" w:after="0"/>
        <w:ind w:left="672" w:right="391" w:hanging="454"/>
        <w:jc w:val="both"/>
        <w:rPr>
          <w:sz w:val="20"/>
        </w:rPr>
      </w:pPr>
      <w:r>
        <w:rPr>
          <w:sz w:val="20"/>
        </w:rPr>
        <w:t>La presión mínima o de arranque (Pb) será el resultado de sumar la altura geométrica de aspiración (Ha), la altura geométrica (Hg), la pérdida de carga del circuito (Pc) y la presión residual en el grifo, llave o fluxor</w:t>
      </w:r>
      <w:r>
        <w:rPr>
          <w:spacing w:val="-1"/>
          <w:sz w:val="20"/>
        </w:rPr>
        <w:t> </w:t>
      </w:r>
      <w:r>
        <w:rPr>
          <w:sz w:val="20"/>
        </w:rPr>
        <w:t>(Pr).</w:t>
      </w:r>
    </w:p>
    <w:p>
      <w:pPr>
        <w:spacing w:after="0" w:line="240" w:lineRule="auto"/>
        <w:jc w:val="both"/>
        <w:rPr>
          <w:sz w:val="20"/>
        </w:rPr>
        <w:sectPr>
          <w:pgSz w:w="11910" w:h="16840"/>
          <w:pgMar w:header="908" w:footer="636" w:top="1320" w:bottom="840" w:left="1200" w:right="740"/>
        </w:sectPr>
      </w:pPr>
    </w:p>
    <w:p>
      <w:pPr>
        <w:pStyle w:val="BodyText"/>
        <w:spacing w:before="1"/>
        <w:rPr>
          <w:sz w:val="12"/>
        </w:rPr>
      </w:pPr>
    </w:p>
    <w:p>
      <w:pPr>
        <w:pStyle w:val="Heading5"/>
        <w:numPr>
          <w:ilvl w:val="3"/>
          <w:numId w:val="177"/>
        </w:numPr>
        <w:tabs>
          <w:tab w:pos="933" w:val="left" w:leader="none"/>
        </w:tabs>
        <w:spacing w:line="240" w:lineRule="auto" w:before="94" w:after="0"/>
        <w:ind w:left="932" w:right="0" w:hanging="708"/>
        <w:jc w:val="both"/>
      </w:pPr>
      <w:r>
        <w:rPr/>
        <w:t>Cálculo del depósito de</w:t>
      </w:r>
      <w:r>
        <w:rPr>
          <w:spacing w:val="-6"/>
        </w:rPr>
        <w:t> </w:t>
      </w:r>
      <w:r>
        <w:rPr/>
        <w:t>presión</w:t>
      </w:r>
    </w:p>
    <w:p>
      <w:pPr>
        <w:pStyle w:val="ListParagraph"/>
        <w:numPr>
          <w:ilvl w:val="0"/>
          <w:numId w:val="186"/>
        </w:numPr>
        <w:tabs>
          <w:tab w:pos="673" w:val="left" w:leader="none"/>
        </w:tabs>
        <w:spacing w:line="240" w:lineRule="auto" w:before="97" w:after="0"/>
        <w:ind w:left="672" w:right="392" w:hanging="454"/>
        <w:jc w:val="both"/>
        <w:rPr>
          <w:sz w:val="20"/>
        </w:rPr>
      </w:pPr>
      <w:r>
        <w:rPr>
          <w:sz w:val="20"/>
        </w:rPr>
        <w:t>Para la presión máxima se adoptará un valor que limite el número de arranques y paradas del grupo de forma que se prolongue lo más posible la vida útil del mismo. Este valor estará comprendido en- tre 2 y 3 bar por encima del valor de la presión</w:t>
      </w:r>
      <w:r>
        <w:rPr>
          <w:spacing w:val="-7"/>
          <w:sz w:val="20"/>
        </w:rPr>
        <w:t> </w:t>
      </w:r>
      <w:r>
        <w:rPr>
          <w:sz w:val="20"/>
        </w:rPr>
        <w:t>mínima.</w:t>
      </w:r>
    </w:p>
    <w:p>
      <w:pPr>
        <w:pStyle w:val="ListParagraph"/>
        <w:numPr>
          <w:ilvl w:val="0"/>
          <w:numId w:val="186"/>
        </w:numPr>
        <w:tabs>
          <w:tab w:pos="673" w:val="left" w:leader="none"/>
        </w:tabs>
        <w:spacing w:line="240" w:lineRule="auto" w:before="61" w:after="0"/>
        <w:ind w:left="672" w:right="0" w:hanging="455"/>
        <w:jc w:val="both"/>
        <w:rPr>
          <w:sz w:val="20"/>
        </w:rPr>
      </w:pPr>
      <w:r>
        <w:rPr>
          <w:sz w:val="20"/>
        </w:rPr>
        <w:t>El cálculo de su volumen se hará con la fórmula</w:t>
      </w:r>
      <w:r>
        <w:rPr>
          <w:spacing w:val="-9"/>
          <w:sz w:val="20"/>
        </w:rPr>
        <w:t> </w:t>
      </w:r>
      <w:r>
        <w:rPr>
          <w:sz w:val="20"/>
        </w:rPr>
        <w:t>siguiente:</w:t>
      </w:r>
    </w:p>
    <w:p>
      <w:pPr>
        <w:pStyle w:val="BodyText"/>
        <w:spacing w:before="3"/>
        <w:rPr>
          <w:sz w:val="25"/>
        </w:rPr>
      </w:pPr>
    </w:p>
    <w:p>
      <w:pPr>
        <w:pStyle w:val="BodyText"/>
        <w:tabs>
          <w:tab w:pos="9164" w:val="left" w:leader="none"/>
        </w:tabs>
        <w:ind w:left="698"/>
      </w:pPr>
      <w:r>
        <w:rPr/>
        <w:t>Vn  =  Pb x Va</w:t>
      </w:r>
      <w:r>
        <w:rPr>
          <w:spacing w:val="-5"/>
        </w:rPr>
        <w:t> </w:t>
      </w:r>
      <w:r>
        <w:rPr/>
        <w:t>/ Pa</w:t>
        <w:tab/>
        <w:t>(4.2)</w:t>
      </w:r>
    </w:p>
    <w:p>
      <w:pPr>
        <w:pStyle w:val="BodyText"/>
      </w:pPr>
    </w:p>
    <w:p>
      <w:pPr>
        <w:pStyle w:val="BodyText"/>
        <w:ind w:left="698"/>
      </w:pPr>
      <w:r>
        <w:rPr/>
        <w:t>siendo</w:t>
      </w:r>
    </w:p>
    <w:p>
      <w:pPr>
        <w:pStyle w:val="BodyText"/>
        <w:tabs>
          <w:tab w:pos="1352" w:val="left" w:leader="none"/>
        </w:tabs>
        <w:spacing w:line="302" w:lineRule="auto" w:before="60"/>
        <w:ind w:left="698" w:right="4587"/>
      </w:pPr>
      <w:r>
        <w:rPr/>
        <w:t>Vn</w:t>
        <w:tab/>
        <w:t>es el volumen útil del depósito de </w:t>
      </w:r>
      <w:r>
        <w:rPr>
          <w:spacing w:val="-3"/>
        </w:rPr>
        <w:t>membrana; </w:t>
      </w:r>
      <w:r>
        <w:rPr/>
        <w:t>Pb</w:t>
        <w:tab/>
        <w:t>es la presión absoluta</w:t>
      </w:r>
      <w:r>
        <w:rPr>
          <w:spacing w:val="-4"/>
        </w:rPr>
        <w:t> </w:t>
      </w:r>
      <w:r>
        <w:rPr/>
        <w:t>mínima;</w:t>
      </w:r>
    </w:p>
    <w:p>
      <w:pPr>
        <w:pStyle w:val="BodyText"/>
        <w:tabs>
          <w:tab w:pos="1352" w:val="left" w:leader="none"/>
        </w:tabs>
        <w:spacing w:line="302" w:lineRule="auto"/>
        <w:ind w:left="698" w:right="5830"/>
      </w:pPr>
      <w:r>
        <w:rPr/>
        <w:t>Va</w:t>
        <w:tab/>
        <w:t>es el volumen mínimo de </w:t>
      </w:r>
      <w:r>
        <w:rPr>
          <w:spacing w:val="-3"/>
        </w:rPr>
        <w:t>agua; </w:t>
      </w:r>
      <w:r>
        <w:rPr/>
        <w:t>Pa</w:t>
        <w:tab/>
        <w:t>es la presión absoluta</w:t>
      </w:r>
      <w:r>
        <w:rPr>
          <w:spacing w:val="-3"/>
        </w:rPr>
        <w:t> </w:t>
      </w:r>
      <w:r>
        <w:rPr/>
        <w:t>máxima.</w:t>
      </w:r>
    </w:p>
    <w:p>
      <w:pPr>
        <w:pStyle w:val="ListParagraph"/>
        <w:numPr>
          <w:ilvl w:val="2"/>
          <w:numId w:val="177"/>
        </w:numPr>
        <w:tabs>
          <w:tab w:pos="842" w:val="left" w:leader="none"/>
        </w:tabs>
        <w:spacing w:line="240" w:lineRule="auto" w:before="142" w:after="0"/>
        <w:ind w:left="841" w:right="0" w:hanging="624"/>
        <w:jc w:val="left"/>
        <w:rPr>
          <w:b/>
          <w:sz w:val="20"/>
        </w:rPr>
      </w:pPr>
      <w:r>
        <w:rPr>
          <w:b/>
          <w:sz w:val="20"/>
        </w:rPr>
        <w:t>Cálculo del </w:t>
      </w:r>
      <w:r>
        <w:rPr>
          <w:b/>
          <w:i/>
          <w:sz w:val="20"/>
        </w:rPr>
        <w:t>diámetro nominal </w:t>
      </w:r>
      <w:r>
        <w:rPr>
          <w:b/>
          <w:sz w:val="20"/>
        </w:rPr>
        <w:t>del reductor de</w:t>
      </w:r>
      <w:r>
        <w:rPr>
          <w:b/>
          <w:spacing w:val="-5"/>
          <w:sz w:val="20"/>
        </w:rPr>
        <w:t> </w:t>
      </w:r>
      <w:r>
        <w:rPr>
          <w:b/>
          <w:sz w:val="20"/>
        </w:rPr>
        <w:t>presión</w:t>
      </w:r>
    </w:p>
    <w:p>
      <w:pPr>
        <w:pStyle w:val="ListParagraph"/>
        <w:numPr>
          <w:ilvl w:val="0"/>
          <w:numId w:val="187"/>
        </w:numPr>
        <w:tabs>
          <w:tab w:pos="672" w:val="left" w:leader="none"/>
          <w:tab w:pos="673" w:val="left" w:leader="none"/>
        </w:tabs>
        <w:spacing w:line="240" w:lineRule="auto" w:before="99" w:after="0"/>
        <w:ind w:left="672" w:right="395" w:hanging="454"/>
        <w:jc w:val="left"/>
        <w:rPr>
          <w:sz w:val="20"/>
        </w:rPr>
      </w:pPr>
      <w:r>
        <w:rPr>
          <w:sz w:val="20"/>
        </w:rPr>
        <w:t>El </w:t>
      </w:r>
      <w:r>
        <w:rPr>
          <w:i/>
          <w:sz w:val="20"/>
        </w:rPr>
        <w:t>diámetro nominal </w:t>
      </w:r>
      <w:r>
        <w:rPr>
          <w:sz w:val="20"/>
        </w:rPr>
        <w:t>se establecerá aplicando los valores especificados en la tabla 4.5 en función del caudal máximo</w:t>
      </w:r>
      <w:r>
        <w:rPr>
          <w:spacing w:val="-1"/>
          <w:sz w:val="20"/>
        </w:rPr>
        <w:t> </w:t>
      </w:r>
      <w:r>
        <w:rPr>
          <w:sz w:val="20"/>
        </w:rPr>
        <w:t>simultáneo:</w:t>
      </w:r>
    </w:p>
    <w:p>
      <w:pPr>
        <w:pStyle w:val="Heading5"/>
        <w:spacing w:before="61"/>
        <w:ind w:left="1033"/>
      </w:pPr>
      <w:r>
        <w:rPr/>
        <w:t>Tabla 4.5 Valores del diámetro nominal en función del caudal máximo simultáneo</w:t>
      </w:r>
    </w:p>
    <w:tbl>
      <w:tblPr>
        <w:tblW w:w="0" w:type="auto"/>
        <w:jc w:val="left"/>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7"/>
        <w:gridCol w:w="2969"/>
        <w:gridCol w:w="3024"/>
      </w:tblGrid>
      <w:tr>
        <w:trPr>
          <w:trHeight w:val="195" w:hRule="atLeast"/>
        </w:trPr>
        <w:tc>
          <w:tcPr>
            <w:tcW w:w="2967" w:type="dxa"/>
            <w:vMerge w:val="restart"/>
            <w:tcBorders>
              <w:top w:val="single" w:sz="4" w:space="0" w:color="000000"/>
              <w:bottom w:val="single" w:sz="4" w:space="0" w:color="000000"/>
              <w:right w:val="single" w:sz="4" w:space="0" w:color="000000"/>
            </w:tcBorders>
          </w:tcPr>
          <w:p>
            <w:pPr>
              <w:pStyle w:val="TableParagraph"/>
              <w:spacing w:before="119"/>
              <w:ind w:left="813"/>
              <w:jc w:val="left"/>
              <w:rPr>
                <w:b/>
                <w:i/>
                <w:sz w:val="16"/>
              </w:rPr>
            </w:pPr>
            <w:r>
              <w:rPr>
                <w:b/>
                <w:i/>
                <w:sz w:val="16"/>
              </w:rPr>
              <w:t>Diámetro nominal</w:t>
            </w:r>
          </w:p>
        </w:tc>
        <w:tc>
          <w:tcPr>
            <w:tcW w:w="5993" w:type="dxa"/>
            <w:gridSpan w:val="2"/>
            <w:tcBorders>
              <w:top w:val="single" w:sz="4" w:space="0" w:color="000000"/>
              <w:left w:val="single" w:sz="4" w:space="0" w:color="000000"/>
            </w:tcBorders>
          </w:tcPr>
          <w:p>
            <w:pPr>
              <w:pStyle w:val="TableParagraph"/>
              <w:spacing w:line="181" w:lineRule="exact"/>
              <w:ind w:left="1955"/>
              <w:jc w:val="left"/>
              <w:rPr>
                <w:b/>
                <w:sz w:val="16"/>
              </w:rPr>
            </w:pPr>
            <w:r>
              <w:rPr>
                <w:b/>
                <w:sz w:val="16"/>
              </w:rPr>
              <w:t>Caudal máximo simultáneo</w:t>
            </w:r>
          </w:p>
          <w:p>
            <w:pPr>
              <w:pStyle w:val="TableParagraph"/>
              <w:tabs>
                <w:tab w:pos="4285" w:val="left" w:leader="none"/>
              </w:tabs>
              <w:spacing w:line="65" w:lineRule="exact"/>
              <w:ind w:left="1242"/>
              <w:jc w:val="left"/>
              <w:rPr>
                <w:b/>
                <w:sz w:val="16"/>
              </w:rPr>
            </w:pPr>
            <w:r>
              <w:rPr>
                <w:b/>
                <w:sz w:val="16"/>
              </w:rPr>
              <w:t>dm</w:t>
            </w:r>
            <w:r>
              <w:rPr>
                <w:b/>
                <w:sz w:val="16"/>
                <w:vertAlign w:val="superscript"/>
              </w:rPr>
              <w:t>3</w:t>
            </w:r>
            <w:r>
              <w:rPr>
                <w:b/>
                <w:sz w:val="16"/>
                <w:vertAlign w:val="baseline"/>
              </w:rPr>
              <w:t>/s</w:t>
              <w:tab/>
              <w:t>m</w:t>
            </w:r>
            <w:r>
              <w:rPr>
                <w:b/>
                <w:sz w:val="16"/>
                <w:vertAlign w:val="superscript"/>
              </w:rPr>
              <w:t>3</w:t>
            </w:r>
            <w:r>
              <w:rPr>
                <w:b/>
                <w:sz w:val="16"/>
                <w:vertAlign w:val="baseline"/>
              </w:rPr>
              <w:t>/h</w:t>
            </w:r>
          </w:p>
        </w:tc>
      </w:tr>
      <w:tr>
        <w:trPr>
          <w:trHeight w:val="231" w:hRule="atLeast"/>
        </w:trPr>
        <w:tc>
          <w:tcPr>
            <w:tcW w:w="2967" w:type="dxa"/>
            <w:vMerge/>
            <w:tcBorders>
              <w:top w:val="nil"/>
              <w:bottom w:val="single" w:sz="4" w:space="0" w:color="000000"/>
              <w:right w:val="single" w:sz="4" w:space="0" w:color="000000"/>
            </w:tcBorders>
          </w:tcPr>
          <w:p>
            <w:pPr>
              <w:rPr>
                <w:sz w:val="2"/>
                <w:szCs w:val="2"/>
              </w:rPr>
            </w:pPr>
          </w:p>
        </w:tc>
        <w:tc>
          <w:tcPr>
            <w:tcW w:w="2969" w:type="dxa"/>
            <w:tcBorders>
              <w:left w:val="single" w:sz="4" w:space="0" w:color="000000"/>
              <w:bottom w:val="single" w:sz="4" w:space="0" w:color="000000"/>
            </w:tcBorders>
          </w:tcPr>
          <w:p>
            <w:pPr>
              <w:pStyle w:val="TableParagraph"/>
              <w:jc w:val="left"/>
              <w:rPr>
                <w:rFonts w:ascii="Times New Roman"/>
                <w:sz w:val="16"/>
              </w:rPr>
            </w:pPr>
          </w:p>
        </w:tc>
        <w:tc>
          <w:tcPr>
            <w:tcW w:w="3024" w:type="dxa"/>
            <w:tcBorders>
              <w:bottom w:val="single" w:sz="4" w:space="0" w:color="000000"/>
            </w:tcBorders>
          </w:tcPr>
          <w:p>
            <w:pPr>
              <w:pStyle w:val="TableParagraph"/>
              <w:jc w:val="left"/>
              <w:rPr>
                <w:rFonts w:ascii="Times New Roman"/>
                <w:sz w:val="16"/>
              </w:rPr>
            </w:pPr>
          </w:p>
        </w:tc>
      </w:tr>
      <w:tr>
        <w:trPr>
          <w:trHeight w:val="213" w:hRule="atLeast"/>
        </w:trPr>
        <w:tc>
          <w:tcPr>
            <w:tcW w:w="2967" w:type="dxa"/>
            <w:tcBorders>
              <w:top w:val="single" w:sz="4" w:space="0" w:color="000000"/>
              <w:right w:val="single" w:sz="4" w:space="0" w:color="000000"/>
            </w:tcBorders>
          </w:tcPr>
          <w:p>
            <w:pPr>
              <w:pStyle w:val="TableParagraph"/>
              <w:spacing w:line="181" w:lineRule="exact"/>
              <w:ind w:left="1400"/>
              <w:jc w:val="left"/>
              <w:rPr>
                <w:sz w:val="16"/>
              </w:rPr>
            </w:pPr>
            <w:r>
              <w:rPr>
                <w:sz w:val="16"/>
              </w:rPr>
              <w:t>15</w:t>
            </w:r>
          </w:p>
        </w:tc>
        <w:tc>
          <w:tcPr>
            <w:tcW w:w="2969" w:type="dxa"/>
            <w:tcBorders>
              <w:top w:val="single" w:sz="4" w:space="0" w:color="000000"/>
              <w:left w:val="single" w:sz="4" w:space="0" w:color="000000"/>
            </w:tcBorders>
          </w:tcPr>
          <w:p>
            <w:pPr>
              <w:pStyle w:val="TableParagraph"/>
              <w:spacing w:line="181" w:lineRule="exact"/>
              <w:ind w:right="1392"/>
              <w:jc w:val="right"/>
              <w:rPr>
                <w:sz w:val="16"/>
              </w:rPr>
            </w:pPr>
            <w:r>
              <w:rPr>
                <w:w w:val="95"/>
                <w:sz w:val="16"/>
              </w:rPr>
              <w:t>0,5</w:t>
            </w:r>
          </w:p>
        </w:tc>
        <w:tc>
          <w:tcPr>
            <w:tcW w:w="3024" w:type="dxa"/>
            <w:tcBorders>
              <w:top w:val="single" w:sz="4" w:space="0" w:color="000000"/>
            </w:tcBorders>
          </w:tcPr>
          <w:p>
            <w:pPr>
              <w:pStyle w:val="TableParagraph"/>
              <w:spacing w:line="181" w:lineRule="exact"/>
              <w:ind w:right="1419"/>
              <w:jc w:val="right"/>
              <w:rPr>
                <w:sz w:val="16"/>
              </w:rPr>
            </w:pPr>
            <w:r>
              <w:rPr>
                <w:w w:val="95"/>
                <w:sz w:val="16"/>
              </w:rPr>
              <w:t>1,8</w:t>
            </w:r>
          </w:p>
        </w:tc>
      </w:tr>
      <w:tr>
        <w:trPr>
          <w:trHeight w:val="244" w:hRule="atLeast"/>
        </w:trPr>
        <w:tc>
          <w:tcPr>
            <w:tcW w:w="2967" w:type="dxa"/>
            <w:tcBorders>
              <w:right w:val="single" w:sz="4" w:space="0" w:color="000000"/>
            </w:tcBorders>
          </w:tcPr>
          <w:p>
            <w:pPr>
              <w:pStyle w:val="TableParagraph"/>
              <w:spacing w:before="27"/>
              <w:ind w:left="1400"/>
              <w:jc w:val="left"/>
              <w:rPr>
                <w:sz w:val="16"/>
              </w:rPr>
            </w:pPr>
            <w:r>
              <w:rPr>
                <w:sz w:val="16"/>
              </w:rPr>
              <w:t>20</w:t>
            </w:r>
          </w:p>
        </w:tc>
        <w:tc>
          <w:tcPr>
            <w:tcW w:w="2969" w:type="dxa"/>
            <w:tcBorders>
              <w:left w:val="single" w:sz="4" w:space="0" w:color="000000"/>
            </w:tcBorders>
          </w:tcPr>
          <w:p>
            <w:pPr>
              <w:pStyle w:val="TableParagraph"/>
              <w:spacing w:before="27"/>
              <w:ind w:right="1392"/>
              <w:jc w:val="right"/>
              <w:rPr>
                <w:sz w:val="16"/>
              </w:rPr>
            </w:pPr>
            <w:r>
              <w:rPr>
                <w:w w:val="95"/>
                <w:sz w:val="16"/>
              </w:rPr>
              <w:t>0,8</w:t>
            </w:r>
          </w:p>
        </w:tc>
        <w:tc>
          <w:tcPr>
            <w:tcW w:w="3024" w:type="dxa"/>
          </w:tcPr>
          <w:p>
            <w:pPr>
              <w:pStyle w:val="TableParagraph"/>
              <w:spacing w:before="27"/>
              <w:ind w:right="1419"/>
              <w:jc w:val="right"/>
              <w:rPr>
                <w:sz w:val="16"/>
              </w:rPr>
            </w:pPr>
            <w:r>
              <w:rPr>
                <w:w w:val="95"/>
                <w:sz w:val="16"/>
              </w:rPr>
              <w:t>2,9</w:t>
            </w:r>
          </w:p>
        </w:tc>
      </w:tr>
      <w:tr>
        <w:trPr>
          <w:trHeight w:val="244" w:hRule="atLeast"/>
        </w:trPr>
        <w:tc>
          <w:tcPr>
            <w:tcW w:w="2967" w:type="dxa"/>
            <w:tcBorders>
              <w:right w:val="single" w:sz="4" w:space="0" w:color="000000"/>
            </w:tcBorders>
          </w:tcPr>
          <w:p>
            <w:pPr>
              <w:pStyle w:val="TableParagraph"/>
              <w:spacing w:before="27"/>
              <w:ind w:left="1400"/>
              <w:jc w:val="left"/>
              <w:rPr>
                <w:sz w:val="16"/>
              </w:rPr>
            </w:pPr>
            <w:r>
              <w:rPr>
                <w:sz w:val="16"/>
              </w:rPr>
              <w:t>25</w:t>
            </w:r>
          </w:p>
        </w:tc>
        <w:tc>
          <w:tcPr>
            <w:tcW w:w="2969" w:type="dxa"/>
            <w:tcBorders>
              <w:left w:val="single" w:sz="4" w:space="0" w:color="000000"/>
            </w:tcBorders>
          </w:tcPr>
          <w:p>
            <w:pPr>
              <w:pStyle w:val="TableParagraph"/>
              <w:spacing w:before="27"/>
              <w:ind w:right="1392"/>
              <w:jc w:val="right"/>
              <w:rPr>
                <w:sz w:val="16"/>
              </w:rPr>
            </w:pPr>
            <w:r>
              <w:rPr>
                <w:w w:val="95"/>
                <w:sz w:val="16"/>
              </w:rPr>
              <w:t>1,3</w:t>
            </w:r>
          </w:p>
        </w:tc>
        <w:tc>
          <w:tcPr>
            <w:tcW w:w="3024" w:type="dxa"/>
          </w:tcPr>
          <w:p>
            <w:pPr>
              <w:pStyle w:val="TableParagraph"/>
              <w:spacing w:before="27"/>
              <w:ind w:right="1419"/>
              <w:jc w:val="right"/>
              <w:rPr>
                <w:sz w:val="16"/>
              </w:rPr>
            </w:pPr>
            <w:r>
              <w:rPr>
                <w:w w:val="95"/>
                <w:sz w:val="16"/>
              </w:rPr>
              <w:t>4,7</w:t>
            </w:r>
          </w:p>
        </w:tc>
      </w:tr>
      <w:tr>
        <w:trPr>
          <w:trHeight w:val="243" w:hRule="atLeast"/>
        </w:trPr>
        <w:tc>
          <w:tcPr>
            <w:tcW w:w="2967" w:type="dxa"/>
            <w:tcBorders>
              <w:right w:val="single" w:sz="4" w:space="0" w:color="000000"/>
            </w:tcBorders>
          </w:tcPr>
          <w:p>
            <w:pPr>
              <w:pStyle w:val="TableParagraph"/>
              <w:spacing w:before="27"/>
              <w:ind w:left="1400"/>
              <w:jc w:val="left"/>
              <w:rPr>
                <w:sz w:val="16"/>
              </w:rPr>
            </w:pPr>
            <w:r>
              <w:rPr>
                <w:sz w:val="16"/>
              </w:rPr>
              <w:t>32</w:t>
            </w:r>
          </w:p>
        </w:tc>
        <w:tc>
          <w:tcPr>
            <w:tcW w:w="2969" w:type="dxa"/>
            <w:tcBorders>
              <w:left w:val="single" w:sz="4" w:space="0" w:color="000000"/>
            </w:tcBorders>
          </w:tcPr>
          <w:p>
            <w:pPr>
              <w:pStyle w:val="TableParagraph"/>
              <w:spacing w:before="27"/>
              <w:ind w:right="1392"/>
              <w:jc w:val="right"/>
              <w:rPr>
                <w:sz w:val="16"/>
              </w:rPr>
            </w:pPr>
            <w:r>
              <w:rPr>
                <w:w w:val="95"/>
                <w:sz w:val="16"/>
              </w:rPr>
              <w:t>2,0</w:t>
            </w:r>
          </w:p>
        </w:tc>
        <w:tc>
          <w:tcPr>
            <w:tcW w:w="3024" w:type="dxa"/>
          </w:tcPr>
          <w:p>
            <w:pPr>
              <w:pStyle w:val="TableParagraph"/>
              <w:spacing w:before="27"/>
              <w:ind w:right="1419"/>
              <w:jc w:val="right"/>
              <w:rPr>
                <w:sz w:val="16"/>
              </w:rPr>
            </w:pPr>
            <w:r>
              <w:rPr>
                <w:w w:val="95"/>
                <w:sz w:val="16"/>
              </w:rPr>
              <w:t>7,2</w:t>
            </w:r>
          </w:p>
        </w:tc>
      </w:tr>
      <w:tr>
        <w:trPr>
          <w:trHeight w:val="244" w:hRule="atLeast"/>
        </w:trPr>
        <w:tc>
          <w:tcPr>
            <w:tcW w:w="2967" w:type="dxa"/>
            <w:tcBorders>
              <w:right w:val="single" w:sz="4" w:space="0" w:color="000000"/>
            </w:tcBorders>
          </w:tcPr>
          <w:p>
            <w:pPr>
              <w:pStyle w:val="TableParagraph"/>
              <w:spacing w:before="27"/>
              <w:ind w:left="1400"/>
              <w:jc w:val="left"/>
              <w:rPr>
                <w:sz w:val="16"/>
              </w:rPr>
            </w:pPr>
            <w:r>
              <w:rPr>
                <w:sz w:val="16"/>
              </w:rPr>
              <w:t>40</w:t>
            </w:r>
          </w:p>
        </w:tc>
        <w:tc>
          <w:tcPr>
            <w:tcW w:w="2969" w:type="dxa"/>
            <w:tcBorders>
              <w:left w:val="single" w:sz="4" w:space="0" w:color="000000"/>
            </w:tcBorders>
          </w:tcPr>
          <w:p>
            <w:pPr>
              <w:pStyle w:val="TableParagraph"/>
              <w:spacing w:before="27"/>
              <w:ind w:right="1392"/>
              <w:jc w:val="right"/>
              <w:rPr>
                <w:sz w:val="16"/>
              </w:rPr>
            </w:pPr>
            <w:r>
              <w:rPr>
                <w:w w:val="95"/>
                <w:sz w:val="16"/>
              </w:rPr>
              <w:t>2,3</w:t>
            </w:r>
          </w:p>
        </w:tc>
        <w:tc>
          <w:tcPr>
            <w:tcW w:w="3024" w:type="dxa"/>
          </w:tcPr>
          <w:p>
            <w:pPr>
              <w:pStyle w:val="TableParagraph"/>
              <w:spacing w:before="27"/>
              <w:ind w:right="1419"/>
              <w:jc w:val="right"/>
              <w:rPr>
                <w:sz w:val="16"/>
              </w:rPr>
            </w:pPr>
            <w:r>
              <w:rPr>
                <w:w w:val="95"/>
                <w:sz w:val="16"/>
              </w:rPr>
              <w:t>8,3</w:t>
            </w:r>
          </w:p>
        </w:tc>
      </w:tr>
      <w:tr>
        <w:trPr>
          <w:trHeight w:val="244" w:hRule="atLeast"/>
        </w:trPr>
        <w:tc>
          <w:tcPr>
            <w:tcW w:w="2967" w:type="dxa"/>
            <w:tcBorders>
              <w:right w:val="single" w:sz="4" w:space="0" w:color="000000"/>
            </w:tcBorders>
          </w:tcPr>
          <w:p>
            <w:pPr>
              <w:pStyle w:val="TableParagraph"/>
              <w:spacing w:before="27"/>
              <w:ind w:left="1400"/>
              <w:jc w:val="left"/>
              <w:rPr>
                <w:sz w:val="16"/>
              </w:rPr>
            </w:pPr>
            <w:r>
              <w:rPr>
                <w:sz w:val="16"/>
              </w:rPr>
              <w:t>50</w:t>
            </w:r>
          </w:p>
        </w:tc>
        <w:tc>
          <w:tcPr>
            <w:tcW w:w="2969" w:type="dxa"/>
            <w:tcBorders>
              <w:left w:val="single" w:sz="4" w:space="0" w:color="000000"/>
            </w:tcBorders>
          </w:tcPr>
          <w:p>
            <w:pPr>
              <w:pStyle w:val="TableParagraph"/>
              <w:spacing w:before="27"/>
              <w:ind w:right="1392"/>
              <w:jc w:val="right"/>
              <w:rPr>
                <w:sz w:val="16"/>
              </w:rPr>
            </w:pPr>
            <w:r>
              <w:rPr>
                <w:w w:val="95"/>
                <w:sz w:val="16"/>
              </w:rPr>
              <w:t>3,6</w:t>
            </w:r>
          </w:p>
        </w:tc>
        <w:tc>
          <w:tcPr>
            <w:tcW w:w="3024" w:type="dxa"/>
          </w:tcPr>
          <w:p>
            <w:pPr>
              <w:pStyle w:val="TableParagraph"/>
              <w:spacing w:before="27"/>
              <w:ind w:right="1375"/>
              <w:jc w:val="right"/>
              <w:rPr>
                <w:sz w:val="16"/>
              </w:rPr>
            </w:pPr>
            <w:r>
              <w:rPr>
                <w:w w:val="95"/>
                <w:sz w:val="16"/>
              </w:rPr>
              <w:t>13,0</w:t>
            </w:r>
          </w:p>
        </w:tc>
      </w:tr>
      <w:tr>
        <w:trPr>
          <w:trHeight w:val="243" w:hRule="atLeast"/>
        </w:trPr>
        <w:tc>
          <w:tcPr>
            <w:tcW w:w="2967" w:type="dxa"/>
            <w:tcBorders>
              <w:right w:val="single" w:sz="4" w:space="0" w:color="000000"/>
            </w:tcBorders>
          </w:tcPr>
          <w:p>
            <w:pPr>
              <w:pStyle w:val="TableParagraph"/>
              <w:spacing w:before="27"/>
              <w:ind w:left="1400"/>
              <w:jc w:val="left"/>
              <w:rPr>
                <w:sz w:val="16"/>
              </w:rPr>
            </w:pPr>
            <w:r>
              <w:rPr>
                <w:sz w:val="16"/>
              </w:rPr>
              <w:t>65</w:t>
            </w:r>
          </w:p>
        </w:tc>
        <w:tc>
          <w:tcPr>
            <w:tcW w:w="2969" w:type="dxa"/>
            <w:tcBorders>
              <w:left w:val="single" w:sz="4" w:space="0" w:color="000000"/>
            </w:tcBorders>
          </w:tcPr>
          <w:p>
            <w:pPr>
              <w:pStyle w:val="TableParagraph"/>
              <w:spacing w:before="27"/>
              <w:ind w:right="1392"/>
              <w:jc w:val="right"/>
              <w:rPr>
                <w:sz w:val="16"/>
              </w:rPr>
            </w:pPr>
            <w:r>
              <w:rPr>
                <w:w w:val="95"/>
                <w:sz w:val="16"/>
              </w:rPr>
              <w:t>6,5</w:t>
            </w:r>
          </w:p>
        </w:tc>
        <w:tc>
          <w:tcPr>
            <w:tcW w:w="3024" w:type="dxa"/>
          </w:tcPr>
          <w:p>
            <w:pPr>
              <w:pStyle w:val="TableParagraph"/>
              <w:spacing w:before="27"/>
              <w:ind w:right="1375"/>
              <w:jc w:val="right"/>
              <w:rPr>
                <w:sz w:val="16"/>
              </w:rPr>
            </w:pPr>
            <w:r>
              <w:rPr>
                <w:w w:val="95"/>
                <w:sz w:val="16"/>
              </w:rPr>
              <w:t>23,0</w:t>
            </w:r>
          </w:p>
        </w:tc>
      </w:tr>
      <w:tr>
        <w:trPr>
          <w:trHeight w:val="244" w:hRule="atLeast"/>
        </w:trPr>
        <w:tc>
          <w:tcPr>
            <w:tcW w:w="2967" w:type="dxa"/>
            <w:tcBorders>
              <w:right w:val="single" w:sz="4" w:space="0" w:color="000000"/>
            </w:tcBorders>
          </w:tcPr>
          <w:p>
            <w:pPr>
              <w:pStyle w:val="TableParagraph"/>
              <w:spacing w:before="27"/>
              <w:ind w:left="1400"/>
              <w:jc w:val="left"/>
              <w:rPr>
                <w:sz w:val="16"/>
              </w:rPr>
            </w:pPr>
            <w:r>
              <w:rPr>
                <w:sz w:val="16"/>
              </w:rPr>
              <w:t>80</w:t>
            </w:r>
          </w:p>
        </w:tc>
        <w:tc>
          <w:tcPr>
            <w:tcW w:w="2969" w:type="dxa"/>
            <w:tcBorders>
              <w:left w:val="single" w:sz="4" w:space="0" w:color="000000"/>
            </w:tcBorders>
          </w:tcPr>
          <w:p>
            <w:pPr>
              <w:pStyle w:val="TableParagraph"/>
              <w:spacing w:before="27"/>
              <w:ind w:right="1392"/>
              <w:jc w:val="right"/>
              <w:rPr>
                <w:sz w:val="16"/>
              </w:rPr>
            </w:pPr>
            <w:r>
              <w:rPr>
                <w:w w:val="95"/>
                <w:sz w:val="16"/>
              </w:rPr>
              <w:t>9,0</w:t>
            </w:r>
          </w:p>
        </w:tc>
        <w:tc>
          <w:tcPr>
            <w:tcW w:w="3024" w:type="dxa"/>
          </w:tcPr>
          <w:p>
            <w:pPr>
              <w:pStyle w:val="TableParagraph"/>
              <w:spacing w:before="27"/>
              <w:ind w:right="1375"/>
              <w:jc w:val="right"/>
              <w:rPr>
                <w:sz w:val="16"/>
              </w:rPr>
            </w:pPr>
            <w:r>
              <w:rPr>
                <w:w w:val="95"/>
                <w:sz w:val="16"/>
              </w:rPr>
              <w:t>32,0</w:t>
            </w:r>
          </w:p>
        </w:tc>
      </w:tr>
      <w:tr>
        <w:trPr>
          <w:trHeight w:val="244" w:hRule="atLeast"/>
        </w:trPr>
        <w:tc>
          <w:tcPr>
            <w:tcW w:w="2967" w:type="dxa"/>
            <w:tcBorders>
              <w:right w:val="single" w:sz="4" w:space="0" w:color="000000"/>
            </w:tcBorders>
          </w:tcPr>
          <w:p>
            <w:pPr>
              <w:pStyle w:val="TableParagraph"/>
              <w:spacing w:before="27"/>
              <w:ind w:left="1356"/>
              <w:jc w:val="left"/>
              <w:rPr>
                <w:sz w:val="16"/>
              </w:rPr>
            </w:pPr>
            <w:r>
              <w:rPr>
                <w:sz w:val="16"/>
              </w:rPr>
              <w:t>100</w:t>
            </w:r>
          </w:p>
        </w:tc>
        <w:tc>
          <w:tcPr>
            <w:tcW w:w="2969" w:type="dxa"/>
            <w:tcBorders>
              <w:left w:val="single" w:sz="4" w:space="0" w:color="000000"/>
            </w:tcBorders>
          </w:tcPr>
          <w:p>
            <w:pPr>
              <w:pStyle w:val="TableParagraph"/>
              <w:spacing w:before="27"/>
              <w:ind w:right="1348"/>
              <w:jc w:val="right"/>
              <w:rPr>
                <w:sz w:val="16"/>
              </w:rPr>
            </w:pPr>
            <w:r>
              <w:rPr>
                <w:w w:val="95"/>
                <w:sz w:val="16"/>
              </w:rPr>
              <w:t>12,5</w:t>
            </w:r>
          </w:p>
        </w:tc>
        <w:tc>
          <w:tcPr>
            <w:tcW w:w="3024" w:type="dxa"/>
          </w:tcPr>
          <w:p>
            <w:pPr>
              <w:pStyle w:val="TableParagraph"/>
              <w:spacing w:before="27"/>
              <w:ind w:right="1375"/>
              <w:jc w:val="right"/>
              <w:rPr>
                <w:sz w:val="16"/>
              </w:rPr>
            </w:pPr>
            <w:r>
              <w:rPr>
                <w:w w:val="95"/>
                <w:sz w:val="16"/>
              </w:rPr>
              <w:t>45,0</w:t>
            </w:r>
          </w:p>
        </w:tc>
      </w:tr>
      <w:tr>
        <w:trPr>
          <w:trHeight w:val="243" w:hRule="atLeast"/>
        </w:trPr>
        <w:tc>
          <w:tcPr>
            <w:tcW w:w="2967" w:type="dxa"/>
            <w:tcBorders>
              <w:right w:val="single" w:sz="4" w:space="0" w:color="000000"/>
            </w:tcBorders>
          </w:tcPr>
          <w:p>
            <w:pPr>
              <w:pStyle w:val="TableParagraph"/>
              <w:spacing w:before="27"/>
              <w:ind w:left="1356"/>
              <w:jc w:val="left"/>
              <w:rPr>
                <w:sz w:val="16"/>
              </w:rPr>
            </w:pPr>
            <w:r>
              <w:rPr>
                <w:sz w:val="16"/>
              </w:rPr>
              <w:t>125</w:t>
            </w:r>
          </w:p>
        </w:tc>
        <w:tc>
          <w:tcPr>
            <w:tcW w:w="2969" w:type="dxa"/>
            <w:tcBorders>
              <w:left w:val="single" w:sz="4" w:space="0" w:color="000000"/>
            </w:tcBorders>
          </w:tcPr>
          <w:p>
            <w:pPr>
              <w:pStyle w:val="TableParagraph"/>
              <w:spacing w:before="27"/>
              <w:ind w:right="1348"/>
              <w:jc w:val="right"/>
              <w:rPr>
                <w:sz w:val="16"/>
              </w:rPr>
            </w:pPr>
            <w:r>
              <w:rPr>
                <w:w w:val="95"/>
                <w:sz w:val="16"/>
              </w:rPr>
              <w:t>17,5</w:t>
            </w:r>
          </w:p>
        </w:tc>
        <w:tc>
          <w:tcPr>
            <w:tcW w:w="3024" w:type="dxa"/>
          </w:tcPr>
          <w:p>
            <w:pPr>
              <w:pStyle w:val="TableParagraph"/>
              <w:spacing w:before="27"/>
              <w:ind w:right="1375"/>
              <w:jc w:val="right"/>
              <w:rPr>
                <w:sz w:val="16"/>
              </w:rPr>
            </w:pPr>
            <w:r>
              <w:rPr>
                <w:w w:val="95"/>
                <w:sz w:val="16"/>
              </w:rPr>
              <w:t>63,0</w:t>
            </w:r>
          </w:p>
        </w:tc>
      </w:tr>
      <w:tr>
        <w:trPr>
          <w:trHeight w:val="244" w:hRule="atLeast"/>
        </w:trPr>
        <w:tc>
          <w:tcPr>
            <w:tcW w:w="2967" w:type="dxa"/>
            <w:tcBorders>
              <w:right w:val="single" w:sz="4" w:space="0" w:color="000000"/>
            </w:tcBorders>
          </w:tcPr>
          <w:p>
            <w:pPr>
              <w:pStyle w:val="TableParagraph"/>
              <w:spacing w:before="27"/>
              <w:ind w:left="1356"/>
              <w:jc w:val="left"/>
              <w:rPr>
                <w:sz w:val="16"/>
              </w:rPr>
            </w:pPr>
            <w:r>
              <w:rPr>
                <w:sz w:val="16"/>
              </w:rPr>
              <w:t>150</w:t>
            </w:r>
          </w:p>
        </w:tc>
        <w:tc>
          <w:tcPr>
            <w:tcW w:w="2969" w:type="dxa"/>
            <w:tcBorders>
              <w:left w:val="single" w:sz="4" w:space="0" w:color="000000"/>
            </w:tcBorders>
          </w:tcPr>
          <w:p>
            <w:pPr>
              <w:pStyle w:val="TableParagraph"/>
              <w:spacing w:before="27"/>
              <w:ind w:right="1348"/>
              <w:jc w:val="right"/>
              <w:rPr>
                <w:sz w:val="16"/>
              </w:rPr>
            </w:pPr>
            <w:r>
              <w:rPr>
                <w:w w:val="95"/>
                <w:sz w:val="16"/>
              </w:rPr>
              <w:t>25,0</w:t>
            </w:r>
          </w:p>
        </w:tc>
        <w:tc>
          <w:tcPr>
            <w:tcW w:w="3024" w:type="dxa"/>
          </w:tcPr>
          <w:p>
            <w:pPr>
              <w:pStyle w:val="TableParagraph"/>
              <w:spacing w:before="27"/>
              <w:ind w:right="1375"/>
              <w:jc w:val="right"/>
              <w:rPr>
                <w:sz w:val="16"/>
              </w:rPr>
            </w:pPr>
            <w:r>
              <w:rPr>
                <w:w w:val="95"/>
                <w:sz w:val="16"/>
              </w:rPr>
              <w:t>90,0</w:t>
            </w:r>
          </w:p>
        </w:tc>
      </w:tr>
      <w:tr>
        <w:trPr>
          <w:trHeight w:val="244" w:hRule="atLeast"/>
        </w:trPr>
        <w:tc>
          <w:tcPr>
            <w:tcW w:w="2967" w:type="dxa"/>
            <w:tcBorders>
              <w:right w:val="single" w:sz="4" w:space="0" w:color="000000"/>
            </w:tcBorders>
          </w:tcPr>
          <w:p>
            <w:pPr>
              <w:pStyle w:val="TableParagraph"/>
              <w:spacing w:before="27"/>
              <w:ind w:left="1356"/>
              <w:jc w:val="left"/>
              <w:rPr>
                <w:sz w:val="16"/>
              </w:rPr>
            </w:pPr>
            <w:r>
              <w:rPr>
                <w:sz w:val="16"/>
              </w:rPr>
              <w:t>200</w:t>
            </w:r>
          </w:p>
        </w:tc>
        <w:tc>
          <w:tcPr>
            <w:tcW w:w="2969" w:type="dxa"/>
            <w:tcBorders>
              <w:left w:val="single" w:sz="4" w:space="0" w:color="000000"/>
            </w:tcBorders>
          </w:tcPr>
          <w:p>
            <w:pPr>
              <w:pStyle w:val="TableParagraph"/>
              <w:spacing w:before="27"/>
              <w:ind w:right="1348"/>
              <w:jc w:val="right"/>
              <w:rPr>
                <w:sz w:val="16"/>
              </w:rPr>
            </w:pPr>
            <w:r>
              <w:rPr>
                <w:w w:val="95"/>
                <w:sz w:val="16"/>
              </w:rPr>
              <w:t>40,0</w:t>
            </w:r>
          </w:p>
        </w:tc>
        <w:tc>
          <w:tcPr>
            <w:tcW w:w="3024" w:type="dxa"/>
          </w:tcPr>
          <w:p>
            <w:pPr>
              <w:pStyle w:val="TableParagraph"/>
              <w:spacing w:before="27"/>
              <w:ind w:right="1332"/>
              <w:jc w:val="right"/>
              <w:rPr>
                <w:sz w:val="16"/>
              </w:rPr>
            </w:pPr>
            <w:r>
              <w:rPr>
                <w:w w:val="95"/>
                <w:sz w:val="16"/>
              </w:rPr>
              <w:t>144,0</w:t>
            </w:r>
          </w:p>
        </w:tc>
      </w:tr>
      <w:tr>
        <w:trPr>
          <w:trHeight w:val="274" w:hRule="atLeast"/>
        </w:trPr>
        <w:tc>
          <w:tcPr>
            <w:tcW w:w="2967" w:type="dxa"/>
            <w:tcBorders>
              <w:bottom w:val="single" w:sz="4" w:space="0" w:color="000000"/>
              <w:right w:val="single" w:sz="4" w:space="0" w:color="000000"/>
            </w:tcBorders>
          </w:tcPr>
          <w:p>
            <w:pPr>
              <w:pStyle w:val="TableParagraph"/>
              <w:spacing w:before="27"/>
              <w:ind w:left="1356"/>
              <w:jc w:val="left"/>
              <w:rPr>
                <w:sz w:val="16"/>
              </w:rPr>
            </w:pPr>
            <w:r>
              <w:rPr>
                <w:sz w:val="16"/>
              </w:rPr>
              <w:t>250</w:t>
            </w:r>
          </w:p>
        </w:tc>
        <w:tc>
          <w:tcPr>
            <w:tcW w:w="2969" w:type="dxa"/>
            <w:tcBorders>
              <w:left w:val="single" w:sz="4" w:space="0" w:color="000000"/>
              <w:bottom w:val="single" w:sz="4" w:space="0" w:color="000000"/>
            </w:tcBorders>
          </w:tcPr>
          <w:p>
            <w:pPr>
              <w:pStyle w:val="TableParagraph"/>
              <w:spacing w:before="27"/>
              <w:ind w:right="1348"/>
              <w:jc w:val="right"/>
              <w:rPr>
                <w:sz w:val="16"/>
              </w:rPr>
            </w:pPr>
            <w:r>
              <w:rPr>
                <w:w w:val="95"/>
                <w:sz w:val="16"/>
              </w:rPr>
              <w:t>75,0</w:t>
            </w:r>
          </w:p>
        </w:tc>
        <w:tc>
          <w:tcPr>
            <w:tcW w:w="3024" w:type="dxa"/>
            <w:tcBorders>
              <w:bottom w:val="single" w:sz="4" w:space="0" w:color="000000"/>
            </w:tcBorders>
          </w:tcPr>
          <w:p>
            <w:pPr>
              <w:pStyle w:val="TableParagraph"/>
              <w:spacing w:before="27"/>
              <w:ind w:right="1332"/>
              <w:jc w:val="right"/>
              <w:rPr>
                <w:sz w:val="16"/>
              </w:rPr>
            </w:pPr>
            <w:r>
              <w:rPr>
                <w:w w:val="95"/>
                <w:sz w:val="16"/>
              </w:rPr>
              <w:t>270,0</w:t>
            </w:r>
          </w:p>
        </w:tc>
      </w:tr>
    </w:tbl>
    <w:p>
      <w:pPr>
        <w:pStyle w:val="BodyText"/>
        <w:spacing w:before="7"/>
        <w:rPr>
          <w:b/>
          <w:sz w:val="19"/>
        </w:rPr>
      </w:pPr>
    </w:p>
    <w:p>
      <w:pPr>
        <w:pStyle w:val="ListParagraph"/>
        <w:numPr>
          <w:ilvl w:val="0"/>
          <w:numId w:val="187"/>
        </w:numPr>
        <w:tabs>
          <w:tab w:pos="672" w:val="left" w:leader="none"/>
          <w:tab w:pos="673" w:val="left" w:leader="none"/>
        </w:tabs>
        <w:spacing w:line="240" w:lineRule="auto" w:before="1" w:after="0"/>
        <w:ind w:left="672" w:right="0" w:hanging="455"/>
        <w:jc w:val="left"/>
        <w:rPr>
          <w:sz w:val="20"/>
        </w:rPr>
      </w:pPr>
      <w:r>
        <w:rPr>
          <w:sz w:val="20"/>
        </w:rPr>
        <w:t>Nunca se calcularán en función del </w:t>
      </w:r>
      <w:r>
        <w:rPr>
          <w:i/>
          <w:sz w:val="20"/>
        </w:rPr>
        <w:t>diámetro nominal </w:t>
      </w:r>
      <w:r>
        <w:rPr>
          <w:sz w:val="20"/>
        </w:rPr>
        <w:t>de las</w:t>
      </w:r>
      <w:r>
        <w:rPr>
          <w:spacing w:val="-3"/>
          <w:sz w:val="20"/>
        </w:rPr>
        <w:t> </w:t>
      </w:r>
      <w:r>
        <w:rPr>
          <w:sz w:val="20"/>
        </w:rPr>
        <w:t>tuberías.</w:t>
      </w:r>
    </w:p>
    <w:p>
      <w:pPr>
        <w:pStyle w:val="BodyText"/>
        <w:spacing w:before="6"/>
        <w:rPr>
          <w:sz w:val="17"/>
        </w:rPr>
      </w:pPr>
    </w:p>
    <w:p>
      <w:pPr>
        <w:pStyle w:val="Heading5"/>
        <w:numPr>
          <w:ilvl w:val="2"/>
          <w:numId w:val="177"/>
        </w:numPr>
        <w:tabs>
          <w:tab w:pos="787" w:val="left" w:leader="none"/>
        </w:tabs>
        <w:spacing w:line="240" w:lineRule="auto" w:before="0" w:after="0"/>
        <w:ind w:left="786" w:right="0" w:hanging="569"/>
        <w:jc w:val="left"/>
      </w:pPr>
      <w:r>
        <w:rPr/>
        <w:t>Dimensionado de los sistemas y equipos de tratamiento de</w:t>
      </w:r>
      <w:r>
        <w:rPr>
          <w:spacing w:val="-4"/>
        </w:rPr>
        <w:t> </w:t>
      </w:r>
      <w:r>
        <w:rPr/>
        <w:t>agua</w:t>
      </w:r>
    </w:p>
    <w:p>
      <w:pPr>
        <w:pStyle w:val="BodyText"/>
        <w:spacing w:before="4"/>
        <w:rPr>
          <w:b/>
          <w:sz w:val="17"/>
        </w:rPr>
      </w:pPr>
    </w:p>
    <w:p>
      <w:pPr>
        <w:pStyle w:val="ListParagraph"/>
        <w:numPr>
          <w:ilvl w:val="3"/>
          <w:numId w:val="177"/>
        </w:numPr>
        <w:tabs>
          <w:tab w:pos="949" w:val="left" w:leader="none"/>
        </w:tabs>
        <w:spacing w:line="240" w:lineRule="auto" w:before="0" w:after="0"/>
        <w:ind w:left="948" w:right="0" w:hanging="724"/>
        <w:jc w:val="both"/>
        <w:rPr>
          <w:b/>
          <w:sz w:val="20"/>
        </w:rPr>
      </w:pPr>
      <w:r>
        <w:rPr>
          <w:b/>
          <w:sz w:val="20"/>
        </w:rPr>
        <w:t>Determinación del tamaño de los aparatos</w:t>
      </w:r>
      <w:r>
        <w:rPr>
          <w:b/>
          <w:spacing w:val="-4"/>
          <w:sz w:val="20"/>
        </w:rPr>
        <w:t> </w:t>
      </w:r>
      <w:r>
        <w:rPr>
          <w:b/>
          <w:sz w:val="20"/>
        </w:rPr>
        <w:t>dosificadores</w:t>
      </w:r>
    </w:p>
    <w:p>
      <w:pPr>
        <w:pStyle w:val="ListParagraph"/>
        <w:numPr>
          <w:ilvl w:val="0"/>
          <w:numId w:val="188"/>
        </w:numPr>
        <w:tabs>
          <w:tab w:pos="673" w:val="left" w:leader="none"/>
        </w:tabs>
        <w:spacing w:line="240" w:lineRule="auto" w:before="99" w:after="0"/>
        <w:ind w:left="672" w:right="394" w:hanging="454"/>
        <w:jc w:val="both"/>
        <w:rPr>
          <w:sz w:val="20"/>
        </w:rPr>
      </w:pPr>
      <w:r>
        <w:rPr>
          <w:sz w:val="20"/>
        </w:rPr>
        <w:t>El tamaño apropiado del aparato se tomará en función del caudal punta en la instalación, así como del consumo mensual medio de agua previsto, o en su defecto se tomará como base un consumo de agua previsible de 60 m</w:t>
      </w:r>
      <w:r>
        <w:rPr>
          <w:sz w:val="20"/>
          <w:vertAlign w:val="superscript"/>
        </w:rPr>
        <w:t>3</w:t>
      </w:r>
      <w:r>
        <w:rPr>
          <w:sz w:val="20"/>
          <w:vertAlign w:val="baseline"/>
        </w:rPr>
        <w:t> en 6 meses, si se ha de tratar tanto el agua fría como el ACS, y de 30 m</w:t>
      </w:r>
      <w:r>
        <w:rPr>
          <w:sz w:val="20"/>
          <w:vertAlign w:val="superscript"/>
        </w:rPr>
        <w:t>3</w:t>
      </w:r>
      <w:r>
        <w:rPr>
          <w:sz w:val="20"/>
          <w:vertAlign w:val="baseline"/>
        </w:rPr>
        <w:t> en 6 meses si sólo ha de ser tratada el agua destinada a la elaboración de</w:t>
      </w:r>
      <w:r>
        <w:rPr>
          <w:spacing w:val="-8"/>
          <w:sz w:val="20"/>
          <w:vertAlign w:val="baseline"/>
        </w:rPr>
        <w:t> </w:t>
      </w:r>
      <w:r>
        <w:rPr>
          <w:sz w:val="20"/>
          <w:vertAlign w:val="baseline"/>
        </w:rPr>
        <w:t>ACS.</w:t>
      </w:r>
    </w:p>
    <w:p>
      <w:pPr>
        <w:pStyle w:val="ListParagraph"/>
        <w:numPr>
          <w:ilvl w:val="0"/>
          <w:numId w:val="188"/>
        </w:numPr>
        <w:tabs>
          <w:tab w:pos="673" w:val="left" w:leader="none"/>
        </w:tabs>
        <w:spacing w:line="240" w:lineRule="auto" w:before="59" w:after="0"/>
        <w:ind w:left="672" w:right="391" w:hanging="454"/>
        <w:jc w:val="both"/>
        <w:rPr>
          <w:sz w:val="20"/>
        </w:rPr>
      </w:pPr>
      <w:r>
        <w:rPr>
          <w:sz w:val="20"/>
        </w:rPr>
        <w:t>El límite de trabajo superior del aparato dosificador, en m</w:t>
      </w:r>
      <w:r>
        <w:rPr>
          <w:sz w:val="20"/>
          <w:vertAlign w:val="superscript"/>
        </w:rPr>
        <w:t>3</w:t>
      </w:r>
      <w:r>
        <w:rPr>
          <w:sz w:val="20"/>
          <w:vertAlign w:val="baseline"/>
        </w:rPr>
        <w:t>/h, debe corresponder como mínimo al caudal máximo simultáneo o caudal punta de la</w:t>
      </w:r>
      <w:r>
        <w:rPr>
          <w:spacing w:val="-3"/>
          <w:sz w:val="20"/>
          <w:vertAlign w:val="baseline"/>
        </w:rPr>
        <w:t> </w:t>
      </w:r>
      <w:r>
        <w:rPr>
          <w:sz w:val="20"/>
          <w:vertAlign w:val="baseline"/>
        </w:rPr>
        <w:t>instalación.</w:t>
      </w:r>
    </w:p>
    <w:p>
      <w:pPr>
        <w:pStyle w:val="ListParagraph"/>
        <w:numPr>
          <w:ilvl w:val="0"/>
          <w:numId w:val="188"/>
        </w:numPr>
        <w:tabs>
          <w:tab w:pos="673" w:val="left" w:leader="none"/>
        </w:tabs>
        <w:spacing w:line="240" w:lineRule="auto" w:before="61" w:after="0"/>
        <w:ind w:left="672" w:right="392" w:hanging="454"/>
        <w:jc w:val="both"/>
        <w:rPr>
          <w:sz w:val="20"/>
        </w:rPr>
      </w:pPr>
      <w:r>
        <w:rPr>
          <w:sz w:val="20"/>
        </w:rPr>
        <w:t>El volumen de dosificación por carga, en m</w:t>
      </w:r>
      <w:r>
        <w:rPr>
          <w:sz w:val="20"/>
          <w:vertAlign w:val="superscript"/>
        </w:rPr>
        <w:t>3</w:t>
      </w:r>
      <w:r>
        <w:rPr>
          <w:sz w:val="20"/>
          <w:vertAlign w:val="baseline"/>
        </w:rPr>
        <w:t>, no debe sobrepasar el consumo de agua previsto en 6 meses.</w:t>
      </w:r>
    </w:p>
    <w:p>
      <w:pPr>
        <w:pStyle w:val="BodyText"/>
        <w:spacing w:before="6"/>
        <w:rPr>
          <w:sz w:val="17"/>
        </w:rPr>
      </w:pPr>
    </w:p>
    <w:p>
      <w:pPr>
        <w:pStyle w:val="Heading5"/>
        <w:numPr>
          <w:ilvl w:val="3"/>
          <w:numId w:val="177"/>
        </w:numPr>
        <w:tabs>
          <w:tab w:pos="933" w:val="left" w:leader="none"/>
        </w:tabs>
        <w:spacing w:line="240" w:lineRule="auto" w:before="0" w:after="0"/>
        <w:ind w:left="932" w:right="0" w:hanging="708"/>
        <w:jc w:val="both"/>
      </w:pPr>
      <w:r>
        <w:rPr/>
        <w:t>Determinación del tamaño de los equipos de</w:t>
      </w:r>
      <w:r>
        <w:rPr>
          <w:spacing w:val="-3"/>
        </w:rPr>
        <w:t> </w:t>
      </w:r>
      <w:r>
        <w:rPr/>
        <w:t>descalcificación</w:t>
      </w:r>
    </w:p>
    <w:p>
      <w:pPr>
        <w:pStyle w:val="BodyText"/>
        <w:spacing w:before="99"/>
        <w:ind w:left="218"/>
        <w:jc w:val="both"/>
      </w:pPr>
      <w:r>
        <w:rPr/>
        <w:t>1 Se tomará como caudal mínimo 80 litros por persona y día.</w:t>
      </w:r>
    </w:p>
    <w:p>
      <w:pPr>
        <w:spacing w:after="0"/>
        <w:jc w:val="both"/>
        <w:sectPr>
          <w:pgSz w:w="11910" w:h="16840"/>
          <w:pgMar w:header="908" w:footer="636" w:top="1320" w:bottom="840" w:left="1200" w:right="740"/>
        </w:sectPr>
      </w:pPr>
    </w:p>
    <w:p>
      <w:pPr>
        <w:pStyle w:val="Heading2"/>
        <w:numPr>
          <w:ilvl w:val="0"/>
          <w:numId w:val="189"/>
        </w:numPr>
        <w:tabs>
          <w:tab w:pos="787" w:val="left" w:leader="none"/>
        </w:tabs>
        <w:spacing w:line="240" w:lineRule="auto" w:before="93" w:after="0"/>
        <w:ind w:left="786" w:right="0" w:hanging="569"/>
        <w:jc w:val="both"/>
      </w:pPr>
      <w:r>
        <w:rPr/>
        <w:t>Construcción</w:t>
      </w:r>
    </w:p>
    <w:p>
      <w:pPr>
        <w:pStyle w:val="BodyText"/>
        <w:spacing w:before="3"/>
        <w:rPr>
          <w:b/>
          <w:sz w:val="24"/>
        </w:rPr>
      </w:pPr>
    </w:p>
    <w:p>
      <w:pPr>
        <w:pStyle w:val="Heading3"/>
        <w:numPr>
          <w:ilvl w:val="1"/>
          <w:numId w:val="189"/>
        </w:numPr>
        <w:tabs>
          <w:tab w:pos="673" w:val="left" w:leader="none"/>
        </w:tabs>
        <w:spacing w:line="240" w:lineRule="auto" w:before="0" w:after="0"/>
        <w:ind w:left="672" w:right="0" w:hanging="455"/>
        <w:jc w:val="both"/>
      </w:pPr>
      <w:r>
        <w:rPr/>
        <w:t>Ejecución</w:t>
      </w:r>
    </w:p>
    <w:p>
      <w:pPr>
        <w:pStyle w:val="ListParagraph"/>
        <w:numPr>
          <w:ilvl w:val="0"/>
          <w:numId w:val="190"/>
        </w:numPr>
        <w:tabs>
          <w:tab w:pos="673" w:val="left" w:leader="none"/>
        </w:tabs>
        <w:spacing w:line="240" w:lineRule="auto" w:before="99" w:after="0"/>
        <w:ind w:left="672" w:right="389" w:hanging="454"/>
        <w:jc w:val="both"/>
        <w:rPr>
          <w:sz w:val="20"/>
        </w:rPr>
      </w:pPr>
      <w:r>
        <w:rPr>
          <w:sz w:val="20"/>
        </w:rPr>
        <w:t>La instalación de suministro de agua se ejecutará con sujeción al proyecto, a la legislación aplica- ble, a las normas de la buena construcción y a las instrucciones del director de obra y del director de la ejecución de la</w:t>
      </w:r>
      <w:r>
        <w:rPr>
          <w:spacing w:val="-1"/>
          <w:sz w:val="20"/>
        </w:rPr>
        <w:t> </w:t>
      </w:r>
      <w:r>
        <w:rPr>
          <w:sz w:val="20"/>
        </w:rPr>
        <w:t>obra.</w:t>
      </w:r>
    </w:p>
    <w:p>
      <w:pPr>
        <w:pStyle w:val="ListParagraph"/>
        <w:numPr>
          <w:ilvl w:val="0"/>
          <w:numId w:val="190"/>
        </w:numPr>
        <w:tabs>
          <w:tab w:pos="673" w:val="left" w:leader="none"/>
        </w:tabs>
        <w:spacing w:line="240" w:lineRule="auto" w:before="61" w:after="0"/>
        <w:ind w:left="672" w:right="392" w:hanging="454"/>
        <w:jc w:val="both"/>
        <w:rPr>
          <w:sz w:val="20"/>
        </w:rPr>
      </w:pPr>
      <w:r>
        <w:rPr>
          <w:sz w:val="20"/>
        </w:rPr>
        <w:t>Durante la ejecución e instalación de los materiales, accesorios y productos de construcción en la instalación interior, se utilizarán técnicas apropiadas para no empeorar el agua suministrada y en ningún caso incumplir los valores paramétricos establecidos en el anexo I del Real Decreto 140/2003.</w:t>
      </w:r>
    </w:p>
    <w:p>
      <w:pPr>
        <w:pStyle w:val="BodyText"/>
        <w:spacing w:before="5"/>
        <w:rPr>
          <w:sz w:val="17"/>
        </w:rPr>
      </w:pPr>
    </w:p>
    <w:p>
      <w:pPr>
        <w:pStyle w:val="Heading5"/>
        <w:numPr>
          <w:ilvl w:val="2"/>
          <w:numId w:val="189"/>
        </w:numPr>
        <w:tabs>
          <w:tab w:pos="787" w:val="left" w:leader="none"/>
        </w:tabs>
        <w:spacing w:line="240" w:lineRule="auto" w:before="0" w:after="0"/>
        <w:ind w:left="786" w:right="0" w:hanging="569"/>
        <w:jc w:val="both"/>
      </w:pPr>
      <w:r>
        <w:rPr/>
        <w:t>Ejecución de las redes de</w:t>
      </w:r>
      <w:r>
        <w:rPr>
          <w:spacing w:val="-2"/>
        </w:rPr>
        <w:t> </w:t>
      </w:r>
      <w:r>
        <w:rPr/>
        <w:t>tuberías</w:t>
      </w:r>
    </w:p>
    <w:p>
      <w:pPr>
        <w:pStyle w:val="BodyText"/>
        <w:spacing w:before="5"/>
        <w:rPr>
          <w:b/>
          <w:sz w:val="17"/>
        </w:rPr>
      </w:pPr>
    </w:p>
    <w:p>
      <w:pPr>
        <w:pStyle w:val="ListParagraph"/>
        <w:numPr>
          <w:ilvl w:val="3"/>
          <w:numId w:val="189"/>
        </w:numPr>
        <w:tabs>
          <w:tab w:pos="933" w:val="left" w:leader="none"/>
        </w:tabs>
        <w:spacing w:line="240" w:lineRule="auto" w:before="0" w:after="0"/>
        <w:ind w:left="932" w:right="0" w:hanging="708"/>
        <w:jc w:val="both"/>
        <w:rPr>
          <w:b/>
          <w:sz w:val="20"/>
        </w:rPr>
      </w:pPr>
      <w:r>
        <w:rPr>
          <w:b/>
          <w:sz w:val="20"/>
        </w:rPr>
        <w:t>Condiciones</w:t>
      </w:r>
      <w:r>
        <w:rPr>
          <w:b/>
          <w:spacing w:val="-1"/>
          <w:sz w:val="20"/>
        </w:rPr>
        <w:t> </w:t>
      </w:r>
      <w:r>
        <w:rPr>
          <w:b/>
          <w:sz w:val="20"/>
        </w:rPr>
        <w:t>generales</w:t>
      </w:r>
    </w:p>
    <w:p>
      <w:pPr>
        <w:pStyle w:val="ListParagraph"/>
        <w:numPr>
          <w:ilvl w:val="0"/>
          <w:numId w:val="191"/>
        </w:numPr>
        <w:tabs>
          <w:tab w:pos="673" w:val="left" w:leader="none"/>
        </w:tabs>
        <w:spacing w:line="240" w:lineRule="auto" w:before="98" w:after="0"/>
        <w:ind w:left="672" w:right="389" w:hanging="454"/>
        <w:jc w:val="both"/>
        <w:rPr>
          <w:sz w:val="20"/>
        </w:rPr>
      </w:pPr>
      <w:r>
        <w:rPr>
          <w:sz w:val="20"/>
        </w:rPr>
        <w:t>La ejecución de las redes de tuberías se realizará de manera que se consigan los objetivos previs- tos en el proyecto sin dañar o deteriorar al resto del edificio, conservando las características del agua de suministro respecto de su potabilidad, evitando ruidos molestos, procurando las condicio- nes necesarias para la mayor duración posible de la instalación así como las mejores condiciones para su mantenimiento y</w:t>
      </w:r>
      <w:r>
        <w:rPr>
          <w:spacing w:val="-5"/>
          <w:sz w:val="20"/>
        </w:rPr>
        <w:t> </w:t>
      </w:r>
      <w:r>
        <w:rPr>
          <w:sz w:val="20"/>
        </w:rPr>
        <w:t>conservación.</w:t>
      </w:r>
    </w:p>
    <w:p>
      <w:pPr>
        <w:pStyle w:val="ListParagraph"/>
        <w:numPr>
          <w:ilvl w:val="0"/>
          <w:numId w:val="191"/>
        </w:numPr>
        <w:tabs>
          <w:tab w:pos="673" w:val="left" w:leader="none"/>
        </w:tabs>
        <w:spacing w:line="240" w:lineRule="auto" w:before="60" w:after="0"/>
        <w:ind w:left="672" w:right="390" w:hanging="454"/>
        <w:jc w:val="both"/>
        <w:rPr>
          <w:sz w:val="20"/>
        </w:rPr>
      </w:pPr>
      <w:r>
        <w:rPr>
          <w:sz w:val="20"/>
        </w:rPr>
        <w:t>Las tuberías ocultas o empotradas discurrirán preferentemente por patinillos o cámaras de fábrica realizados al efecto o prefabricados, techos o suelos técnicos, muros cortina o tabiques técnicos. Si esto no fuera posible, por rozas realizadas en paramentos de espesor adecuado, no estando permi- tido su empotramiento en tabiques de ladrillo hueco sencillo. Cuando discurran por conductos, éstos estarán debidamente ventilados y contarán con un adecuado sistema de</w:t>
      </w:r>
      <w:r>
        <w:rPr>
          <w:spacing w:val="-6"/>
          <w:sz w:val="20"/>
        </w:rPr>
        <w:t> </w:t>
      </w:r>
      <w:r>
        <w:rPr>
          <w:sz w:val="20"/>
        </w:rPr>
        <w:t>vaciado.</w:t>
      </w:r>
    </w:p>
    <w:p>
      <w:pPr>
        <w:pStyle w:val="ListParagraph"/>
        <w:numPr>
          <w:ilvl w:val="0"/>
          <w:numId w:val="191"/>
        </w:numPr>
        <w:tabs>
          <w:tab w:pos="673" w:val="left" w:leader="none"/>
        </w:tabs>
        <w:spacing w:line="240" w:lineRule="auto" w:before="61" w:after="0"/>
        <w:ind w:left="672" w:right="395" w:hanging="454"/>
        <w:jc w:val="both"/>
        <w:rPr>
          <w:sz w:val="20"/>
        </w:rPr>
      </w:pPr>
      <w:r>
        <w:rPr>
          <w:sz w:val="20"/>
        </w:rPr>
        <w:t>El trazado de las tuberías vistas se efectuará en forma limpia y ordenada. Si estuvieran expuestas a cualquier tipo de deterioro por golpes o choques fortuitos, deben protegerse</w:t>
      </w:r>
      <w:r>
        <w:rPr>
          <w:spacing w:val="-8"/>
          <w:sz w:val="20"/>
        </w:rPr>
        <w:t> </w:t>
      </w:r>
      <w:r>
        <w:rPr>
          <w:sz w:val="20"/>
        </w:rPr>
        <w:t>adecuadamente.</w:t>
      </w:r>
    </w:p>
    <w:p>
      <w:pPr>
        <w:pStyle w:val="ListParagraph"/>
        <w:numPr>
          <w:ilvl w:val="0"/>
          <w:numId w:val="191"/>
        </w:numPr>
        <w:tabs>
          <w:tab w:pos="673" w:val="left" w:leader="none"/>
        </w:tabs>
        <w:spacing w:line="240" w:lineRule="auto" w:before="59" w:after="0"/>
        <w:ind w:left="672" w:right="390" w:hanging="454"/>
        <w:jc w:val="both"/>
        <w:rPr>
          <w:sz w:val="20"/>
        </w:rPr>
      </w:pPr>
      <w:r>
        <w:rPr>
          <w:sz w:val="20"/>
        </w:rPr>
        <w:t>La ejecución de redes enterradas atenderá preferentemente a la protección frente a fenómenos de corrosión, esfuerzos mecánicos y daños por la formación de hielo en su interior. Las conducciones no deben ser instaladas en contacto con el terreno, disponiendo siempre de un adecuado revesti- miento de protección. Si fuese preciso, además del revestimiento de protección, se procederá a rea- lizar una protección catódica, con ánodos de sacrificio y, si fuera el caso, con corriente</w:t>
      </w:r>
      <w:r>
        <w:rPr>
          <w:spacing w:val="-12"/>
          <w:sz w:val="20"/>
        </w:rPr>
        <w:t> </w:t>
      </w:r>
      <w:r>
        <w:rPr>
          <w:sz w:val="20"/>
        </w:rPr>
        <w:t>impresa.</w:t>
      </w:r>
    </w:p>
    <w:p>
      <w:pPr>
        <w:pStyle w:val="BodyText"/>
        <w:spacing w:before="6"/>
        <w:rPr>
          <w:sz w:val="17"/>
        </w:rPr>
      </w:pPr>
    </w:p>
    <w:p>
      <w:pPr>
        <w:pStyle w:val="Heading5"/>
        <w:numPr>
          <w:ilvl w:val="3"/>
          <w:numId w:val="189"/>
        </w:numPr>
        <w:tabs>
          <w:tab w:pos="949" w:val="left" w:leader="none"/>
        </w:tabs>
        <w:spacing w:line="240" w:lineRule="auto" w:before="0" w:after="0"/>
        <w:ind w:left="948" w:right="0" w:hanging="724"/>
        <w:jc w:val="both"/>
      </w:pPr>
      <w:r>
        <w:rPr/>
        <w:t>Uniones y</w:t>
      </w:r>
      <w:r>
        <w:rPr>
          <w:spacing w:val="-3"/>
        </w:rPr>
        <w:t> </w:t>
      </w:r>
      <w:r>
        <w:rPr/>
        <w:t>juntas</w:t>
      </w:r>
    </w:p>
    <w:p>
      <w:pPr>
        <w:pStyle w:val="ListParagraph"/>
        <w:numPr>
          <w:ilvl w:val="0"/>
          <w:numId w:val="192"/>
        </w:numPr>
        <w:tabs>
          <w:tab w:pos="673" w:val="left" w:leader="none"/>
        </w:tabs>
        <w:spacing w:line="240" w:lineRule="auto" w:before="99" w:after="0"/>
        <w:ind w:left="672" w:right="0" w:hanging="455"/>
        <w:jc w:val="both"/>
        <w:rPr>
          <w:sz w:val="20"/>
        </w:rPr>
      </w:pPr>
      <w:r>
        <w:rPr>
          <w:sz w:val="20"/>
        </w:rPr>
        <w:t>Las uniones de los tubos serán</w:t>
      </w:r>
      <w:r>
        <w:rPr>
          <w:spacing w:val="-5"/>
          <w:sz w:val="20"/>
        </w:rPr>
        <w:t> </w:t>
      </w:r>
      <w:r>
        <w:rPr>
          <w:sz w:val="20"/>
        </w:rPr>
        <w:t>estancas.</w:t>
      </w:r>
    </w:p>
    <w:p>
      <w:pPr>
        <w:pStyle w:val="ListParagraph"/>
        <w:numPr>
          <w:ilvl w:val="0"/>
          <w:numId w:val="192"/>
        </w:numPr>
        <w:tabs>
          <w:tab w:pos="673" w:val="left" w:leader="none"/>
        </w:tabs>
        <w:spacing w:line="240" w:lineRule="auto" w:before="61" w:after="0"/>
        <w:ind w:left="672" w:right="389" w:hanging="454"/>
        <w:jc w:val="both"/>
        <w:rPr>
          <w:sz w:val="20"/>
        </w:rPr>
      </w:pPr>
      <w:r>
        <w:rPr>
          <w:sz w:val="20"/>
        </w:rPr>
        <w:t>Las uniones de tubos resistirán adecuadamente la tracción, o bien la red la absorberá con el ade- cuado establecimiento de puntos fijos, y en tuberías enterradas mediante estribos y apoyos dis- puestos en curvas y</w:t>
      </w:r>
      <w:r>
        <w:rPr>
          <w:spacing w:val="-2"/>
          <w:sz w:val="20"/>
        </w:rPr>
        <w:t> </w:t>
      </w:r>
      <w:r>
        <w:rPr>
          <w:sz w:val="20"/>
        </w:rPr>
        <w:t>derivaciones.</w:t>
      </w:r>
    </w:p>
    <w:p>
      <w:pPr>
        <w:pStyle w:val="ListParagraph"/>
        <w:numPr>
          <w:ilvl w:val="0"/>
          <w:numId w:val="192"/>
        </w:numPr>
        <w:tabs>
          <w:tab w:pos="673" w:val="left" w:leader="none"/>
        </w:tabs>
        <w:spacing w:line="240" w:lineRule="auto" w:before="59" w:after="0"/>
        <w:ind w:left="672" w:right="389" w:hanging="454"/>
        <w:jc w:val="both"/>
        <w:rPr>
          <w:sz w:val="20"/>
        </w:rPr>
      </w:pPr>
      <w:r>
        <w:rPr>
          <w:sz w:val="20"/>
        </w:rPr>
        <w:t>En las uniones de tubos de acero galvanizado o zincado las roscas de los tubos serán del tipo cóni- co, de acuerdo a la norma UNE 10 242:1995. Los tubos sólo pueden soldarse si la protección inte- rior se puede restablecer o si puede aplicarse una nueva. Son admisibles las soldaduras fuertes, siempre que se sigan las instrucciones del fabricante. Los tubos no se podrán curvar salvo cuando se verifiquen los criterios de la norma UNE EN 10 240:1998. En las uniones tubo-accesorio se ob- servarán las indicaciones del</w:t>
      </w:r>
      <w:r>
        <w:rPr>
          <w:spacing w:val="-2"/>
          <w:sz w:val="20"/>
        </w:rPr>
        <w:t> </w:t>
      </w:r>
      <w:r>
        <w:rPr>
          <w:sz w:val="20"/>
        </w:rPr>
        <w:t>fabricante.</w:t>
      </w:r>
    </w:p>
    <w:p>
      <w:pPr>
        <w:pStyle w:val="ListParagraph"/>
        <w:numPr>
          <w:ilvl w:val="0"/>
          <w:numId w:val="192"/>
        </w:numPr>
        <w:tabs>
          <w:tab w:pos="673" w:val="left" w:leader="none"/>
        </w:tabs>
        <w:spacing w:line="240" w:lineRule="auto" w:before="60" w:after="0"/>
        <w:ind w:left="672" w:right="390" w:hanging="454"/>
        <w:jc w:val="both"/>
        <w:rPr>
          <w:sz w:val="20"/>
        </w:rPr>
      </w:pPr>
      <w:r>
        <w:rPr>
          <w:sz w:val="20"/>
        </w:rPr>
        <w:t>Las uniones de tubos de cobre se podrán realizar por medio de soldadura o por medio de mangui- tos mecánicos. La soldadura, por capilaridad, blanda o fuerte, se podrá realizar mediante manguitos para soldar por capilaridad o por enchufe soldado. Los manguitos mecánicos podrán ser de com- presión, de ajuste cónico y de</w:t>
      </w:r>
      <w:r>
        <w:rPr>
          <w:spacing w:val="-5"/>
          <w:sz w:val="20"/>
        </w:rPr>
        <w:t> </w:t>
      </w:r>
      <w:r>
        <w:rPr>
          <w:sz w:val="20"/>
        </w:rPr>
        <w:t>pestañas.</w:t>
      </w:r>
    </w:p>
    <w:p>
      <w:pPr>
        <w:pStyle w:val="ListParagraph"/>
        <w:numPr>
          <w:ilvl w:val="0"/>
          <w:numId w:val="192"/>
        </w:numPr>
        <w:tabs>
          <w:tab w:pos="673" w:val="left" w:leader="none"/>
        </w:tabs>
        <w:spacing w:line="240" w:lineRule="auto" w:before="60" w:after="0"/>
        <w:ind w:left="672" w:right="0" w:hanging="455"/>
        <w:jc w:val="both"/>
        <w:rPr>
          <w:sz w:val="20"/>
        </w:rPr>
      </w:pPr>
      <w:r>
        <w:rPr>
          <w:sz w:val="20"/>
        </w:rPr>
        <w:t>Las uniones de tubos de plástico se realizarán siguiendo las instrucciones del</w:t>
      </w:r>
      <w:r>
        <w:rPr>
          <w:spacing w:val="-5"/>
          <w:sz w:val="20"/>
        </w:rPr>
        <w:t> </w:t>
      </w:r>
      <w:r>
        <w:rPr>
          <w:sz w:val="20"/>
        </w:rPr>
        <w:t>fabricante.</w:t>
      </w:r>
    </w:p>
    <w:p>
      <w:pPr>
        <w:pStyle w:val="BodyText"/>
        <w:spacing w:before="6"/>
        <w:rPr>
          <w:sz w:val="17"/>
        </w:rPr>
      </w:pPr>
    </w:p>
    <w:p>
      <w:pPr>
        <w:pStyle w:val="Heading5"/>
        <w:numPr>
          <w:ilvl w:val="3"/>
          <w:numId w:val="189"/>
        </w:numPr>
        <w:tabs>
          <w:tab w:pos="933" w:val="left" w:leader="none"/>
        </w:tabs>
        <w:spacing w:line="240" w:lineRule="auto" w:before="1" w:after="0"/>
        <w:ind w:left="932" w:right="0" w:hanging="708"/>
        <w:jc w:val="both"/>
      </w:pPr>
      <w:r>
        <w:rPr/>
        <w:t>Protecciones</w:t>
      </w:r>
    </w:p>
    <w:p>
      <w:pPr>
        <w:pStyle w:val="BodyText"/>
        <w:spacing w:before="4"/>
        <w:rPr>
          <w:b/>
          <w:sz w:val="17"/>
        </w:rPr>
      </w:pPr>
    </w:p>
    <w:p>
      <w:pPr>
        <w:pStyle w:val="ListParagraph"/>
        <w:numPr>
          <w:ilvl w:val="4"/>
          <w:numId w:val="189"/>
        </w:numPr>
        <w:tabs>
          <w:tab w:pos="1155" w:val="left" w:leader="none"/>
        </w:tabs>
        <w:spacing w:line="240" w:lineRule="auto" w:before="0" w:after="0"/>
        <w:ind w:left="1154" w:right="0" w:hanging="882"/>
        <w:jc w:val="both"/>
        <w:rPr>
          <w:b/>
          <w:sz w:val="20"/>
        </w:rPr>
      </w:pPr>
      <w:r>
        <w:rPr>
          <w:b/>
          <w:sz w:val="20"/>
        </w:rPr>
        <w:t>Protección contra la</w:t>
      </w:r>
      <w:r>
        <w:rPr>
          <w:b/>
          <w:spacing w:val="-2"/>
          <w:sz w:val="20"/>
        </w:rPr>
        <w:t> </w:t>
      </w:r>
      <w:r>
        <w:rPr>
          <w:b/>
          <w:sz w:val="20"/>
        </w:rPr>
        <w:t>corrosión</w:t>
      </w:r>
    </w:p>
    <w:p>
      <w:pPr>
        <w:pStyle w:val="ListParagraph"/>
        <w:numPr>
          <w:ilvl w:val="0"/>
          <w:numId w:val="193"/>
        </w:numPr>
        <w:tabs>
          <w:tab w:pos="673" w:val="left" w:leader="none"/>
        </w:tabs>
        <w:spacing w:line="240" w:lineRule="auto" w:before="99" w:after="0"/>
        <w:ind w:left="672" w:right="389" w:hanging="454"/>
        <w:jc w:val="both"/>
        <w:rPr>
          <w:sz w:val="20"/>
        </w:rPr>
      </w:pPr>
      <w:r>
        <w:rPr>
          <w:sz w:val="20"/>
        </w:rPr>
        <w:t>Las tuberías metálicas se protegerán contra la agresión de todo tipo de morteros, del contacto con el agua en su superficie exterior y de la agresión del terreno mediante la interposición de un ele- mento separador de material adecuado e instalado de forma continua en todo el perímetro de los tubos</w:t>
      </w:r>
      <w:r>
        <w:rPr>
          <w:spacing w:val="8"/>
          <w:sz w:val="20"/>
        </w:rPr>
        <w:t> </w:t>
      </w:r>
      <w:r>
        <w:rPr>
          <w:sz w:val="20"/>
        </w:rPr>
        <w:t>y</w:t>
      </w:r>
      <w:r>
        <w:rPr>
          <w:spacing w:val="9"/>
          <w:sz w:val="20"/>
        </w:rPr>
        <w:t> </w:t>
      </w:r>
      <w:r>
        <w:rPr>
          <w:sz w:val="20"/>
        </w:rPr>
        <w:t>en</w:t>
      </w:r>
      <w:r>
        <w:rPr>
          <w:spacing w:val="9"/>
          <w:sz w:val="20"/>
        </w:rPr>
        <w:t> </w:t>
      </w:r>
      <w:r>
        <w:rPr>
          <w:sz w:val="20"/>
        </w:rPr>
        <w:t>toda</w:t>
      </w:r>
      <w:r>
        <w:rPr>
          <w:spacing w:val="9"/>
          <w:sz w:val="20"/>
        </w:rPr>
        <w:t> </w:t>
      </w:r>
      <w:r>
        <w:rPr>
          <w:sz w:val="20"/>
        </w:rPr>
        <w:t>su</w:t>
      </w:r>
      <w:r>
        <w:rPr>
          <w:spacing w:val="9"/>
          <w:sz w:val="20"/>
        </w:rPr>
        <w:t> </w:t>
      </w:r>
      <w:r>
        <w:rPr>
          <w:sz w:val="20"/>
        </w:rPr>
        <w:t>longitud,</w:t>
      </w:r>
      <w:r>
        <w:rPr>
          <w:spacing w:val="9"/>
          <w:sz w:val="20"/>
        </w:rPr>
        <w:t> </w:t>
      </w:r>
      <w:r>
        <w:rPr>
          <w:sz w:val="20"/>
        </w:rPr>
        <w:t>no</w:t>
      </w:r>
      <w:r>
        <w:rPr>
          <w:spacing w:val="9"/>
          <w:sz w:val="20"/>
        </w:rPr>
        <w:t> </w:t>
      </w:r>
      <w:r>
        <w:rPr>
          <w:sz w:val="20"/>
        </w:rPr>
        <w:t>dejando</w:t>
      </w:r>
      <w:r>
        <w:rPr>
          <w:spacing w:val="9"/>
          <w:sz w:val="20"/>
        </w:rPr>
        <w:t> </w:t>
      </w:r>
      <w:r>
        <w:rPr>
          <w:sz w:val="20"/>
        </w:rPr>
        <w:t>juntas</w:t>
      </w:r>
      <w:r>
        <w:rPr>
          <w:spacing w:val="10"/>
          <w:sz w:val="20"/>
        </w:rPr>
        <w:t> </w:t>
      </w:r>
      <w:r>
        <w:rPr>
          <w:sz w:val="20"/>
        </w:rPr>
        <w:t>de</w:t>
      </w:r>
      <w:r>
        <w:rPr>
          <w:spacing w:val="9"/>
          <w:sz w:val="20"/>
        </w:rPr>
        <w:t> </w:t>
      </w:r>
      <w:r>
        <w:rPr>
          <w:sz w:val="20"/>
        </w:rPr>
        <w:t>unión</w:t>
      </w:r>
      <w:r>
        <w:rPr>
          <w:spacing w:val="9"/>
          <w:sz w:val="20"/>
        </w:rPr>
        <w:t> </w:t>
      </w:r>
      <w:r>
        <w:rPr>
          <w:sz w:val="20"/>
        </w:rPr>
        <w:t>de</w:t>
      </w:r>
      <w:r>
        <w:rPr>
          <w:spacing w:val="10"/>
          <w:sz w:val="20"/>
        </w:rPr>
        <w:t> </w:t>
      </w:r>
      <w:r>
        <w:rPr>
          <w:sz w:val="20"/>
        </w:rPr>
        <w:t>dicho</w:t>
      </w:r>
      <w:r>
        <w:rPr>
          <w:spacing w:val="7"/>
          <w:sz w:val="20"/>
        </w:rPr>
        <w:t> </w:t>
      </w:r>
      <w:r>
        <w:rPr>
          <w:sz w:val="20"/>
        </w:rPr>
        <w:t>elemento</w:t>
      </w:r>
      <w:r>
        <w:rPr>
          <w:spacing w:val="10"/>
          <w:sz w:val="20"/>
        </w:rPr>
        <w:t> </w:t>
      </w:r>
      <w:r>
        <w:rPr>
          <w:sz w:val="20"/>
        </w:rPr>
        <w:t>que</w:t>
      </w:r>
      <w:r>
        <w:rPr>
          <w:spacing w:val="9"/>
          <w:sz w:val="20"/>
        </w:rPr>
        <w:t> </w:t>
      </w:r>
      <w:r>
        <w:rPr>
          <w:sz w:val="20"/>
        </w:rPr>
        <w:t>interrumpan</w:t>
      </w:r>
      <w:r>
        <w:rPr>
          <w:spacing w:val="10"/>
          <w:sz w:val="20"/>
        </w:rPr>
        <w:t> </w:t>
      </w:r>
      <w:r>
        <w:rPr>
          <w:sz w:val="20"/>
        </w:rPr>
        <w:t>la</w:t>
      </w:r>
      <w:r>
        <w:rPr>
          <w:spacing w:val="10"/>
          <w:sz w:val="20"/>
        </w:rPr>
        <w:t> </w:t>
      </w:r>
      <w:r>
        <w:rPr>
          <w:sz w:val="20"/>
        </w:rPr>
        <w:t>pro-</w:t>
      </w:r>
    </w:p>
    <w:p>
      <w:pPr>
        <w:spacing w:after="0" w:line="240" w:lineRule="auto"/>
        <w:jc w:val="both"/>
        <w:rPr>
          <w:sz w:val="20"/>
        </w:rPr>
        <w:sectPr>
          <w:pgSz w:w="11910" w:h="16840"/>
          <w:pgMar w:header="908" w:footer="636" w:top="1320" w:bottom="840" w:left="1200" w:right="740"/>
        </w:sectPr>
      </w:pPr>
    </w:p>
    <w:p>
      <w:pPr>
        <w:pStyle w:val="BodyText"/>
        <w:spacing w:before="91"/>
        <w:ind w:left="672" w:right="389"/>
        <w:jc w:val="both"/>
      </w:pPr>
      <w:r>
        <w:rPr/>
        <w:t>tección e instalándolo igualmente en todas las piezas especiales de la red, tales como codos, cur- vas.</w:t>
      </w:r>
    </w:p>
    <w:p>
      <w:pPr>
        <w:pStyle w:val="ListParagraph"/>
        <w:numPr>
          <w:ilvl w:val="0"/>
          <w:numId w:val="193"/>
        </w:numPr>
        <w:tabs>
          <w:tab w:pos="673" w:val="left" w:leader="none"/>
        </w:tabs>
        <w:spacing w:line="240" w:lineRule="auto" w:before="60" w:after="0"/>
        <w:ind w:left="672" w:right="391" w:hanging="454"/>
        <w:jc w:val="both"/>
        <w:rPr>
          <w:sz w:val="20"/>
        </w:rPr>
      </w:pPr>
      <w:r>
        <w:rPr>
          <w:sz w:val="20"/>
        </w:rPr>
        <w:t>Los revestimientos adecuados, cuando los tubos discurren enterrados o empotrados, según el ma- terial de los mismos,</w:t>
      </w:r>
      <w:r>
        <w:rPr>
          <w:spacing w:val="-1"/>
          <w:sz w:val="20"/>
        </w:rPr>
        <w:t> </w:t>
      </w:r>
      <w:r>
        <w:rPr>
          <w:sz w:val="20"/>
        </w:rPr>
        <w:t>serán:</w:t>
      </w:r>
    </w:p>
    <w:p>
      <w:pPr>
        <w:pStyle w:val="ListParagraph"/>
        <w:numPr>
          <w:ilvl w:val="1"/>
          <w:numId w:val="193"/>
        </w:numPr>
        <w:tabs>
          <w:tab w:pos="1126" w:val="left" w:leader="none"/>
        </w:tabs>
        <w:spacing w:line="240" w:lineRule="auto" w:before="60" w:after="0"/>
        <w:ind w:left="1126" w:right="393" w:hanging="454"/>
        <w:jc w:val="both"/>
        <w:rPr>
          <w:sz w:val="20"/>
        </w:rPr>
      </w:pPr>
      <w:r>
        <w:rPr>
          <w:sz w:val="20"/>
        </w:rPr>
        <w:t>Para tubos de acero con revestimiento de polietileno, bituminoso, de resina epoxídica o con alquitrán de</w:t>
      </w:r>
      <w:r>
        <w:rPr>
          <w:spacing w:val="-1"/>
          <w:sz w:val="20"/>
        </w:rPr>
        <w:t> </w:t>
      </w:r>
      <w:r>
        <w:rPr>
          <w:sz w:val="20"/>
        </w:rPr>
        <w:t>poliuretano.</w:t>
      </w:r>
    </w:p>
    <w:p>
      <w:pPr>
        <w:pStyle w:val="ListParagraph"/>
        <w:numPr>
          <w:ilvl w:val="1"/>
          <w:numId w:val="193"/>
        </w:numPr>
        <w:tabs>
          <w:tab w:pos="1126" w:val="left" w:leader="none"/>
        </w:tabs>
        <w:spacing w:line="240" w:lineRule="auto" w:before="61" w:after="0"/>
        <w:ind w:left="1126" w:right="0" w:hanging="454"/>
        <w:jc w:val="both"/>
        <w:rPr>
          <w:sz w:val="20"/>
        </w:rPr>
      </w:pPr>
      <w:r>
        <w:rPr>
          <w:sz w:val="20"/>
        </w:rPr>
        <w:t>Para tubos de cobre con revestimiento de</w:t>
      </w:r>
      <w:r>
        <w:rPr>
          <w:spacing w:val="-2"/>
          <w:sz w:val="20"/>
        </w:rPr>
        <w:t> </w:t>
      </w:r>
      <w:r>
        <w:rPr>
          <w:sz w:val="20"/>
        </w:rPr>
        <w:t>plástico.</w:t>
      </w:r>
    </w:p>
    <w:p>
      <w:pPr>
        <w:pStyle w:val="ListParagraph"/>
        <w:numPr>
          <w:ilvl w:val="1"/>
          <w:numId w:val="193"/>
        </w:numPr>
        <w:tabs>
          <w:tab w:pos="1126" w:val="left" w:leader="none"/>
        </w:tabs>
        <w:spacing w:line="240" w:lineRule="auto" w:before="59" w:after="0"/>
        <w:ind w:left="1126" w:right="391" w:hanging="454"/>
        <w:jc w:val="both"/>
        <w:rPr>
          <w:sz w:val="20"/>
        </w:rPr>
      </w:pPr>
      <w:r>
        <w:rPr>
          <w:sz w:val="20"/>
        </w:rPr>
        <w:t>Para tubos de fundición con revestimiento de película continua de polietileno, de resina epoxí- dica, con betún, con láminas de poliuretano o con zincado con recubrimiento de</w:t>
      </w:r>
      <w:r>
        <w:rPr>
          <w:spacing w:val="-8"/>
          <w:sz w:val="20"/>
        </w:rPr>
        <w:t> </w:t>
      </w:r>
      <w:r>
        <w:rPr>
          <w:sz w:val="20"/>
        </w:rPr>
        <w:t>cobertura.</w:t>
      </w:r>
    </w:p>
    <w:p>
      <w:pPr>
        <w:pStyle w:val="ListParagraph"/>
        <w:numPr>
          <w:ilvl w:val="0"/>
          <w:numId w:val="193"/>
        </w:numPr>
        <w:tabs>
          <w:tab w:pos="673" w:val="left" w:leader="none"/>
        </w:tabs>
        <w:spacing w:line="240" w:lineRule="auto" w:before="61" w:after="0"/>
        <w:ind w:left="672" w:right="389" w:hanging="454"/>
        <w:jc w:val="both"/>
        <w:rPr>
          <w:sz w:val="20"/>
        </w:rPr>
      </w:pPr>
      <w:r>
        <w:rPr>
          <w:sz w:val="20"/>
        </w:rPr>
        <w:t>Los tubos de acero galvanizado empotrados para transporte de agua fría se recubrirán con una lechada de cemento, y los que se utilicen para transporte de agua caliente deben recubrirse prefe- rentemente con una coquilla o envoltura aislante de un material que no absorba humedad y que permita las dilataciones y contracciones provocadas por las variaciones de</w:t>
      </w:r>
      <w:r>
        <w:rPr>
          <w:spacing w:val="-6"/>
          <w:sz w:val="20"/>
        </w:rPr>
        <w:t> </w:t>
      </w:r>
      <w:r>
        <w:rPr>
          <w:sz w:val="20"/>
        </w:rPr>
        <w:t>temperatura.</w:t>
      </w:r>
    </w:p>
    <w:p>
      <w:pPr>
        <w:pStyle w:val="ListParagraph"/>
        <w:numPr>
          <w:ilvl w:val="0"/>
          <w:numId w:val="193"/>
        </w:numPr>
        <w:tabs>
          <w:tab w:pos="673" w:val="left" w:leader="none"/>
        </w:tabs>
        <w:spacing w:line="240" w:lineRule="auto" w:before="59" w:after="0"/>
        <w:ind w:left="672" w:right="389" w:hanging="454"/>
        <w:jc w:val="both"/>
        <w:rPr>
          <w:sz w:val="20"/>
        </w:rPr>
      </w:pPr>
      <w:r>
        <w:rPr>
          <w:sz w:val="20"/>
        </w:rPr>
        <w:t>Toda conducción exterior y al aire libre, se protegerá igualmente. En este caso, los tubos de acero podrán ser protegidos, además, con recubrimientos de cinc. Para los tubos de acero que discurran por cubiertas de hormigón se dispondrá de manera adicional a la envuelta del tubo de una lámina de retención de 1 m de ancho entre éstos y el hormigón. Cuando los tubos discurran por canales de suelo, ha de garantizarse que estos son impermeables o bien que disponen de adecuada ventila- ción y drenaje. En las redes metálicas enterradas, se instalará una junta dieléctrica después de la entrada al edificio y antes de la</w:t>
      </w:r>
      <w:r>
        <w:rPr>
          <w:spacing w:val="-4"/>
          <w:sz w:val="20"/>
        </w:rPr>
        <w:t> </w:t>
      </w:r>
      <w:r>
        <w:rPr>
          <w:sz w:val="20"/>
        </w:rPr>
        <w:t>salida.</w:t>
      </w:r>
    </w:p>
    <w:p>
      <w:pPr>
        <w:pStyle w:val="ListParagraph"/>
        <w:numPr>
          <w:ilvl w:val="0"/>
          <w:numId w:val="193"/>
        </w:numPr>
        <w:tabs>
          <w:tab w:pos="673" w:val="left" w:leader="none"/>
        </w:tabs>
        <w:spacing w:line="240" w:lineRule="auto" w:before="60" w:after="0"/>
        <w:ind w:left="672" w:right="0" w:hanging="455"/>
        <w:jc w:val="both"/>
        <w:rPr>
          <w:sz w:val="20"/>
        </w:rPr>
      </w:pPr>
      <w:r>
        <w:rPr>
          <w:sz w:val="20"/>
        </w:rPr>
        <w:t>Para la corrosión por el uso de materiales distintos se aplicará lo especificado en el apartado</w:t>
      </w:r>
      <w:r>
        <w:rPr>
          <w:spacing w:val="-13"/>
          <w:sz w:val="20"/>
        </w:rPr>
        <w:t> </w:t>
      </w:r>
      <w:r>
        <w:rPr>
          <w:sz w:val="20"/>
        </w:rPr>
        <w:t>6.3.2.</w:t>
      </w:r>
    </w:p>
    <w:p>
      <w:pPr>
        <w:pStyle w:val="ListParagraph"/>
        <w:numPr>
          <w:ilvl w:val="0"/>
          <w:numId w:val="193"/>
        </w:numPr>
        <w:tabs>
          <w:tab w:pos="673" w:val="left" w:leader="none"/>
        </w:tabs>
        <w:spacing w:line="240" w:lineRule="auto" w:before="60" w:after="0"/>
        <w:ind w:left="672" w:right="393" w:hanging="454"/>
        <w:jc w:val="both"/>
        <w:rPr>
          <w:sz w:val="20"/>
        </w:rPr>
      </w:pPr>
      <w:r>
        <w:rPr>
          <w:sz w:val="20"/>
        </w:rPr>
        <w:t>Para la corrosión por elementos contenidos en el agua de suministro, además de lo reseñado, se instalarán los filtros especificados en el punto</w:t>
      </w:r>
      <w:r>
        <w:rPr>
          <w:spacing w:val="-4"/>
          <w:sz w:val="20"/>
        </w:rPr>
        <w:t> </w:t>
      </w:r>
      <w:r>
        <w:rPr>
          <w:sz w:val="20"/>
        </w:rPr>
        <w:t>6.3.1.</w:t>
      </w:r>
    </w:p>
    <w:p>
      <w:pPr>
        <w:pStyle w:val="BodyText"/>
        <w:spacing w:before="6"/>
        <w:rPr>
          <w:sz w:val="17"/>
        </w:rPr>
      </w:pPr>
    </w:p>
    <w:p>
      <w:pPr>
        <w:pStyle w:val="Heading5"/>
        <w:numPr>
          <w:ilvl w:val="4"/>
          <w:numId w:val="189"/>
        </w:numPr>
        <w:tabs>
          <w:tab w:pos="1155" w:val="left" w:leader="none"/>
        </w:tabs>
        <w:spacing w:line="240" w:lineRule="auto" w:before="1" w:after="0"/>
        <w:ind w:left="1154" w:right="0" w:hanging="882"/>
        <w:jc w:val="both"/>
      </w:pPr>
      <w:r>
        <w:rPr/>
        <w:t>Protección contra las</w:t>
      </w:r>
      <w:r>
        <w:rPr>
          <w:spacing w:val="-2"/>
        </w:rPr>
        <w:t> </w:t>
      </w:r>
      <w:r>
        <w:rPr/>
        <w:t>condensaciones</w:t>
      </w:r>
    </w:p>
    <w:p>
      <w:pPr>
        <w:pStyle w:val="ListParagraph"/>
        <w:numPr>
          <w:ilvl w:val="0"/>
          <w:numId w:val="194"/>
        </w:numPr>
        <w:tabs>
          <w:tab w:pos="673" w:val="left" w:leader="none"/>
        </w:tabs>
        <w:spacing w:line="240" w:lineRule="auto" w:before="97" w:after="0"/>
        <w:ind w:left="672" w:right="389" w:hanging="454"/>
        <w:jc w:val="both"/>
        <w:rPr>
          <w:sz w:val="20"/>
        </w:rPr>
      </w:pPr>
      <w:r>
        <w:rPr>
          <w:sz w:val="20"/>
        </w:rPr>
        <w:t>Tanto en tuberías empotradas u ocultas como en tuberías vistas, se considerará la posible forma- ción de condensaciones en su superficie exterior y se dispondrá un elemento separador de protec- ción, no necesariamente aislante pero si con capacidad de actuación como barrera antivapor, que evite los daños que dichas condensaciones pudieran causar al resto de la</w:t>
      </w:r>
      <w:r>
        <w:rPr>
          <w:spacing w:val="-3"/>
          <w:sz w:val="20"/>
        </w:rPr>
        <w:t> </w:t>
      </w:r>
      <w:r>
        <w:rPr>
          <w:sz w:val="20"/>
        </w:rPr>
        <w:t>edificación.</w:t>
      </w:r>
    </w:p>
    <w:p>
      <w:pPr>
        <w:pStyle w:val="ListParagraph"/>
        <w:numPr>
          <w:ilvl w:val="0"/>
          <w:numId w:val="194"/>
        </w:numPr>
        <w:tabs>
          <w:tab w:pos="673" w:val="left" w:leader="none"/>
        </w:tabs>
        <w:spacing w:line="240" w:lineRule="auto" w:before="61" w:after="0"/>
        <w:ind w:left="672" w:right="388" w:hanging="454"/>
        <w:jc w:val="both"/>
        <w:rPr>
          <w:sz w:val="20"/>
        </w:rPr>
      </w:pPr>
      <w:r>
        <w:rPr>
          <w:sz w:val="20"/>
        </w:rPr>
        <w:t>Dicho elemento se instalará de la misma forma que se ha descrito para el elemento de protección contra los agentes externos, pudiendo en cualquier caso utilizarse el mismo para ambas proteccio- nes.</w:t>
      </w:r>
    </w:p>
    <w:p>
      <w:pPr>
        <w:pStyle w:val="ListParagraph"/>
        <w:numPr>
          <w:ilvl w:val="0"/>
          <w:numId w:val="194"/>
        </w:numPr>
        <w:tabs>
          <w:tab w:pos="673" w:val="left" w:leader="none"/>
        </w:tabs>
        <w:spacing w:line="240" w:lineRule="auto" w:before="60" w:after="0"/>
        <w:ind w:left="672" w:right="0" w:hanging="455"/>
        <w:jc w:val="both"/>
        <w:rPr>
          <w:sz w:val="20"/>
        </w:rPr>
      </w:pPr>
      <w:r>
        <w:rPr>
          <w:sz w:val="20"/>
        </w:rPr>
        <w:t>Se considerarán válidos los materiales que cumplen lo dispuesto en la norma UNE 100</w:t>
      </w:r>
      <w:r>
        <w:rPr>
          <w:spacing w:val="-5"/>
          <w:sz w:val="20"/>
        </w:rPr>
        <w:t> </w:t>
      </w:r>
      <w:r>
        <w:rPr>
          <w:sz w:val="20"/>
        </w:rPr>
        <w:t>171:1989.</w:t>
      </w:r>
    </w:p>
    <w:p>
      <w:pPr>
        <w:pStyle w:val="BodyText"/>
        <w:spacing w:before="5"/>
        <w:rPr>
          <w:sz w:val="17"/>
        </w:rPr>
      </w:pPr>
    </w:p>
    <w:p>
      <w:pPr>
        <w:pStyle w:val="Heading5"/>
        <w:numPr>
          <w:ilvl w:val="4"/>
          <w:numId w:val="189"/>
        </w:numPr>
        <w:tabs>
          <w:tab w:pos="1155" w:val="left" w:leader="none"/>
        </w:tabs>
        <w:spacing w:line="240" w:lineRule="auto" w:before="1" w:after="0"/>
        <w:ind w:left="1154" w:right="0" w:hanging="882"/>
        <w:jc w:val="both"/>
      </w:pPr>
      <w:r>
        <w:rPr/>
        <w:t>Protecciones térmicas</w:t>
      </w:r>
    </w:p>
    <w:p>
      <w:pPr>
        <w:pStyle w:val="ListParagraph"/>
        <w:numPr>
          <w:ilvl w:val="0"/>
          <w:numId w:val="195"/>
        </w:numPr>
        <w:tabs>
          <w:tab w:pos="673" w:val="left" w:leader="none"/>
        </w:tabs>
        <w:spacing w:line="240" w:lineRule="auto" w:before="98" w:after="0"/>
        <w:ind w:left="672" w:right="391" w:hanging="454"/>
        <w:jc w:val="both"/>
        <w:rPr>
          <w:sz w:val="20"/>
        </w:rPr>
      </w:pPr>
      <w:r>
        <w:rPr>
          <w:sz w:val="20"/>
        </w:rPr>
        <w:t>Los materiales utilizados como aislante térmico que cumplan la norma UNE 100 171:1989 se consi- derarán adecuados para soportar altas</w:t>
      </w:r>
      <w:r>
        <w:rPr>
          <w:spacing w:val="-2"/>
          <w:sz w:val="20"/>
        </w:rPr>
        <w:t> </w:t>
      </w:r>
      <w:r>
        <w:rPr>
          <w:sz w:val="20"/>
        </w:rPr>
        <w:t>temperaturas.</w:t>
      </w:r>
    </w:p>
    <w:p>
      <w:pPr>
        <w:pStyle w:val="ListParagraph"/>
        <w:numPr>
          <w:ilvl w:val="0"/>
          <w:numId w:val="195"/>
        </w:numPr>
        <w:tabs>
          <w:tab w:pos="673" w:val="left" w:leader="none"/>
        </w:tabs>
        <w:spacing w:line="240" w:lineRule="auto" w:before="60" w:after="0"/>
        <w:ind w:left="672" w:right="388" w:hanging="454"/>
        <w:jc w:val="both"/>
        <w:rPr>
          <w:sz w:val="20"/>
        </w:rPr>
      </w:pPr>
      <w:r>
        <w:rPr>
          <w:sz w:val="20"/>
        </w:rPr>
        <w:t>Cuando la temperatura exterior del espacio por donde discurre la red pueda alcanzar valores capa- ces de helar el agua de su interior, se aislará térmicamente dicha red con aislamiento adecuado al material de constitución y al diámetro de cada tramo afectado, considerándose adecuado el que in- dica la norma UNE EN ISO 12</w:t>
      </w:r>
      <w:r>
        <w:rPr>
          <w:spacing w:val="-5"/>
          <w:sz w:val="20"/>
        </w:rPr>
        <w:t> </w:t>
      </w:r>
      <w:r>
        <w:rPr>
          <w:sz w:val="20"/>
        </w:rPr>
        <w:t>241:1999.</w:t>
      </w:r>
    </w:p>
    <w:p>
      <w:pPr>
        <w:pStyle w:val="BodyText"/>
        <w:spacing w:before="6"/>
        <w:rPr>
          <w:sz w:val="17"/>
        </w:rPr>
      </w:pPr>
    </w:p>
    <w:p>
      <w:pPr>
        <w:pStyle w:val="Heading5"/>
        <w:numPr>
          <w:ilvl w:val="4"/>
          <w:numId w:val="189"/>
        </w:numPr>
        <w:tabs>
          <w:tab w:pos="1155" w:val="left" w:leader="none"/>
        </w:tabs>
        <w:spacing w:line="240" w:lineRule="auto" w:before="1" w:after="0"/>
        <w:ind w:left="1154" w:right="0" w:hanging="882"/>
        <w:jc w:val="both"/>
      </w:pPr>
      <w:r>
        <w:rPr/>
        <w:t>Protección contra esfuerzos</w:t>
      </w:r>
      <w:r>
        <w:rPr>
          <w:spacing w:val="-2"/>
        </w:rPr>
        <w:t> </w:t>
      </w:r>
      <w:r>
        <w:rPr/>
        <w:t>mecánicos</w:t>
      </w:r>
    </w:p>
    <w:p>
      <w:pPr>
        <w:pStyle w:val="ListParagraph"/>
        <w:numPr>
          <w:ilvl w:val="0"/>
          <w:numId w:val="196"/>
        </w:numPr>
        <w:tabs>
          <w:tab w:pos="673" w:val="left" w:leader="none"/>
        </w:tabs>
        <w:spacing w:line="240" w:lineRule="auto" w:before="98" w:after="0"/>
        <w:ind w:left="672" w:right="389" w:hanging="454"/>
        <w:jc w:val="both"/>
        <w:rPr>
          <w:sz w:val="20"/>
        </w:rPr>
      </w:pPr>
      <w:r>
        <w:rPr>
          <w:sz w:val="20"/>
        </w:rPr>
        <w:t>Cuando una tubería haya de atravesar cualquier paramento del edificio u otro tipo de elemento constructivo que pudiera transmitirle esfuerzos perjudiciales de tipo mecánico, lo hará dentro de una funda, también de sección circular, de mayor diámetro y suficientemente resistente. Cuando en ins- talaciones vistas, el paso se produzca en sentido vertical, el pasatubos sobresaldrá al menos 3 cen- tímetros por el lado en que pudieran producirse golpes ocasionales, con el fin de proteger al tubo. Igualmente, si se produce un cambio de sentido, éste sobresaldrá como mínimo una longitud igual al diámetro de la tubería más 1</w:t>
      </w:r>
      <w:r>
        <w:rPr>
          <w:spacing w:val="-3"/>
          <w:sz w:val="20"/>
        </w:rPr>
        <w:t> </w:t>
      </w:r>
      <w:r>
        <w:rPr>
          <w:sz w:val="20"/>
        </w:rPr>
        <w:t>centímetro.</w:t>
      </w:r>
    </w:p>
    <w:p>
      <w:pPr>
        <w:pStyle w:val="ListParagraph"/>
        <w:numPr>
          <w:ilvl w:val="0"/>
          <w:numId w:val="196"/>
        </w:numPr>
        <w:tabs>
          <w:tab w:pos="673" w:val="left" w:leader="none"/>
        </w:tabs>
        <w:spacing w:line="240" w:lineRule="auto" w:before="60" w:after="0"/>
        <w:ind w:left="672" w:right="390" w:hanging="454"/>
        <w:jc w:val="both"/>
        <w:rPr>
          <w:sz w:val="20"/>
        </w:rPr>
      </w:pPr>
      <w:r>
        <w:rPr>
          <w:sz w:val="20"/>
        </w:rPr>
        <w:t>Cuando la red de tuberías atraviese, en superficie o de forma empotrada, una junta de dilatación constructiva del edificio, se instalará un elemento o dispositivo dilatador, de forma que los posibles movimientos estructurales no le transmitan esfuerzos de tipo</w:t>
      </w:r>
      <w:r>
        <w:rPr>
          <w:spacing w:val="-3"/>
          <w:sz w:val="20"/>
        </w:rPr>
        <w:t> </w:t>
      </w:r>
      <w:r>
        <w:rPr>
          <w:sz w:val="20"/>
        </w:rPr>
        <w:t>mecánico.</w:t>
      </w:r>
    </w:p>
    <w:p>
      <w:pPr>
        <w:pStyle w:val="ListParagraph"/>
        <w:numPr>
          <w:ilvl w:val="0"/>
          <w:numId w:val="196"/>
        </w:numPr>
        <w:tabs>
          <w:tab w:pos="673" w:val="left" w:leader="none"/>
        </w:tabs>
        <w:spacing w:line="240" w:lineRule="auto" w:before="60" w:after="0"/>
        <w:ind w:left="672" w:right="395" w:hanging="454"/>
        <w:jc w:val="both"/>
        <w:rPr>
          <w:sz w:val="20"/>
        </w:rPr>
      </w:pPr>
      <w:r>
        <w:rPr>
          <w:sz w:val="20"/>
        </w:rPr>
        <w:t>La suma de golpe de ariete y de presión de reposo no debe sobrepasar la sobrepresión de servicio admisible.</w:t>
      </w:r>
      <w:r>
        <w:rPr>
          <w:spacing w:val="8"/>
          <w:sz w:val="20"/>
        </w:rPr>
        <w:t> </w:t>
      </w:r>
      <w:r>
        <w:rPr>
          <w:sz w:val="20"/>
        </w:rPr>
        <w:t>La</w:t>
      </w:r>
      <w:r>
        <w:rPr>
          <w:spacing w:val="8"/>
          <w:sz w:val="20"/>
        </w:rPr>
        <w:t> </w:t>
      </w:r>
      <w:r>
        <w:rPr>
          <w:sz w:val="20"/>
        </w:rPr>
        <w:t>magnitud</w:t>
      </w:r>
      <w:r>
        <w:rPr>
          <w:spacing w:val="9"/>
          <w:sz w:val="20"/>
        </w:rPr>
        <w:t> </w:t>
      </w:r>
      <w:r>
        <w:rPr>
          <w:sz w:val="20"/>
        </w:rPr>
        <w:t>del</w:t>
      </w:r>
      <w:r>
        <w:rPr>
          <w:spacing w:val="7"/>
          <w:sz w:val="20"/>
        </w:rPr>
        <w:t> </w:t>
      </w:r>
      <w:r>
        <w:rPr>
          <w:sz w:val="20"/>
        </w:rPr>
        <w:t>golpe</w:t>
      </w:r>
      <w:r>
        <w:rPr>
          <w:spacing w:val="10"/>
          <w:sz w:val="20"/>
        </w:rPr>
        <w:t> </w:t>
      </w:r>
      <w:r>
        <w:rPr>
          <w:sz w:val="20"/>
        </w:rPr>
        <w:t>de</w:t>
      </w:r>
      <w:r>
        <w:rPr>
          <w:spacing w:val="9"/>
          <w:sz w:val="20"/>
        </w:rPr>
        <w:t> </w:t>
      </w:r>
      <w:r>
        <w:rPr>
          <w:sz w:val="20"/>
        </w:rPr>
        <w:t>ariete</w:t>
      </w:r>
      <w:r>
        <w:rPr>
          <w:spacing w:val="9"/>
          <w:sz w:val="20"/>
        </w:rPr>
        <w:t> </w:t>
      </w:r>
      <w:r>
        <w:rPr>
          <w:sz w:val="20"/>
        </w:rPr>
        <w:t>positivo</w:t>
      </w:r>
      <w:r>
        <w:rPr>
          <w:spacing w:val="9"/>
          <w:sz w:val="20"/>
        </w:rPr>
        <w:t> </w:t>
      </w:r>
      <w:r>
        <w:rPr>
          <w:sz w:val="20"/>
        </w:rPr>
        <w:t>en</w:t>
      </w:r>
      <w:r>
        <w:rPr>
          <w:spacing w:val="10"/>
          <w:sz w:val="20"/>
        </w:rPr>
        <w:t> </w:t>
      </w:r>
      <w:r>
        <w:rPr>
          <w:sz w:val="20"/>
        </w:rPr>
        <w:t>el</w:t>
      </w:r>
      <w:r>
        <w:rPr>
          <w:spacing w:val="9"/>
          <w:sz w:val="20"/>
        </w:rPr>
        <w:t> </w:t>
      </w:r>
      <w:r>
        <w:rPr>
          <w:sz w:val="20"/>
        </w:rPr>
        <w:t>funcionamiento</w:t>
      </w:r>
      <w:r>
        <w:rPr>
          <w:spacing w:val="8"/>
          <w:sz w:val="20"/>
        </w:rPr>
        <w:t> </w:t>
      </w:r>
      <w:r>
        <w:rPr>
          <w:sz w:val="20"/>
        </w:rPr>
        <w:t>de</w:t>
      </w:r>
      <w:r>
        <w:rPr>
          <w:spacing w:val="9"/>
          <w:sz w:val="20"/>
        </w:rPr>
        <w:t> </w:t>
      </w:r>
      <w:r>
        <w:rPr>
          <w:sz w:val="20"/>
        </w:rPr>
        <w:t>las</w:t>
      </w:r>
      <w:r>
        <w:rPr>
          <w:spacing w:val="8"/>
          <w:sz w:val="20"/>
        </w:rPr>
        <w:t> </w:t>
      </w:r>
      <w:r>
        <w:rPr>
          <w:sz w:val="20"/>
        </w:rPr>
        <w:t>válvulas</w:t>
      </w:r>
      <w:r>
        <w:rPr>
          <w:spacing w:val="9"/>
          <w:sz w:val="20"/>
        </w:rPr>
        <w:t> </w:t>
      </w:r>
      <w:r>
        <w:rPr>
          <w:sz w:val="20"/>
        </w:rPr>
        <w:t>y</w:t>
      </w:r>
      <w:r>
        <w:rPr>
          <w:spacing w:val="8"/>
          <w:sz w:val="20"/>
        </w:rPr>
        <w:t> </w:t>
      </w:r>
      <w:r>
        <w:rPr>
          <w:sz w:val="20"/>
        </w:rPr>
        <w:t>aparatos</w:t>
      </w:r>
    </w:p>
    <w:p>
      <w:pPr>
        <w:spacing w:after="0" w:line="240" w:lineRule="auto"/>
        <w:jc w:val="both"/>
        <w:rPr>
          <w:sz w:val="20"/>
        </w:rPr>
        <w:sectPr>
          <w:pgSz w:w="11910" w:h="16840"/>
          <w:pgMar w:header="908" w:footer="636" w:top="1320" w:bottom="840" w:left="1200" w:right="740"/>
        </w:sectPr>
      </w:pPr>
    </w:p>
    <w:p>
      <w:pPr>
        <w:pStyle w:val="BodyText"/>
        <w:spacing w:before="91"/>
        <w:ind w:left="672" w:right="398"/>
      </w:pPr>
      <w:r>
        <w:rPr/>
        <w:t>medido inmediatamente antes de estos, no debe sobrepasar 2 bar; el golpe de ariete negativo no debe descender por debajo del 50 % de la presión de servicio.</w:t>
      </w:r>
    </w:p>
    <w:p>
      <w:pPr>
        <w:pStyle w:val="BodyText"/>
        <w:spacing w:before="6"/>
        <w:rPr>
          <w:sz w:val="17"/>
        </w:rPr>
      </w:pPr>
    </w:p>
    <w:p>
      <w:pPr>
        <w:pStyle w:val="Heading5"/>
        <w:numPr>
          <w:ilvl w:val="4"/>
          <w:numId w:val="189"/>
        </w:numPr>
        <w:tabs>
          <w:tab w:pos="1155" w:val="left" w:leader="none"/>
        </w:tabs>
        <w:spacing w:line="240" w:lineRule="auto" w:before="0" w:after="0"/>
        <w:ind w:left="1154" w:right="0" w:hanging="882"/>
        <w:jc w:val="both"/>
      </w:pPr>
      <w:r>
        <w:rPr/>
        <w:t>Protección contra</w:t>
      </w:r>
      <w:r>
        <w:rPr>
          <w:spacing w:val="-1"/>
        </w:rPr>
        <w:t> </w:t>
      </w:r>
      <w:r>
        <w:rPr/>
        <w:t>ruidos</w:t>
      </w:r>
    </w:p>
    <w:p>
      <w:pPr>
        <w:pStyle w:val="ListParagraph"/>
        <w:numPr>
          <w:ilvl w:val="0"/>
          <w:numId w:val="197"/>
        </w:numPr>
        <w:tabs>
          <w:tab w:pos="673" w:val="left" w:leader="none"/>
        </w:tabs>
        <w:spacing w:line="240" w:lineRule="auto" w:before="99" w:after="0"/>
        <w:ind w:left="672" w:right="395" w:hanging="454"/>
        <w:jc w:val="both"/>
        <w:rPr>
          <w:sz w:val="20"/>
        </w:rPr>
      </w:pPr>
      <w:r>
        <w:rPr>
          <w:sz w:val="20"/>
        </w:rPr>
        <w:t>Como normas generales a adoptar, sin perjuicio de lo que pueda establecer el DB HR al respecto, se adoptarán las</w:t>
      </w:r>
      <w:r>
        <w:rPr>
          <w:spacing w:val="-3"/>
          <w:sz w:val="20"/>
        </w:rPr>
        <w:t> </w:t>
      </w:r>
      <w:r>
        <w:rPr>
          <w:sz w:val="20"/>
        </w:rPr>
        <w:t>siguientes:</w:t>
      </w:r>
    </w:p>
    <w:p>
      <w:pPr>
        <w:pStyle w:val="ListParagraph"/>
        <w:numPr>
          <w:ilvl w:val="1"/>
          <w:numId w:val="197"/>
        </w:numPr>
        <w:tabs>
          <w:tab w:pos="1126" w:val="left" w:leader="none"/>
        </w:tabs>
        <w:spacing w:line="240" w:lineRule="auto" w:before="60" w:after="0"/>
        <w:ind w:left="1126" w:right="391" w:hanging="454"/>
        <w:jc w:val="both"/>
        <w:rPr>
          <w:sz w:val="20"/>
        </w:rPr>
      </w:pPr>
      <w:r>
        <w:rPr>
          <w:sz w:val="20"/>
        </w:rPr>
        <w:t>los huecos o patinillos, tanto horizontales como verticales, por donde discurran las conduccio- nes estarán situados en zonas</w:t>
      </w:r>
      <w:r>
        <w:rPr>
          <w:spacing w:val="-3"/>
          <w:sz w:val="20"/>
        </w:rPr>
        <w:t> </w:t>
      </w:r>
      <w:r>
        <w:rPr>
          <w:sz w:val="20"/>
        </w:rPr>
        <w:t>comunes;</w:t>
      </w:r>
    </w:p>
    <w:p>
      <w:pPr>
        <w:pStyle w:val="ListParagraph"/>
        <w:numPr>
          <w:ilvl w:val="1"/>
          <w:numId w:val="197"/>
        </w:numPr>
        <w:tabs>
          <w:tab w:pos="1126" w:val="left" w:leader="none"/>
        </w:tabs>
        <w:spacing w:line="240" w:lineRule="auto" w:before="59" w:after="0"/>
        <w:ind w:left="1126" w:right="391" w:hanging="454"/>
        <w:jc w:val="both"/>
        <w:rPr>
          <w:sz w:val="20"/>
        </w:rPr>
      </w:pPr>
      <w:r>
        <w:rPr>
          <w:sz w:val="20"/>
        </w:rPr>
        <w:t>a la salida de las bombas se instalarán conectores flexibles para atenuar la transmisión del ruido y las vibraciones a lo largo de la red de distribución. dichos conectores serán adecuados al tipo de tubo y al lugar de su</w:t>
      </w:r>
      <w:r>
        <w:rPr>
          <w:spacing w:val="-3"/>
          <w:sz w:val="20"/>
        </w:rPr>
        <w:t> </w:t>
      </w:r>
      <w:r>
        <w:rPr>
          <w:sz w:val="20"/>
        </w:rPr>
        <w:t>instalación;</w:t>
      </w:r>
    </w:p>
    <w:p>
      <w:pPr>
        <w:pStyle w:val="ListParagraph"/>
        <w:numPr>
          <w:ilvl w:val="0"/>
          <w:numId w:val="197"/>
        </w:numPr>
        <w:tabs>
          <w:tab w:pos="673" w:val="left" w:leader="none"/>
        </w:tabs>
        <w:spacing w:line="240" w:lineRule="auto" w:before="60" w:after="0"/>
        <w:ind w:left="672" w:right="391" w:hanging="454"/>
        <w:jc w:val="both"/>
        <w:rPr>
          <w:sz w:val="20"/>
        </w:rPr>
      </w:pPr>
      <w:r>
        <w:rPr>
          <w:sz w:val="20"/>
        </w:rPr>
        <w:t>Los soportes y colgantes para tramos de la red interior con tubos metálicos que transporten el agua a velocidades de 1,5 a 2,0 m/s serán antivibratorios. Igualmente, se utilizarán anclajes y guías flexi- bles que vayan a estar rígidamente unidos a la estructura del</w:t>
      </w:r>
      <w:r>
        <w:rPr>
          <w:spacing w:val="-4"/>
          <w:sz w:val="20"/>
        </w:rPr>
        <w:t> </w:t>
      </w:r>
      <w:r>
        <w:rPr>
          <w:sz w:val="20"/>
        </w:rPr>
        <w:t>edificio.</w:t>
      </w:r>
    </w:p>
    <w:p>
      <w:pPr>
        <w:pStyle w:val="BodyText"/>
        <w:spacing w:before="6"/>
        <w:rPr>
          <w:sz w:val="17"/>
        </w:rPr>
      </w:pPr>
    </w:p>
    <w:p>
      <w:pPr>
        <w:pStyle w:val="Heading5"/>
        <w:numPr>
          <w:ilvl w:val="3"/>
          <w:numId w:val="189"/>
        </w:numPr>
        <w:tabs>
          <w:tab w:pos="933" w:val="left" w:leader="none"/>
        </w:tabs>
        <w:spacing w:line="240" w:lineRule="auto" w:before="1" w:after="0"/>
        <w:ind w:left="932" w:right="0" w:hanging="708"/>
        <w:jc w:val="both"/>
      </w:pPr>
      <w:r>
        <w:rPr/>
        <w:t>Accesorios</w:t>
      </w:r>
    </w:p>
    <w:p>
      <w:pPr>
        <w:pStyle w:val="BodyText"/>
        <w:spacing w:before="5"/>
        <w:rPr>
          <w:b/>
          <w:sz w:val="17"/>
        </w:rPr>
      </w:pPr>
    </w:p>
    <w:p>
      <w:pPr>
        <w:pStyle w:val="ListParagraph"/>
        <w:numPr>
          <w:ilvl w:val="4"/>
          <w:numId w:val="189"/>
        </w:numPr>
        <w:tabs>
          <w:tab w:pos="1155" w:val="left" w:leader="none"/>
        </w:tabs>
        <w:spacing w:line="240" w:lineRule="auto" w:before="0" w:after="0"/>
        <w:ind w:left="1154" w:right="0" w:hanging="882"/>
        <w:jc w:val="both"/>
        <w:rPr>
          <w:b/>
          <w:sz w:val="20"/>
        </w:rPr>
      </w:pPr>
      <w:r>
        <w:rPr>
          <w:b/>
          <w:sz w:val="20"/>
        </w:rPr>
        <w:t>Grapas y</w:t>
      </w:r>
      <w:r>
        <w:rPr>
          <w:b/>
          <w:spacing w:val="-3"/>
          <w:sz w:val="20"/>
        </w:rPr>
        <w:t> </w:t>
      </w:r>
      <w:r>
        <w:rPr>
          <w:b/>
          <w:sz w:val="20"/>
        </w:rPr>
        <w:t>abrazaderas</w:t>
      </w:r>
    </w:p>
    <w:p>
      <w:pPr>
        <w:pStyle w:val="ListParagraph"/>
        <w:numPr>
          <w:ilvl w:val="0"/>
          <w:numId w:val="198"/>
        </w:numPr>
        <w:tabs>
          <w:tab w:pos="673" w:val="left" w:leader="none"/>
        </w:tabs>
        <w:spacing w:line="240" w:lineRule="auto" w:before="98" w:after="0"/>
        <w:ind w:left="672" w:right="389" w:hanging="454"/>
        <w:jc w:val="both"/>
        <w:rPr>
          <w:sz w:val="20"/>
        </w:rPr>
      </w:pPr>
      <w:r>
        <w:rPr>
          <w:sz w:val="20"/>
        </w:rPr>
        <w:t>La colocación de grapas y abrazaderas para la fijación de los tubos a los paramentos se hará de forma tal que los tubos queden perfectamente alineados con dichos paramentos, guarden las dis- tancias exigidas y no transmitan ruidos y/o vibraciones al</w:t>
      </w:r>
      <w:r>
        <w:rPr>
          <w:spacing w:val="-8"/>
          <w:sz w:val="20"/>
        </w:rPr>
        <w:t> </w:t>
      </w:r>
      <w:r>
        <w:rPr>
          <w:sz w:val="20"/>
        </w:rPr>
        <w:t>edificio.</w:t>
      </w:r>
    </w:p>
    <w:p>
      <w:pPr>
        <w:pStyle w:val="ListParagraph"/>
        <w:numPr>
          <w:ilvl w:val="0"/>
          <w:numId w:val="198"/>
        </w:numPr>
        <w:tabs>
          <w:tab w:pos="673" w:val="left" w:leader="none"/>
        </w:tabs>
        <w:spacing w:line="240" w:lineRule="auto" w:before="60" w:after="0"/>
        <w:ind w:left="672" w:right="390" w:hanging="454"/>
        <w:jc w:val="both"/>
        <w:rPr>
          <w:sz w:val="20"/>
        </w:rPr>
      </w:pPr>
      <w:r>
        <w:rPr>
          <w:sz w:val="20"/>
        </w:rPr>
        <w:t>El tipo de grapa o abrazadera será siempre de fácil montaje y desmontaje, así como aislante eléc- trico.</w:t>
      </w:r>
    </w:p>
    <w:p>
      <w:pPr>
        <w:pStyle w:val="ListParagraph"/>
        <w:numPr>
          <w:ilvl w:val="0"/>
          <w:numId w:val="198"/>
        </w:numPr>
        <w:tabs>
          <w:tab w:pos="673" w:val="left" w:leader="none"/>
        </w:tabs>
        <w:spacing w:line="240" w:lineRule="auto" w:before="59" w:after="0"/>
        <w:ind w:left="672" w:right="395" w:hanging="454"/>
        <w:jc w:val="both"/>
        <w:rPr>
          <w:sz w:val="20"/>
        </w:rPr>
      </w:pPr>
      <w:r>
        <w:rPr>
          <w:sz w:val="20"/>
        </w:rPr>
        <w:t>Si la velocidad del tramo correspondiente es igual o superior a 2 m/s, se interpondrá un elemento de tipo elástico semirrígido entre la abrazadera y el</w:t>
      </w:r>
      <w:r>
        <w:rPr>
          <w:spacing w:val="-5"/>
          <w:sz w:val="20"/>
        </w:rPr>
        <w:t> </w:t>
      </w:r>
      <w:r>
        <w:rPr>
          <w:sz w:val="20"/>
        </w:rPr>
        <w:t>tubo.</w:t>
      </w:r>
    </w:p>
    <w:p>
      <w:pPr>
        <w:pStyle w:val="BodyText"/>
        <w:spacing w:before="7"/>
        <w:rPr>
          <w:sz w:val="17"/>
        </w:rPr>
      </w:pPr>
    </w:p>
    <w:p>
      <w:pPr>
        <w:pStyle w:val="Heading5"/>
        <w:numPr>
          <w:ilvl w:val="4"/>
          <w:numId w:val="189"/>
        </w:numPr>
        <w:tabs>
          <w:tab w:pos="1155" w:val="left" w:leader="none"/>
        </w:tabs>
        <w:spacing w:line="240" w:lineRule="auto" w:before="0" w:after="0"/>
        <w:ind w:left="1154" w:right="0" w:hanging="882"/>
        <w:jc w:val="both"/>
      </w:pPr>
      <w:r>
        <w:rPr/>
        <w:t>Soportes</w:t>
      </w:r>
    </w:p>
    <w:p>
      <w:pPr>
        <w:pStyle w:val="ListParagraph"/>
        <w:numPr>
          <w:ilvl w:val="0"/>
          <w:numId w:val="199"/>
        </w:numPr>
        <w:tabs>
          <w:tab w:pos="673" w:val="left" w:leader="none"/>
        </w:tabs>
        <w:spacing w:line="240" w:lineRule="auto" w:before="98" w:after="0"/>
        <w:ind w:left="672" w:right="397" w:hanging="454"/>
        <w:jc w:val="both"/>
        <w:rPr>
          <w:sz w:val="20"/>
        </w:rPr>
      </w:pPr>
      <w:r>
        <w:rPr>
          <w:sz w:val="20"/>
        </w:rPr>
        <w:t>Se dispondrán soportes de manera que el peso de los tubos cargue sobre estos y nunca sobre los propios tubos o sus</w:t>
      </w:r>
      <w:r>
        <w:rPr>
          <w:spacing w:val="-2"/>
          <w:sz w:val="20"/>
        </w:rPr>
        <w:t> </w:t>
      </w:r>
      <w:r>
        <w:rPr>
          <w:sz w:val="20"/>
        </w:rPr>
        <w:t>uniones.</w:t>
      </w:r>
    </w:p>
    <w:p>
      <w:pPr>
        <w:pStyle w:val="ListParagraph"/>
        <w:numPr>
          <w:ilvl w:val="0"/>
          <w:numId w:val="199"/>
        </w:numPr>
        <w:tabs>
          <w:tab w:pos="673" w:val="left" w:leader="none"/>
        </w:tabs>
        <w:spacing w:line="240" w:lineRule="auto" w:before="61" w:after="0"/>
        <w:ind w:left="672" w:right="389" w:hanging="454"/>
        <w:jc w:val="both"/>
        <w:rPr>
          <w:sz w:val="20"/>
        </w:rPr>
      </w:pPr>
      <w:r>
        <w:rPr>
          <w:sz w:val="20"/>
        </w:rPr>
        <w:t>No podrán anclarse en ningún elemento de tipo estructural, salvo que en determinadas ocasiones no sea posible otra solución, para lo cual se adoptarán las medidas preventivas necesarias. La lon- gitud de empotramiento será tal que garantice una perfecta fijación de la red sin posibles despren- dimientos.</w:t>
      </w:r>
    </w:p>
    <w:p>
      <w:pPr>
        <w:pStyle w:val="ListParagraph"/>
        <w:numPr>
          <w:ilvl w:val="0"/>
          <w:numId w:val="199"/>
        </w:numPr>
        <w:tabs>
          <w:tab w:pos="673" w:val="left" w:leader="none"/>
        </w:tabs>
        <w:spacing w:line="240" w:lineRule="auto" w:before="59" w:after="0"/>
        <w:ind w:left="672" w:right="389" w:hanging="454"/>
        <w:jc w:val="both"/>
        <w:rPr>
          <w:sz w:val="20"/>
        </w:rPr>
      </w:pPr>
      <w:r>
        <w:rPr>
          <w:sz w:val="20"/>
        </w:rPr>
        <w:t>De igual forma que para las grapas y abrazaderas se interpondrá un elemento elástico en los mis- mos casos, incluso cuando se trate de soportes que agrupan varios</w:t>
      </w:r>
      <w:r>
        <w:rPr>
          <w:spacing w:val="-9"/>
          <w:sz w:val="20"/>
        </w:rPr>
        <w:t> </w:t>
      </w:r>
      <w:r>
        <w:rPr>
          <w:sz w:val="20"/>
        </w:rPr>
        <w:t>tubos.</w:t>
      </w:r>
    </w:p>
    <w:p>
      <w:pPr>
        <w:pStyle w:val="ListParagraph"/>
        <w:numPr>
          <w:ilvl w:val="0"/>
          <w:numId w:val="199"/>
        </w:numPr>
        <w:tabs>
          <w:tab w:pos="673" w:val="left" w:leader="none"/>
        </w:tabs>
        <w:spacing w:line="240" w:lineRule="auto" w:before="60" w:after="0"/>
        <w:ind w:left="672" w:right="396" w:hanging="454"/>
        <w:jc w:val="both"/>
        <w:rPr>
          <w:sz w:val="20"/>
        </w:rPr>
      </w:pPr>
      <w:r>
        <w:rPr>
          <w:sz w:val="20"/>
        </w:rPr>
        <w:t>La máxima separación que habrá entre soportes dependerá del tipo de tubería, de su diámetro y de su posición en la</w:t>
      </w:r>
      <w:r>
        <w:rPr>
          <w:spacing w:val="-2"/>
          <w:sz w:val="20"/>
        </w:rPr>
        <w:t> </w:t>
      </w:r>
      <w:r>
        <w:rPr>
          <w:sz w:val="20"/>
        </w:rPr>
        <w:t>instalación.</w:t>
      </w:r>
    </w:p>
    <w:p>
      <w:pPr>
        <w:pStyle w:val="BodyText"/>
        <w:spacing w:before="7"/>
        <w:rPr>
          <w:sz w:val="17"/>
        </w:rPr>
      </w:pPr>
    </w:p>
    <w:p>
      <w:pPr>
        <w:pStyle w:val="Heading5"/>
        <w:numPr>
          <w:ilvl w:val="2"/>
          <w:numId w:val="189"/>
        </w:numPr>
        <w:tabs>
          <w:tab w:pos="787" w:val="left" w:leader="none"/>
        </w:tabs>
        <w:spacing w:line="240" w:lineRule="auto" w:before="0" w:after="0"/>
        <w:ind w:left="786" w:right="0" w:hanging="569"/>
        <w:jc w:val="both"/>
      </w:pPr>
      <w:r>
        <w:rPr/>
        <w:t>Ejecución de los sistemas de medición del consumo.</w:t>
      </w:r>
      <w:r>
        <w:rPr>
          <w:spacing w:val="-4"/>
        </w:rPr>
        <w:t> </w:t>
      </w:r>
      <w:r>
        <w:rPr/>
        <w:t>Contadores</w:t>
      </w:r>
    </w:p>
    <w:p>
      <w:pPr>
        <w:pStyle w:val="BodyText"/>
        <w:spacing w:before="4"/>
        <w:rPr>
          <w:b/>
          <w:sz w:val="17"/>
        </w:rPr>
      </w:pPr>
    </w:p>
    <w:p>
      <w:pPr>
        <w:pStyle w:val="ListParagraph"/>
        <w:numPr>
          <w:ilvl w:val="3"/>
          <w:numId w:val="189"/>
        </w:numPr>
        <w:tabs>
          <w:tab w:pos="933" w:val="left" w:leader="none"/>
        </w:tabs>
        <w:spacing w:line="240" w:lineRule="auto" w:before="0" w:after="0"/>
        <w:ind w:left="932" w:right="0" w:hanging="708"/>
        <w:jc w:val="both"/>
        <w:rPr>
          <w:b/>
          <w:sz w:val="20"/>
        </w:rPr>
      </w:pPr>
      <w:r>
        <w:rPr>
          <w:b/>
          <w:sz w:val="20"/>
        </w:rPr>
        <w:t>Alojamiento del contador</w:t>
      </w:r>
      <w:r>
        <w:rPr>
          <w:b/>
          <w:spacing w:val="-5"/>
          <w:sz w:val="20"/>
        </w:rPr>
        <w:t> </w:t>
      </w:r>
      <w:r>
        <w:rPr>
          <w:b/>
          <w:sz w:val="20"/>
        </w:rPr>
        <w:t>general</w:t>
      </w:r>
    </w:p>
    <w:p>
      <w:pPr>
        <w:pStyle w:val="ListParagraph"/>
        <w:numPr>
          <w:ilvl w:val="0"/>
          <w:numId w:val="200"/>
        </w:numPr>
        <w:tabs>
          <w:tab w:pos="673" w:val="left" w:leader="none"/>
        </w:tabs>
        <w:spacing w:line="240" w:lineRule="auto" w:before="99" w:after="0"/>
        <w:ind w:left="672" w:right="390" w:hanging="454"/>
        <w:jc w:val="both"/>
        <w:rPr>
          <w:sz w:val="20"/>
        </w:rPr>
      </w:pPr>
      <w:r>
        <w:rPr>
          <w:sz w:val="20"/>
        </w:rPr>
        <w:t>La cámara o arqueta de alojamiento estará construida de tal forma que una fuga de agua en la ins- talación no afecte al resto del edificio. A tal fin, estará impermeabilizada y contará con un desagüe en su piso o fondo que garantice la evacuación del caudal de agua máximo previsto en la acometi- da. El desagüe lo conformará un sumidero de tipo sifónico provisto de rejilla de acero inoxidable re- cibida en la superficie de dicho fondo o piso. El vertido se hará a la red de saneamiento general del edificio, si ésta es capaz para absorber dicho caudal, y si no lo fuese, se hará directamente a la red pública de</w:t>
      </w:r>
      <w:r>
        <w:rPr>
          <w:spacing w:val="-2"/>
          <w:sz w:val="20"/>
        </w:rPr>
        <w:t> </w:t>
      </w:r>
      <w:r>
        <w:rPr>
          <w:sz w:val="20"/>
        </w:rPr>
        <w:t>alcantarillado.</w:t>
      </w:r>
    </w:p>
    <w:p>
      <w:pPr>
        <w:pStyle w:val="ListParagraph"/>
        <w:numPr>
          <w:ilvl w:val="0"/>
          <w:numId w:val="200"/>
        </w:numPr>
        <w:tabs>
          <w:tab w:pos="673" w:val="left" w:leader="none"/>
        </w:tabs>
        <w:spacing w:line="240" w:lineRule="auto" w:before="59" w:after="0"/>
        <w:ind w:left="672" w:right="391" w:hanging="454"/>
        <w:jc w:val="both"/>
        <w:rPr>
          <w:sz w:val="20"/>
        </w:rPr>
      </w:pPr>
      <w:r>
        <w:rPr>
          <w:sz w:val="20"/>
        </w:rPr>
        <w:t>Las superficies interiores de la cámara o arqueta, cuando ésta se realice “in situ”, se terminarán adecuadamente mediante un enfoscado, bruñido y fratasado, sin esquinas en el fondo, que a su  vez tendrá la pendiente adecuada hacia el sumidero. Si la misma fuera prefabricada cumplirá los mismos requisitos de forma</w:t>
      </w:r>
      <w:r>
        <w:rPr>
          <w:spacing w:val="-1"/>
          <w:sz w:val="20"/>
        </w:rPr>
        <w:t> </w:t>
      </w:r>
      <w:r>
        <w:rPr>
          <w:sz w:val="20"/>
        </w:rPr>
        <w:t>general.</w:t>
      </w:r>
    </w:p>
    <w:p>
      <w:pPr>
        <w:pStyle w:val="ListParagraph"/>
        <w:numPr>
          <w:ilvl w:val="0"/>
          <w:numId w:val="200"/>
        </w:numPr>
        <w:tabs>
          <w:tab w:pos="673" w:val="left" w:leader="none"/>
        </w:tabs>
        <w:spacing w:line="240" w:lineRule="auto" w:before="61" w:after="0"/>
        <w:ind w:left="672" w:right="395" w:hanging="454"/>
        <w:jc w:val="both"/>
        <w:rPr>
          <w:sz w:val="20"/>
        </w:rPr>
      </w:pPr>
      <w:r>
        <w:rPr>
          <w:sz w:val="20"/>
        </w:rPr>
        <w:t>En cualquier caso, contará con la pre-instalación adecuada para una conexión de envío de señales para la lectura a distancia del</w:t>
      </w:r>
      <w:r>
        <w:rPr>
          <w:spacing w:val="-5"/>
          <w:sz w:val="20"/>
        </w:rPr>
        <w:t> </w:t>
      </w:r>
      <w:r>
        <w:rPr>
          <w:sz w:val="20"/>
        </w:rPr>
        <w:t>contador.</w:t>
      </w:r>
    </w:p>
    <w:p>
      <w:pPr>
        <w:pStyle w:val="ListParagraph"/>
        <w:numPr>
          <w:ilvl w:val="0"/>
          <w:numId w:val="200"/>
        </w:numPr>
        <w:tabs>
          <w:tab w:pos="673" w:val="left" w:leader="none"/>
        </w:tabs>
        <w:spacing w:line="240" w:lineRule="auto" w:before="60" w:after="0"/>
        <w:ind w:left="672" w:right="390" w:hanging="454"/>
        <w:jc w:val="both"/>
        <w:rPr>
          <w:sz w:val="20"/>
        </w:rPr>
      </w:pPr>
      <w:r>
        <w:rPr>
          <w:sz w:val="20"/>
        </w:rPr>
        <w:t>Estarán cerradas con puertas capaces de resistir adecuadamente tanto la acción de la intemperie como posibles esfuerzos mecánicos derivados de su utilización y situación. En las mismas, se prac- ticarán</w:t>
      </w:r>
      <w:r>
        <w:rPr>
          <w:spacing w:val="11"/>
          <w:sz w:val="20"/>
        </w:rPr>
        <w:t> </w:t>
      </w:r>
      <w:r>
        <w:rPr>
          <w:sz w:val="20"/>
        </w:rPr>
        <w:t>aberturas</w:t>
      </w:r>
      <w:r>
        <w:rPr>
          <w:spacing w:val="13"/>
          <w:sz w:val="20"/>
        </w:rPr>
        <w:t> </w:t>
      </w:r>
      <w:r>
        <w:rPr>
          <w:sz w:val="20"/>
        </w:rPr>
        <w:t>fijas,</w:t>
      </w:r>
      <w:r>
        <w:rPr>
          <w:spacing w:val="11"/>
          <w:sz w:val="20"/>
        </w:rPr>
        <w:t> </w:t>
      </w:r>
      <w:r>
        <w:rPr>
          <w:sz w:val="20"/>
        </w:rPr>
        <w:t>taladros</w:t>
      </w:r>
      <w:r>
        <w:rPr>
          <w:spacing w:val="13"/>
          <w:sz w:val="20"/>
        </w:rPr>
        <w:t> </w:t>
      </w:r>
      <w:r>
        <w:rPr>
          <w:sz w:val="20"/>
        </w:rPr>
        <w:t>o</w:t>
      </w:r>
      <w:r>
        <w:rPr>
          <w:spacing w:val="11"/>
          <w:sz w:val="20"/>
        </w:rPr>
        <w:t> </w:t>
      </w:r>
      <w:r>
        <w:rPr>
          <w:sz w:val="20"/>
        </w:rPr>
        <w:t>rejillas,</w:t>
      </w:r>
      <w:r>
        <w:rPr>
          <w:spacing w:val="12"/>
          <w:sz w:val="20"/>
        </w:rPr>
        <w:t> </w:t>
      </w:r>
      <w:r>
        <w:rPr>
          <w:sz w:val="20"/>
        </w:rPr>
        <w:t>que</w:t>
      </w:r>
      <w:r>
        <w:rPr>
          <w:spacing w:val="12"/>
          <w:sz w:val="20"/>
        </w:rPr>
        <w:t> </w:t>
      </w:r>
      <w:r>
        <w:rPr>
          <w:sz w:val="20"/>
        </w:rPr>
        <w:t>posibiliten</w:t>
      </w:r>
      <w:r>
        <w:rPr>
          <w:spacing w:val="12"/>
          <w:sz w:val="20"/>
        </w:rPr>
        <w:t> </w:t>
      </w:r>
      <w:r>
        <w:rPr>
          <w:sz w:val="20"/>
        </w:rPr>
        <w:t>la</w:t>
      </w:r>
      <w:r>
        <w:rPr>
          <w:spacing w:val="11"/>
          <w:sz w:val="20"/>
        </w:rPr>
        <w:t> </w:t>
      </w:r>
      <w:r>
        <w:rPr>
          <w:sz w:val="20"/>
        </w:rPr>
        <w:t>necesaria</w:t>
      </w:r>
      <w:r>
        <w:rPr>
          <w:spacing w:val="12"/>
          <w:sz w:val="20"/>
        </w:rPr>
        <w:t> </w:t>
      </w:r>
      <w:r>
        <w:rPr>
          <w:sz w:val="20"/>
        </w:rPr>
        <w:t>ventilación</w:t>
      </w:r>
      <w:r>
        <w:rPr>
          <w:spacing w:val="11"/>
          <w:sz w:val="20"/>
        </w:rPr>
        <w:t> </w:t>
      </w:r>
      <w:r>
        <w:rPr>
          <w:sz w:val="20"/>
        </w:rPr>
        <w:t>de</w:t>
      </w:r>
      <w:r>
        <w:rPr>
          <w:spacing w:val="12"/>
          <w:sz w:val="20"/>
        </w:rPr>
        <w:t> </w:t>
      </w:r>
      <w:r>
        <w:rPr>
          <w:sz w:val="20"/>
        </w:rPr>
        <w:t>la</w:t>
      </w:r>
      <w:r>
        <w:rPr>
          <w:spacing w:val="11"/>
          <w:sz w:val="20"/>
        </w:rPr>
        <w:t> </w:t>
      </w:r>
      <w:r>
        <w:rPr>
          <w:sz w:val="20"/>
        </w:rPr>
        <w:t>cámara.</w:t>
      </w:r>
      <w:r>
        <w:rPr>
          <w:spacing w:val="12"/>
          <w:sz w:val="20"/>
        </w:rPr>
        <w:t> </w:t>
      </w:r>
      <w:r>
        <w:rPr>
          <w:sz w:val="20"/>
        </w:rPr>
        <w:t>Irán</w:t>
      </w:r>
    </w:p>
    <w:p>
      <w:pPr>
        <w:spacing w:after="0" w:line="240" w:lineRule="auto"/>
        <w:jc w:val="both"/>
        <w:rPr>
          <w:sz w:val="20"/>
        </w:rPr>
        <w:sectPr>
          <w:pgSz w:w="11910" w:h="16840"/>
          <w:pgMar w:header="908" w:footer="636" w:top="1320" w:bottom="840" w:left="1200" w:right="740"/>
        </w:sectPr>
      </w:pPr>
    </w:p>
    <w:p>
      <w:pPr>
        <w:pStyle w:val="BodyText"/>
        <w:spacing w:before="91"/>
        <w:ind w:left="672"/>
      </w:pPr>
      <w:r>
        <w:rPr/>
        <w:t>provistas de cerradura y llave, para impedir la manipulación por personas no autorizadas, tanto del contador como de sus llaves.</w:t>
      </w:r>
    </w:p>
    <w:p>
      <w:pPr>
        <w:pStyle w:val="BodyText"/>
        <w:spacing w:before="6"/>
        <w:rPr>
          <w:sz w:val="17"/>
        </w:rPr>
      </w:pPr>
    </w:p>
    <w:p>
      <w:pPr>
        <w:pStyle w:val="Heading5"/>
        <w:numPr>
          <w:ilvl w:val="3"/>
          <w:numId w:val="189"/>
        </w:numPr>
        <w:tabs>
          <w:tab w:pos="933" w:val="left" w:leader="none"/>
        </w:tabs>
        <w:spacing w:line="240" w:lineRule="auto" w:before="0" w:after="0"/>
        <w:ind w:left="932" w:right="0" w:hanging="708"/>
        <w:jc w:val="both"/>
      </w:pPr>
      <w:r>
        <w:rPr/>
        <w:t>Contadores individuales</w:t>
      </w:r>
      <w:r>
        <w:rPr>
          <w:spacing w:val="-1"/>
        </w:rPr>
        <w:t> </w:t>
      </w:r>
      <w:r>
        <w:rPr/>
        <w:t>aislados</w:t>
      </w:r>
    </w:p>
    <w:p>
      <w:pPr>
        <w:pStyle w:val="BodyText"/>
        <w:spacing w:before="99"/>
        <w:ind w:left="672" w:right="391" w:hanging="454"/>
        <w:jc w:val="both"/>
      </w:pPr>
      <w:r>
        <w:rPr/>
        <w:t>1 Se alojarán en cámara, arqueta o armario según las distintas posibilidades de instalación y cum- pliendo los requisitos establecidos en el apartado anterior en cuanto a sus condiciones de ejecu- ción. En cualquier caso este alojamiento dispondrá de desagüe capaz para el caudal máximo con- tenido en este tramo de la instalación, conectado, o bien a la red general de evacuación del edificio, o bien con una red independiente que recoja todos ellos y la conecte con dicha red</w:t>
      </w:r>
      <w:r>
        <w:rPr>
          <w:spacing w:val="-8"/>
        </w:rPr>
        <w:t> </w:t>
      </w:r>
      <w:r>
        <w:rPr/>
        <w:t>general.</w:t>
      </w:r>
    </w:p>
    <w:p>
      <w:pPr>
        <w:pStyle w:val="BodyText"/>
        <w:spacing w:before="6"/>
        <w:rPr>
          <w:sz w:val="17"/>
        </w:rPr>
      </w:pPr>
    </w:p>
    <w:p>
      <w:pPr>
        <w:pStyle w:val="Heading5"/>
        <w:numPr>
          <w:ilvl w:val="2"/>
          <w:numId w:val="189"/>
        </w:numPr>
        <w:tabs>
          <w:tab w:pos="787" w:val="left" w:leader="none"/>
        </w:tabs>
        <w:spacing w:line="240" w:lineRule="auto" w:before="0" w:after="0"/>
        <w:ind w:left="786" w:right="0" w:hanging="569"/>
        <w:jc w:val="both"/>
      </w:pPr>
      <w:r>
        <w:rPr/>
        <w:t>Ejecución de los sistemas de control de la</w:t>
      </w:r>
      <w:r>
        <w:rPr>
          <w:spacing w:val="-3"/>
        </w:rPr>
        <w:t> </w:t>
      </w:r>
      <w:r>
        <w:rPr/>
        <w:t>presión</w:t>
      </w:r>
    </w:p>
    <w:p>
      <w:pPr>
        <w:pStyle w:val="BodyText"/>
        <w:spacing w:before="5"/>
        <w:rPr>
          <w:b/>
          <w:sz w:val="17"/>
        </w:rPr>
      </w:pPr>
    </w:p>
    <w:p>
      <w:pPr>
        <w:pStyle w:val="ListParagraph"/>
        <w:numPr>
          <w:ilvl w:val="3"/>
          <w:numId w:val="189"/>
        </w:numPr>
        <w:tabs>
          <w:tab w:pos="933" w:val="left" w:leader="none"/>
        </w:tabs>
        <w:spacing w:line="240" w:lineRule="auto" w:before="0" w:after="0"/>
        <w:ind w:left="932" w:right="0" w:hanging="708"/>
        <w:jc w:val="both"/>
        <w:rPr>
          <w:b/>
          <w:sz w:val="20"/>
        </w:rPr>
      </w:pPr>
      <w:r>
        <w:rPr>
          <w:b/>
          <w:sz w:val="20"/>
        </w:rPr>
        <w:t>Montaje del grupo de</w:t>
      </w:r>
      <w:r>
        <w:rPr>
          <w:b/>
          <w:spacing w:val="-3"/>
          <w:sz w:val="20"/>
        </w:rPr>
        <w:t> </w:t>
      </w:r>
      <w:r>
        <w:rPr>
          <w:b/>
          <w:sz w:val="20"/>
        </w:rPr>
        <w:t>sobreelevación</w:t>
      </w:r>
    </w:p>
    <w:p>
      <w:pPr>
        <w:pStyle w:val="BodyText"/>
        <w:spacing w:before="4"/>
        <w:rPr>
          <w:b/>
          <w:sz w:val="17"/>
        </w:rPr>
      </w:pPr>
    </w:p>
    <w:p>
      <w:pPr>
        <w:pStyle w:val="ListParagraph"/>
        <w:numPr>
          <w:ilvl w:val="4"/>
          <w:numId w:val="189"/>
        </w:numPr>
        <w:tabs>
          <w:tab w:pos="1155" w:val="left" w:leader="none"/>
        </w:tabs>
        <w:spacing w:line="240" w:lineRule="auto" w:before="0" w:after="0"/>
        <w:ind w:left="1154" w:right="0" w:hanging="882"/>
        <w:jc w:val="both"/>
        <w:rPr>
          <w:b/>
          <w:sz w:val="20"/>
        </w:rPr>
      </w:pPr>
      <w:r>
        <w:rPr>
          <w:b/>
          <w:sz w:val="20"/>
        </w:rPr>
        <w:t>Depósito auxiliar de</w:t>
      </w:r>
      <w:r>
        <w:rPr>
          <w:b/>
          <w:spacing w:val="-2"/>
          <w:sz w:val="20"/>
        </w:rPr>
        <w:t> </w:t>
      </w:r>
      <w:r>
        <w:rPr>
          <w:b/>
          <w:sz w:val="20"/>
        </w:rPr>
        <w:t>alimentación</w:t>
      </w:r>
    </w:p>
    <w:p>
      <w:pPr>
        <w:pStyle w:val="ListParagraph"/>
        <w:numPr>
          <w:ilvl w:val="0"/>
          <w:numId w:val="201"/>
        </w:numPr>
        <w:tabs>
          <w:tab w:pos="673" w:val="left" w:leader="none"/>
        </w:tabs>
        <w:spacing w:line="240" w:lineRule="auto" w:before="98" w:after="0"/>
        <w:ind w:left="672" w:right="391" w:hanging="454"/>
        <w:jc w:val="both"/>
        <w:rPr>
          <w:sz w:val="20"/>
        </w:rPr>
      </w:pPr>
      <w:r>
        <w:rPr>
          <w:sz w:val="20"/>
        </w:rPr>
        <w:t>En estos depósitos el agua de consumo humano podrá ser almacenada bajo las siguientes premi- sas:</w:t>
      </w:r>
    </w:p>
    <w:p>
      <w:pPr>
        <w:pStyle w:val="ListParagraph"/>
        <w:numPr>
          <w:ilvl w:val="1"/>
          <w:numId w:val="201"/>
        </w:numPr>
        <w:tabs>
          <w:tab w:pos="1126" w:val="left" w:leader="none"/>
        </w:tabs>
        <w:spacing w:line="240" w:lineRule="auto" w:before="60" w:after="0"/>
        <w:ind w:left="1126" w:right="390" w:hanging="454"/>
        <w:jc w:val="both"/>
        <w:rPr>
          <w:sz w:val="20"/>
        </w:rPr>
      </w:pPr>
      <w:r>
        <w:rPr>
          <w:sz w:val="20"/>
        </w:rPr>
        <w:t>el depósito habrá de estar fácilmente accesible y ser fácil de limpiar. Contará en cualquier caso con tapa y esta ha de estar asegurada contra deslizamiento y disponer en la zona más alta de suficiente ventilación y</w:t>
      </w:r>
      <w:r>
        <w:rPr>
          <w:spacing w:val="-2"/>
          <w:sz w:val="20"/>
        </w:rPr>
        <w:t> </w:t>
      </w:r>
      <w:r>
        <w:rPr>
          <w:sz w:val="20"/>
        </w:rPr>
        <w:t>aireación;</w:t>
      </w:r>
    </w:p>
    <w:p>
      <w:pPr>
        <w:pStyle w:val="ListParagraph"/>
        <w:numPr>
          <w:ilvl w:val="1"/>
          <w:numId w:val="201"/>
        </w:numPr>
        <w:tabs>
          <w:tab w:pos="1126" w:val="left" w:leader="none"/>
        </w:tabs>
        <w:spacing w:line="240" w:lineRule="auto" w:before="60" w:after="0"/>
        <w:ind w:left="1126" w:right="392" w:hanging="454"/>
        <w:jc w:val="both"/>
        <w:rPr>
          <w:sz w:val="20"/>
        </w:rPr>
      </w:pPr>
      <w:r>
        <w:rPr>
          <w:sz w:val="20"/>
        </w:rPr>
        <w:t>Habrá que asegurar todas las uniones con la atmósfera contra la entrada de animales e inmi- siones nocivas con dispositivos eficaces tales como tamices de trama densa para ventilación y aireación, sifón para el</w:t>
      </w:r>
      <w:r>
        <w:rPr>
          <w:spacing w:val="-3"/>
          <w:sz w:val="20"/>
        </w:rPr>
        <w:t> </w:t>
      </w:r>
      <w:r>
        <w:rPr>
          <w:sz w:val="20"/>
        </w:rPr>
        <w:t>rebosado.</w:t>
      </w:r>
    </w:p>
    <w:p>
      <w:pPr>
        <w:pStyle w:val="ListParagraph"/>
        <w:numPr>
          <w:ilvl w:val="0"/>
          <w:numId w:val="201"/>
        </w:numPr>
        <w:tabs>
          <w:tab w:pos="673" w:val="left" w:leader="none"/>
        </w:tabs>
        <w:spacing w:line="240" w:lineRule="auto" w:before="60" w:after="0"/>
        <w:ind w:left="672" w:right="395" w:hanging="454"/>
        <w:jc w:val="both"/>
        <w:rPr>
          <w:sz w:val="20"/>
        </w:rPr>
      </w:pPr>
      <w:r>
        <w:rPr>
          <w:sz w:val="20"/>
        </w:rPr>
        <w:t>En cuanto a su construcción, será capaz de resistir las cargas previstas debidas al agua contenida más las debidas a la sobrepresión de la red si es el</w:t>
      </w:r>
      <w:r>
        <w:rPr>
          <w:spacing w:val="-7"/>
          <w:sz w:val="20"/>
        </w:rPr>
        <w:t> </w:t>
      </w:r>
      <w:r>
        <w:rPr>
          <w:sz w:val="20"/>
        </w:rPr>
        <w:t>caso.</w:t>
      </w:r>
    </w:p>
    <w:p>
      <w:pPr>
        <w:pStyle w:val="ListParagraph"/>
        <w:numPr>
          <w:ilvl w:val="0"/>
          <w:numId w:val="201"/>
        </w:numPr>
        <w:tabs>
          <w:tab w:pos="673" w:val="left" w:leader="none"/>
        </w:tabs>
        <w:spacing w:line="240" w:lineRule="auto" w:before="61" w:after="0"/>
        <w:ind w:left="672" w:right="397" w:hanging="454"/>
        <w:jc w:val="both"/>
        <w:rPr>
          <w:sz w:val="20"/>
        </w:rPr>
      </w:pPr>
      <w:r>
        <w:rPr>
          <w:sz w:val="20"/>
        </w:rPr>
        <w:t>Estarán, en todos los casos, provistos de un rebosadero, considerando las disposiciones contra retorno del agua especificadas en el punto</w:t>
      </w:r>
      <w:r>
        <w:rPr>
          <w:spacing w:val="-2"/>
          <w:sz w:val="20"/>
        </w:rPr>
        <w:t> </w:t>
      </w:r>
      <w:r>
        <w:rPr>
          <w:sz w:val="20"/>
        </w:rPr>
        <w:t>3.3.</w:t>
      </w:r>
    </w:p>
    <w:p>
      <w:pPr>
        <w:pStyle w:val="ListParagraph"/>
        <w:numPr>
          <w:ilvl w:val="0"/>
          <w:numId w:val="201"/>
        </w:numPr>
        <w:tabs>
          <w:tab w:pos="673" w:val="left" w:leader="none"/>
        </w:tabs>
        <w:spacing w:line="240" w:lineRule="auto" w:before="59" w:after="0"/>
        <w:ind w:left="672" w:right="389" w:hanging="454"/>
        <w:jc w:val="both"/>
        <w:rPr>
          <w:sz w:val="20"/>
        </w:rPr>
      </w:pPr>
      <w:r>
        <w:rPr>
          <w:sz w:val="20"/>
        </w:rPr>
        <w:t>Se dispondrá, en la tubería de alimentación al depósito de uno o varios dispositivos de cierre para evitar que el nivel de llenado del mismo supere el máximo previsto. Dichos dispositivos serán válvu- las pilotadas. En el caso de existir exceso de presión habrá de interponerse, antes de dichas válvu- las, una que limite dicha presión con el fin de no producir el deterioro de las</w:t>
      </w:r>
      <w:r>
        <w:rPr>
          <w:spacing w:val="-7"/>
          <w:sz w:val="20"/>
        </w:rPr>
        <w:t> </w:t>
      </w:r>
      <w:r>
        <w:rPr>
          <w:sz w:val="20"/>
        </w:rPr>
        <w:t>anteriores.</w:t>
      </w:r>
    </w:p>
    <w:p>
      <w:pPr>
        <w:pStyle w:val="ListParagraph"/>
        <w:numPr>
          <w:ilvl w:val="0"/>
          <w:numId w:val="201"/>
        </w:numPr>
        <w:tabs>
          <w:tab w:pos="673" w:val="left" w:leader="none"/>
        </w:tabs>
        <w:spacing w:line="240" w:lineRule="auto" w:before="61" w:after="0"/>
        <w:ind w:left="672" w:right="395" w:hanging="454"/>
        <w:jc w:val="both"/>
        <w:rPr>
          <w:sz w:val="20"/>
        </w:rPr>
      </w:pPr>
      <w:r>
        <w:rPr>
          <w:sz w:val="20"/>
        </w:rPr>
        <w:t>La centralita de maniobra y control del equipo dispondrá de un hidronivel de protección para impedir el funcionamiento de las bombas con bajo nivel de</w:t>
      </w:r>
      <w:r>
        <w:rPr>
          <w:spacing w:val="-2"/>
          <w:sz w:val="20"/>
        </w:rPr>
        <w:t> </w:t>
      </w:r>
      <w:r>
        <w:rPr>
          <w:sz w:val="20"/>
        </w:rPr>
        <w:t>agua.</w:t>
      </w:r>
    </w:p>
    <w:p>
      <w:pPr>
        <w:pStyle w:val="ListParagraph"/>
        <w:numPr>
          <w:ilvl w:val="0"/>
          <w:numId w:val="201"/>
        </w:numPr>
        <w:tabs>
          <w:tab w:pos="673" w:val="left" w:leader="none"/>
        </w:tabs>
        <w:spacing w:line="240" w:lineRule="auto" w:before="60" w:after="0"/>
        <w:ind w:left="672" w:right="390" w:hanging="454"/>
        <w:jc w:val="both"/>
        <w:rPr>
          <w:sz w:val="20"/>
        </w:rPr>
      </w:pPr>
      <w:r>
        <w:rPr>
          <w:sz w:val="20"/>
        </w:rPr>
        <w:t>Se dispondrá de los mecanismos necesarios que permitan la fácil evacuación del agua contenida  en el depósito, para facilitar su mantenimiento y limpieza. Así mismo, se construirán y conectarán de manera que el agua se renueve por su propio modo de funcionamiento evitando siempre la exis- tencia de agua</w:t>
      </w:r>
      <w:r>
        <w:rPr>
          <w:spacing w:val="-1"/>
          <w:sz w:val="20"/>
        </w:rPr>
        <w:t> </w:t>
      </w:r>
      <w:r>
        <w:rPr>
          <w:sz w:val="20"/>
        </w:rPr>
        <w:t>estancada.</w:t>
      </w:r>
    </w:p>
    <w:p>
      <w:pPr>
        <w:pStyle w:val="BodyText"/>
        <w:spacing w:before="5"/>
        <w:rPr>
          <w:sz w:val="17"/>
        </w:rPr>
      </w:pPr>
    </w:p>
    <w:p>
      <w:pPr>
        <w:pStyle w:val="Heading5"/>
        <w:numPr>
          <w:ilvl w:val="4"/>
          <w:numId w:val="189"/>
        </w:numPr>
        <w:tabs>
          <w:tab w:pos="1155" w:val="left" w:leader="none"/>
        </w:tabs>
        <w:spacing w:line="240" w:lineRule="auto" w:before="0" w:after="0"/>
        <w:ind w:left="1154" w:right="0" w:hanging="882"/>
        <w:jc w:val="left"/>
      </w:pPr>
      <w:r>
        <w:rPr/>
        <w:t>Bombas</w:t>
      </w:r>
    </w:p>
    <w:p>
      <w:pPr>
        <w:pStyle w:val="ListParagraph"/>
        <w:numPr>
          <w:ilvl w:val="0"/>
          <w:numId w:val="202"/>
        </w:numPr>
        <w:tabs>
          <w:tab w:pos="672" w:val="left" w:leader="none"/>
          <w:tab w:pos="673" w:val="left" w:leader="none"/>
        </w:tabs>
        <w:spacing w:line="240" w:lineRule="auto" w:before="99" w:after="0"/>
        <w:ind w:left="672" w:right="395" w:hanging="454"/>
        <w:jc w:val="left"/>
        <w:rPr>
          <w:sz w:val="20"/>
        </w:rPr>
      </w:pPr>
      <w:r>
        <w:rPr>
          <w:sz w:val="20"/>
        </w:rPr>
        <w:t>Se montarán sobre bancada de hormigón u otro tipo de material que garantice la suficiente masa e inercia al conjunto e impida la transmisión de ruidos y vibraciones al</w:t>
      </w:r>
      <w:r>
        <w:rPr>
          <w:spacing w:val="-8"/>
          <w:sz w:val="20"/>
        </w:rPr>
        <w:t> </w:t>
      </w:r>
      <w:r>
        <w:rPr>
          <w:sz w:val="20"/>
        </w:rPr>
        <w:t>edificio.</w:t>
      </w:r>
    </w:p>
    <w:p>
      <w:pPr>
        <w:pStyle w:val="ListParagraph"/>
        <w:numPr>
          <w:ilvl w:val="0"/>
          <w:numId w:val="202"/>
        </w:numPr>
        <w:tabs>
          <w:tab w:pos="672" w:val="left" w:leader="none"/>
          <w:tab w:pos="673" w:val="left" w:leader="none"/>
        </w:tabs>
        <w:spacing w:line="240" w:lineRule="auto" w:before="60" w:after="0"/>
        <w:ind w:left="672" w:right="393" w:hanging="454"/>
        <w:jc w:val="left"/>
        <w:rPr>
          <w:sz w:val="20"/>
        </w:rPr>
      </w:pPr>
      <w:r>
        <w:rPr>
          <w:sz w:val="20"/>
        </w:rPr>
        <w:t>A la salida de cada bomba se instalará un manguito elástico, con el fin de impedir la transmisión de vibraciones a la red de</w:t>
      </w:r>
      <w:r>
        <w:rPr>
          <w:spacing w:val="-3"/>
          <w:sz w:val="20"/>
        </w:rPr>
        <w:t> </w:t>
      </w:r>
      <w:r>
        <w:rPr>
          <w:sz w:val="20"/>
        </w:rPr>
        <w:t>tuberías.</w:t>
      </w:r>
    </w:p>
    <w:p>
      <w:pPr>
        <w:pStyle w:val="ListParagraph"/>
        <w:numPr>
          <w:ilvl w:val="0"/>
          <w:numId w:val="202"/>
        </w:numPr>
        <w:tabs>
          <w:tab w:pos="672" w:val="left" w:leader="none"/>
          <w:tab w:pos="673" w:val="left" w:leader="none"/>
        </w:tabs>
        <w:spacing w:line="240" w:lineRule="auto" w:before="60" w:after="0"/>
        <w:ind w:left="672" w:right="396" w:hanging="454"/>
        <w:jc w:val="left"/>
        <w:rPr>
          <w:sz w:val="20"/>
        </w:rPr>
      </w:pPr>
      <w:r>
        <w:rPr>
          <w:sz w:val="20"/>
        </w:rPr>
        <w:t>Igualmente, se dispondrán llaves de cierre, antes y después de cada bomba, de manera que se puedan desmontar sin interrupción del abastecimiento de</w:t>
      </w:r>
      <w:r>
        <w:rPr>
          <w:spacing w:val="-3"/>
          <w:sz w:val="20"/>
        </w:rPr>
        <w:t> </w:t>
      </w:r>
      <w:r>
        <w:rPr>
          <w:sz w:val="20"/>
        </w:rPr>
        <w:t>agua.</w:t>
      </w:r>
    </w:p>
    <w:p>
      <w:pPr>
        <w:pStyle w:val="ListParagraph"/>
        <w:numPr>
          <w:ilvl w:val="0"/>
          <w:numId w:val="202"/>
        </w:numPr>
        <w:tabs>
          <w:tab w:pos="672" w:val="left" w:leader="none"/>
          <w:tab w:pos="673" w:val="left" w:leader="none"/>
        </w:tabs>
        <w:spacing w:line="240" w:lineRule="auto" w:before="60" w:after="0"/>
        <w:ind w:left="672" w:right="0" w:hanging="455"/>
        <w:jc w:val="left"/>
        <w:rPr>
          <w:sz w:val="20"/>
        </w:rPr>
      </w:pPr>
      <w:r>
        <w:rPr>
          <w:sz w:val="20"/>
        </w:rPr>
        <w:t>Se realizará siempre una adecuada</w:t>
      </w:r>
      <w:r>
        <w:rPr>
          <w:spacing w:val="-3"/>
          <w:sz w:val="20"/>
        </w:rPr>
        <w:t> </w:t>
      </w:r>
      <w:r>
        <w:rPr>
          <w:sz w:val="20"/>
        </w:rPr>
        <w:t>nivelación.</w:t>
      </w:r>
    </w:p>
    <w:p>
      <w:pPr>
        <w:pStyle w:val="ListParagraph"/>
        <w:numPr>
          <w:ilvl w:val="0"/>
          <w:numId w:val="202"/>
        </w:numPr>
        <w:tabs>
          <w:tab w:pos="672" w:val="left" w:leader="none"/>
          <w:tab w:pos="673" w:val="left" w:leader="none"/>
        </w:tabs>
        <w:spacing w:line="240" w:lineRule="auto" w:before="60" w:after="0"/>
        <w:ind w:left="672" w:right="0" w:hanging="455"/>
        <w:jc w:val="left"/>
        <w:rPr>
          <w:sz w:val="20"/>
        </w:rPr>
      </w:pPr>
      <w:r>
        <w:rPr>
          <w:sz w:val="20"/>
        </w:rPr>
        <w:t>Las bombas de impulsión se instalarán preferiblemente</w:t>
      </w:r>
      <w:r>
        <w:rPr>
          <w:spacing w:val="-8"/>
          <w:sz w:val="20"/>
        </w:rPr>
        <w:t> </w:t>
      </w:r>
      <w:r>
        <w:rPr>
          <w:sz w:val="20"/>
        </w:rPr>
        <w:t>sumergidas.</w:t>
      </w:r>
    </w:p>
    <w:p>
      <w:pPr>
        <w:pStyle w:val="BodyText"/>
        <w:spacing w:before="6"/>
        <w:rPr>
          <w:sz w:val="17"/>
        </w:rPr>
      </w:pPr>
    </w:p>
    <w:p>
      <w:pPr>
        <w:pStyle w:val="Heading5"/>
        <w:numPr>
          <w:ilvl w:val="4"/>
          <w:numId w:val="189"/>
        </w:numPr>
        <w:tabs>
          <w:tab w:pos="1155" w:val="left" w:leader="none"/>
        </w:tabs>
        <w:spacing w:line="240" w:lineRule="auto" w:before="0" w:after="0"/>
        <w:ind w:left="1154" w:right="0" w:hanging="882"/>
        <w:jc w:val="both"/>
      </w:pPr>
      <w:r>
        <w:rPr/>
        <w:t>Depósito de</w:t>
      </w:r>
      <w:r>
        <w:rPr>
          <w:spacing w:val="-2"/>
        </w:rPr>
        <w:t> </w:t>
      </w:r>
      <w:r>
        <w:rPr/>
        <w:t>presión</w:t>
      </w:r>
    </w:p>
    <w:p>
      <w:pPr>
        <w:pStyle w:val="ListParagraph"/>
        <w:numPr>
          <w:ilvl w:val="0"/>
          <w:numId w:val="203"/>
        </w:numPr>
        <w:tabs>
          <w:tab w:pos="673" w:val="left" w:leader="none"/>
        </w:tabs>
        <w:spacing w:line="240" w:lineRule="auto" w:before="99" w:after="0"/>
        <w:ind w:left="672" w:right="388" w:hanging="454"/>
        <w:jc w:val="both"/>
        <w:rPr>
          <w:sz w:val="20"/>
        </w:rPr>
      </w:pPr>
      <w:r>
        <w:rPr>
          <w:sz w:val="20"/>
        </w:rPr>
        <w:t>Estará dotado de un presostato con manómetro, tarado a las presiones máxima y mínima de servi- cio, haciendo las veces de interruptor, comandando la centralita de maniobra y control de las bom- bas, de tal manera que estas sólo funcionen en el momento en que disminuya la presión en el inte- rior del depósito hasta los límites establecidos, provocando el corte de corriente, y por tanto la para- da de los equipos de bombeo, cuando se alcance la presión máxima del aire contenido en el depó- sito. Los valores correspondientes de reglaje han de figurar de forma visible en el</w:t>
      </w:r>
      <w:r>
        <w:rPr>
          <w:spacing w:val="-6"/>
          <w:sz w:val="20"/>
        </w:rPr>
        <w:t> </w:t>
      </w:r>
      <w:r>
        <w:rPr>
          <w:sz w:val="20"/>
        </w:rPr>
        <w:t>depósito.</w:t>
      </w:r>
    </w:p>
    <w:p>
      <w:pPr>
        <w:spacing w:after="0" w:line="240" w:lineRule="auto"/>
        <w:jc w:val="both"/>
        <w:rPr>
          <w:sz w:val="20"/>
        </w:rPr>
        <w:sectPr>
          <w:footerReference w:type="default" r:id="rId143"/>
          <w:pgSz w:w="11910" w:h="16840"/>
          <w:pgMar w:footer="654" w:header="908" w:top="1320" w:bottom="840" w:left="1200" w:right="740"/>
        </w:sectPr>
      </w:pPr>
    </w:p>
    <w:p>
      <w:pPr>
        <w:pStyle w:val="ListParagraph"/>
        <w:numPr>
          <w:ilvl w:val="0"/>
          <w:numId w:val="203"/>
        </w:numPr>
        <w:tabs>
          <w:tab w:pos="673" w:val="left" w:leader="none"/>
        </w:tabs>
        <w:spacing w:line="240" w:lineRule="auto" w:before="91" w:after="0"/>
        <w:ind w:left="672" w:right="392" w:hanging="454"/>
        <w:jc w:val="both"/>
        <w:rPr>
          <w:sz w:val="20"/>
        </w:rPr>
      </w:pPr>
      <w:r>
        <w:rPr>
          <w:sz w:val="20"/>
        </w:rPr>
        <w:t>En equipos con varias bombas de funcionamiento en cascada, se instalarán tantos presostatos como bombas se desee hacer entrar en funcionamiento. Dichos presostatos, se tararán mediante un valor de presión diferencial para que las bombas entren en funcionamiento consecutivo para ahorrar energía.</w:t>
      </w:r>
    </w:p>
    <w:p>
      <w:pPr>
        <w:pStyle w:val="ListParagraph"/>
        <w:numPr>
          <w:ilvl w:val="0"/>
          <w:numId w:val="203"/>
        </w:numPr>
        <w:tabs>
          <w:tab w:pos="673" w:val="left" w:leader="none"/>
        </w:tabs>
        <w:spacing w:line="240" w:lineRule="auto" w:before="59" w:after="0"/>
        <w:ind w:left="672" w:right="392" w:hanging="454"/>
        <w:jc w:val="both"/>
        <w:rPr>
          <w:sz w:val="20"/>
        </w:rPr>
      </w:pPr>
      <w:r>
        <w:rPr>
          <w:sz w:val="20"/>
        </w:rPr>
        <w:t>Cumplirán la reglamentación vigente sobre aparatos a presión y su construcción atenderá en cual- quier caso, al uso previsto. Dispondrán, en lugar visible, de una placa en la que figure la contraseña de certificación, las presiones máximas de trabajo y prueba, la fecha de timbrado, el espesor de la chapa y el</w:t>
      </w:r>
      <w:r>
        <w:rPr>
          <w:spacing w:val="-2"/>
          <w:sz w:val="20"/>
        </w:rPr>
        <w:t> </w:t>
      </w:r>
      <w:r>
        <w:rPr>
          <w:sz w:val="20"/>
        </w:rPr>
        <w:t>volumen.</w:t>
      </w:r>
    </w:p>
    <w:p>
      <w:pPr>
        <w:pStyle w:val="ListParagraph"/>
        <w:numPr>
          <w:ilvl w:val="0"/>
          <w:numId w:val="203"/>
        </w:numPr>
        <w:tabs>
          <w:tab w:pos="673" w:val="left" w:leader="none"/>
        </w:tabs>
        <w:spacing w:line="240" w:lineRule="auto" w:before="61" w:after="0"/>
        <w:ind w:left="672" w:right="392" w:hanging="454"/>
        <w:jc w:val="both"/>
        <w:rPr>
          <w:sz w:val="20"/>
        </w:rPr>
      </w:pPr>
      <w:r>
        <w:rPr>
          <w:sz w:val="20"/>
        </w:rPr>
        <w:t>El timbre de presión máxima de trabajo del depósito superará, al menos, en 1 bar, a la presión má- xima prevista a la</w:t>
      </w:r>
      <w:r>
        <w:rPr>
          <w:spacing w:val="-3"/>
          <w:sz w:val="20"/>
        </w:rPr>
        <w:t> </w:t>
      </w:r>
      <w:r>
        <w:rPr>
          <w:sz w:val="20"/>
        </w:rPr>
        <w:t>instalación.</w:t>
      </w:r>
    </w:p>
    <w:p>
      <w:pPr>
        <w:pStyle w:val="ListParagraph"/>
        <w:numPr>
          <w:ilvl w:val="0"/>
          <w:numId w:val="203"/>
        </w:numPr>
        <w:tabs>
          <w:tab w:pos="673" w:val="left" w:leader="none"/>
        </w:tabs>
        <w:spacing w:line="240" w:lineRule="auto" w:before="60" w:after="0"/>
        <w:ind w:left="672" w:right="394" w:hanging="454"/>
        <w:jc w:val="both"/>
        <w:rPr>
          <w:sz w:val="20"/>
        </w:rPr>
      </w:pPr>
      <w:r>
        <w:rPr>
          <w:sz w:val="20"/>
        </w:rPr>
        <w:t>Dispondrá de una válvula de seguridad, situada en su parte superior, con una presión de apertura por encima de la presión nominal de trabajo e inferior o igual a la presión de timbrado del</w:t>
      </w:r>
      <w:r>
        <w:rPr>
          <w:spacing w:val="-12"/>
          <w:sz w:val="20"/>
        </w:rPr>
        <w:t> </w:t>
      </w:r>
      <w:r>
        <w:rPr>
          <w:sz w:val="20"/>
        </w:rPr>
        <w:t>depósito.</w:t>
      </w:r>
    </w:p>
    <w:p>
      <w:pPr>
        <w:pStyle w:val="ListParagraph"/>
        <w:numPr>
          <w:ilvl w:val="0"/>
          <w:numId w:val="203"/>
        </w:numPr>
        <w:tabs>
          <w:tab w:pos="673" w:val="left" w:leader="none"/>
        </w:tabs>
        <w:spacing w:line="240" w:lineRule="auto" w:before="60" w:after="0"/>
        <w:ind w:left="672" w:right="391" w:hanging="454"/>
        <w:jc w:val="both"/>
        <w:rPr>
          <w:sz w:val="20"/>
        </w:rPr>
      </w:pPr>
      <w:r>
        <w:rPr>
          <w:sz w:val="20"/>
        </w:rPr>
        <w:t>Con objeto de evitar paradas y puestas en marcha demasiado frecuentes del equipo </w:t>
      </w:r>
      <w:r>
        <w:rPr>
          <w:spacing w:val="2"/>
          <w:sz w:val="20"/>
        </w:rPr>
        <w:t>de </w:t>
      </w:r>
      <w:r>
        <w:rPr>
          <w:sz w:val="20"/>
        </w:rPr>
        <w:t>bombeo, con el consiguiente gasto de energía, se dará un margen suficientemente amplio entre la presión máxima y la presión mínima en el interior del depósito, tal como figura en los puntos correspondien- tes a su</w:t>
      </w:r>
      <w:r>
        <w:rPr>
          <w:spacing w:val="-2"/>
          <w:sz w:val="20"/>
        </w:rPr>
        <w:t> </w:t>
      </w:r>
      <w:r>
        <w:rPr>
          <w:sz w:val="20"/>
        </w:rPr>
        <w:t>cálculo.</w:t>
      </w:r>
    </w:p>
    <w:p>
      <w:pPr>
        <w:pStyle w:val="ListParagraph"/>
        <w:numPr>
          <w:ilvl w:val="0"/>
          <w:numId w:val="203"/>
        </w:numPr>
        <w:tabs>
          <w:tab w:pos="673" w:val="left" w:leader="none"/>
        </w:tabs>
        <w:spacing w:line="240" w:lineRule="auto" w:before="60" w:after="0"/>
        <w:ind w:left="672" w:right="0" w:hanging="455"/>
        <w:jc w:val="both"/>
        <w:rPr>
          <w:sz w:val="20"/>
        </w:rPr>
      </w:pPr>
      <w:r>
        <w:rPr>
          <w:sz w:val="20"/>
        </w:rPr>
        <w:t>Si se instalaran varios depósitos, estos pueden disponerse tanto en línea como en</w:t>
      </w:r>
      <w:r>
        <w:rPr>
          <w:spacing w:val="-6"/>
          <w:sz w:val="20"/>
        </w:rPr>
        <w:t> </w:t>
      </w:r>
      <w:r>
        <w:rPr>
          <w:sz w:val="20"/>
        </w:rPr>
        <w:t>derivación.</w:t>
      </w:r>
    </w:p>
    <w:p>
      <w:pPr>
        <w:pStyle w:val="ListParagraph"/>
        <w:numPr>
          <w:ilvl w:val="0"/>
          <w:numId w:val="203"/>
        </w:numPr>
        <w:tabs>
          <w:tab w:pos="673" w:val="left" w:leader="none"/>
        </w:tabs>
        <w:spacing w:line="240" w:lineRule="auto" w:before="60" w:after="0"/>
        <w:ind w:left="672" w:right="397" w:hanging="454"/>
        <w:jc w:val="both"/>
        <w:rPr>
          <w:sz w:val="20"/>
        </w:rPr>
      </w:pPr>
      <w:r>
        <w:rPr>
          <w:sz w:val="20"/>
        </w:rPr>
        <w:t>Las conducciones de conexión se instalarán de manera que el aire comprimido no pueda llegar ni a la entrada al depósito ni a su salida a la red de</w:t>
      </w:r>
      <w:r>
        <w:rPr>
          <w:spacing w:val="-8"/>
          <w:sz w:val="20"/>
        </w:rPr>
        <w:t> </w:t>
      </w:r>
      <w:r>
        <w:rPr>
          <w:sz w:val="20"/>
        </w:rPr>
        <w:t>distribución.</w:t>
      </w:r>
    </w:p>
    <w:p>
      <w:pPr>
        <w:pStyle w:val="BodyText"/>
        <w:spacing w:before="6"/>
        <w:rPr>
          <w:sz w:val="17"/>
        </w:rPr>
      </w:pPr>
    </w:p>
    <w:p>
      <w:pPr>
        <w:pStyle w:val="Heading5"/>
        <w:numPr>
          <w:ilvl w:val="3"/>
          <w:numId w:val="189"/>
        </w:numPr>
        <w:tabs>
          <w:tab w:pos="933" w:val="left" w:leader="none"/>
        </w:tabs>
        <w:spacing w:line="240" w:lineRule="auto" w:before="0" w:after="0"/>
        <w:ind w:left="932" w:right="0" w:hanging="708"/>
        <w:jc w:val="both"/>
      </w:pPr>
      <w:r>
        <w:rPr/>
        <w:t>Funcionamiento alternativo del grupo de presión</w:t>
      </w:r>
      <w:r>
        <w:rPr>
          <w:spacing w:val="-5"/>
        </w:rPr>
        <w:t> </w:t>
      </w:r>
      <w:r>
        <w:rPr/>
        <w:t>convencional</w:t>
      </w:r>
    </w:p>
    <w:p>
      <w:pPr>
        <w:pStyle w:val="ListParagraph"/>
        <w:numPr>
          <w:ilvl w:val="0"/>
          <w:numId w:val="204"/>
        </w:numPr>
        <w:tabs>
          <w:tab w:pos="673" w:val="left" w:leader="none"/>
        </w:tabs>
        <w:spacing w:line="240" w:lineRule="auto" w:before="99" w:after="0"/>
        <w:ind w:left="672" w:right="392" w:hanging="454"/>
        <w:jc w:val="both"/>
        <w:rPr>
          <w:sz w:val="20"/>
        </w:rPr>
      </w:pPr>
      <w:r>
        <w:rPr>
          <w:sz w:val="20"/>
        </w:rPr>
        <w:t>Se preverá una derivación alternativa (by-pass) que una el tubo de alimentación con el tubo de sali- da del grupo hacia la red interior de suministro, de manera que no se produzca una interrupción to- tal del abastecimiento por la parada de éste y que se aproveche la presión de la red de distribución en aquellos momentos en que ésta sea suficiente para abastecer nuestra</w:t>
      </w:r>
      <w:r>
        <w:rPr>
          <w:spacing w:val="-8"/>
          <w:sz w:val="20"/>
        </w:rPr>
        <w:t> </w:t>
      </w:r>
      <w:r>
        <w:rPr>
          <w:sz w:val="20"/>
        </w:rPr>
        <w:t>instalación.</w:t>
      </w:r>
    </w:p>
    <w:p>
      <w:pPr>
        <w:pStyle w:val="ListParagraph"/>
        <w:numPr>
          <w:ilvl w:val="0"/>
          <w:numId w:val="204"/>
        </w:numPr>
        <w:tabs>
          <w:tab w:pos="673" w:val="left" w:leader="none"/>
        </w:tabs>
        <w:spacing w:line="240" w:lineRule="auto" w:before="59" w:after="0"/>
        <w:ind w:left="672" w:right="389" w:hanging="454"/>
        <w:jc w:val="both"/>
        <w:rPr>
          <w:sz w:val="20"/>
        </w:rPr>
      </w:pPr>
      <w:r>
        <w:rPr>
          <w:sz w:val="20"/>
        </w:rPr>
        <w:t>Esta derivación llevará incluidas una válvula de tres vías motorizada y una válvula antirretorno pos- terior a ésta. La válvula de tres vías estará accionada automáticamente por un manómetro y su co- rrespondiente presostato, en función de la presión de la red de suministro, dando paso al agua cuando ésta tome valor suficiente de abastecimiento y cerrando el paso al grupo de presión, de manera que éste sólo funcione cuando sea imprescindible. El accionamiento de la válvula también podrá ser manual para discriminar el sentido de circulación del agua en base a otras causas tales cómo avería, interrupción del suministro eléctrico,</w:t>
      </w:r>
      <w:r>
        <w:rPr>
          <w:spacing w:val="-3"/>
          <w:sz w:val="20"/>
        </w:rPr>
        <w:t> </w:t>
      </w:r>
      <w:r>
        <w:rPr>
          <w:sz w:val="20"/>
        </w:rPr>
        <w:t>etc.</w:t>
      </w:r>
    </w:p>
    <w:p>
      <w:pPr>
        <w:pStyle w:val="ListParagraph"/>
        <w:numPr>
          <w:ilvl w:val="0"/>
          <w:numId w:val="204"/>
        </w:numPr>
        <w:tabs>
          <w:tab w:pos="673" w:val="left" w:leader="none"/>
        </w:tabs>
        <w:spacing w:line="240" w:lineRule="auto" w:before="61" w:after="0"/>
        <w:ind w:left="672" w:right="389" w:hanging="454"/>
        <w:jc w:val="both"/>
        <w:rPr>
          <w:sz w:val="20"/>
        </w:rPr>
      </w:pPr>
      <w:r>
        <w:rPr>
          <w:sz w:val="20"/>
        </w:rPr>
        <w:t>Cuando en un edificio se produzca la circunstancia de tener que recurrir a un doble distribuidor prin- cipal para dar servicio a plantas con presión de red y servicio a plantas mediante grupo de presión podrá optarse por no duplicar dicho distribuidor y hacer funcionar la válvula de tres vías con presio- nes máxima y/o mínima para cada</w:t>
      </w:r>
      <w:r>
        <w:rPr>
          <w:spacing w:val="-4"/>
          <w:sz w:val="20"/>
        </w:rPr>
        <w:t> </w:t>
      </w:r>
      <w:r>
        <w:rPr>
          <w:sz w:val="20"/>
        </w:rPr>
        <w:t>situación.</w:t>
      </w:r>
    </w:p>
    <w:p>
      <w:pPr>
        <w:pStyle w:val="ListParagraph"/>
        <w:numPr>
          <w:ilvl w:val="0"/>
          <w:numId w:val="204"/>
        </w:numPr>
        <w:tabs>
          <w:tab w:pos="673" w:val="left" w:leader="none"/>
        </w:tabs>
        <w:spacing w:line="240" w:lineRule="auto" w:before="59" w:after="0"/>
        <w:ind w:left="672" w:right="394" w:hanging="454"/>
        <w:jc w:val="both"/>
        <w:rPr>
          <w:sz w:val="20"/>
        </w:rPr>
      </w:pPr>
      <w:r>
        <w:rPr>
          <w:sz w:val="20"/>
        </w:rPr>
        <w:t>Dadas las características de funcionamiento de los grupos de presión con accionamiento regulable, no será imprescindible, aunque sí aconsejable, la instalación de ningún tipo de circuito</w:t>
      </w:r>
      <w:r>
        <w:rPr>
          <w:spacing w:val="-10"/>
          <w:sz w:val="20"/>
        </w:rPr>
        <w:t> </w:t>
      </w:r>
      <w:r>
        <w:rPr>
          <w:sz w:val="20"/>
        </w:rPr>
        <w:t>alternativo.</w:t>
      </w:r>
    </w:p>
    <w:p>
      <w:pPr>
        <w:pStyle w:val="BodyText"/>
        <w:spacing w:before="7"/>
        <w:rPr>
          <w:sz w:val="17"/>
        </w:rPr>
      </w:pPr>
    </w:p>
    <w:p>
      <w:pPr>
        <w:pStyle w:val="Heading5"/>
        <w:numPr>
          <w:ilvl w:val="3"/>
          <w:numId w:val="189"/>
        </w:numPr>
        <w:tabs>
          <w:tab w:pos="933" w:val="left" w:leader="none"/>
        </w:tabs>
        <w:spacing w:line="240" w:lineRule="auto" w:before="0" w:after="0"/>
        <w:ind w:left="932" w:right="0" w:hanging="708"/>
        <w:jc w:val="both"/>
      </w:pPr>
      <w:r>
        <w:rPr/>
        <w:t>Ejecución y montaje del reductor de</w:t>
      </w:r>
      <w:r>
        <w:rPr>
          <w:spacing w:val="-7"/>
        </w:rPr>
        <w:t> </w:t>
      </w:r>
      <w:r>
        <w:rPr/>
        <w:t>presión</w:t>
      </w:r>
    </w:p>
    <w:p>
      <w:pPr>
        <w:pStyle w:val="ListParagraph"/>
        <w:numPr>
          <w:ilvl w:val="0"/>
          <w:numId w:val="205"/>
        </w:numPr>
        <w:tabs>
          <w:tab w:pos="673" w:val="left" w:leader="none"/>
        </w:tabs>
        <w:spacing w:line="240" w:lineRule="auto" w:before="98" w:after="0"/>
        <w:ind w:left="672" w:right="0" w:hanging="455"/>
        <w:jc w:val="both"/>
        <w:rPr>
          <w:sz w:val="20"/>
        </w:rPr>
      </w:pPr>
      <w:r>
        <w:rPr>
          <w:sz w:val="20"/>
        </w:rPr>
        <w:t>Cuando existan baterías mezcladoras, se instalará una reducción de presión</w:t>
      </w:r>
      <w:r>
        <w:rPr>
          <w:spacing w:val="-4"/>
          <w:sz w:val="20"/>
        </w:rPr>
        <w:t> </w:t>
      </w:r>
      <w:r>
        <w:rPr>
          <w:sz w:val="20"/>
        </w:rPr>
        <w:t>centralizada.</w:t>
      </w:r>
    </w:p>
    <w:p>
      <w:pPr>
        <w:pStyle w:val="ListParagraph"/>
        <w:numPr>
          <w:ilvl w:val="0"/>
          <w:numId w:val="205"/>
        </w:numPr>
        <w:tabs>
          <w:tab w:pos="673" w:val="left" w:leader="none"/>
        </w:tabs>
        <w:spacing w:line="240" w:lineRule="auto" w:before="60" w:after="0"/>
        <w:ind w:left="672" w:right="390" w:hanging="454"/>
        <w:jc w:val="both"/>
        <w:rPr>
          <w:sz w:val="20"/>
        </w:rPr>
      </w:pPr>
      <w:r>
        <w:rPr>
          <w:sz w:val="20"/>
        </w:rPr>
        <w:t>Se instalarán libres de presiones y preferentemente con la caperuza de muelle dispuesta en verti- cal.</w:t>
      </w:r>
    </w:p>
    <w:p>
      <w:pPr>
        <w:pStyle w:val="ListParagraph"/>
        <w:numPr>
          <w:ilvl w:val="0"/>
          <w:numId w:val="205"/>
        </w:numPr>
        <w:tabs>
          <w:tab w:pos="673" w:val="left" w:leader="none"/>
        </w:tabs>
        <w:spacing w:line="240" w:lineRule="auto" w:before="60" w:after="0"/>
        <w:ind w:left="672" w:right="392" w:hanging="454"/>
        <w:jc w:val="both"/>
        <w:rPr>
          <w:sz w:val="20"/>
        </w:rPr>
      </w:pPr>
      <w:r>
        <w:rPr>
          <w:sz w:val="20"/>
        </w:rPr>
        <w:t>Asimismo, se dispondrá de un racor de conexión para la instalación de un aparato de medición de presión o un puente de presión diferencial. Para impedir reacciones sobre el reductor de presión debe disponerse en su lado de salida como tramo de retardo con la misma medida nominal, un tra- mo de tubo de una longitud mínima de cinco veces el diámetro</w:t>
      </w:r>
      <w:r>
        <w:rPr>
          <w:spacing w:val="-5"/>
          <w:sz w:val="20"/>
        </w:rPr>
        <w:t> </w:t>
      </w:r>
      <w:r>
        <w:rPr>
          <w:sz w:val="20"/>
        </w:rPr>
        <w:t>interior.</w:t>
      </w:r>
    </w:p>
    <w:p>
      <w:pPr>
        <w:pStyle w:val="ListParagraph"/>
        <w:numPr>
          <w:ilvl w:val="0"/>
          <w:numId w:val="205"/>
        </w:numPr>
        <w:tabs>
          <w:tab w:pos="673" w:val="left" w:leader="none"/>
        </w:tabs>
        <w:spacing w:line="240" w:lineRule="auto" w:before="61" w:after="0"/>
        <w:ind w:left="672" w:right="389" w:hanging="454"/>
        <w:jc w:val="both"/>
        <w:rPr>
          <w:sz w:val="20"/>
        </w:rPr>
      </w:pPr>
      <w:r>
        <w:rPr>
          <w:sz w:val="20"/>
        </w:rPr>
        <w:t>Si en el lado de salida se encuentran partes de la instalación que por un cierre incompleto del re- ductor serán sobrecargadas con una presión no admisible, hay que instalar una válvula de seguri- dad. La presión de salida del reductor en estos casos ha de ajustarse como mínimo un 20 % por debajo de la presión de reacción de la válvula de</w:t>
      </w:r>
      <w:r>
        <w:rPr>
          <w:spacing w:val="-5"/>
          <w:sz w:val="20"/>
        </w:rPr>
        <w:t> </w:t>
      </w:r>
      <w:r>
        <w:rPr>
          <w:sz w:val="20"/>
        </w:rPr>
        <w:t>seguridad.</w:t>
      </w:r>
    </w:p>
    <w:p>
      <w:pPr>
        <w:pStyle w:val="ListParagraph"/>
        <w:numPr>
          <w:ilvl w:val="0"/>
          <w:numId w:val="205"/>
        </w:numPr>
        <w:tabs>
          <w:tab w:pos="673" w:val="left" w:leader="none"/>
        </w:tabs>
        <w:spacing w:line="240" w:lineRule="auto" w:before="60" w:after="0"/>
        <w:ind w:left="672" w:right="395" w:hanging="454"/>
        <w:jc w:val="both"/>
        <w:rPr>
          <w:sz w:val="20"/>
        </w:rPr>
      </w:pPr>
      <w:r>
        <w:rPr>
          <w:sz w:val="20"/>
        </w:rPr>
        <w:t>Si por razones de servicio se requiere un by-pass, éste se proveerá de un reductor de presión. Los reductores de presión se elegirán de acuerdo con sus correspondientes condiciones de servicio y se instalarán de manera que exista circulación por</w:t>
      </w:r>
      <w:r>
        <w:rPr>
          <w:spacing w:val="-3"/>
          <w:sz w:val="20"/>
        </w:rPr>
        <w:t> </w:t>
      </w:r>
      <w:r>
        <w:rPr>
          <w:sz w:val="20"/>
        </w:rPr>
        <w:t>ambos.</w:t>
      </w:r>
    </w:p>
    <w:p>
      <w:pPr>
        <w:spacing w:after="0" w:line="240" w:lineRule="auto"/>
        <w:jc w:val="both"/>
        <w:rPr>
          <w:sz w:val="20"/>
        </w:rPr>
        <w:sectPr>
          <w:footerReference w:type="default" r:id="rId144"/>
          <w:pgSz w:w="11910" w:h="16840"/>
          <w:pgMar w:footer="654" w:header="908" w:top="1320" w:bottom="840" w:left="1200" w:right="740"/>
          <w:pgNumType w:start="111"/>
        </w:sectPr>
      </w:pPr>
    </w:p>
    <w:p>
      <w:pPr>
        <w:pStyle w:val="BodyText"/>
        <w:spacing w:before="1"/>
        <w:rPr>
          <w:sz w:val="12"/>
        </w:rPr>
      </w:pPr>
    </w:p>
    <w:p>
      <w:pPr>
        <w:pStyle w:val="Heading5"/>
        <w:numPr>
          <w:ilvl w:val="2"/>
          <w:numId w:val="189"/>
        </w:numPr>
        <w:tabs>
          <w:tab w:pos="787" w:val="left" w:leader="none"/>
        </w:tabs>
        <w:spacing w:line="240" w:lineRule="auto" w:before="94" w:after="0"/>
        <w:ind w:left="786" w:right="0" w:hanging="569"/>
        <w:jc w:val="both"/>
      </w:pPr>
      <w:r>
        <w:rPr/>
        <w:t>Montaje de los</w:t>
      </w:r>
      <w:r>
        <w:rPr>
          <w:spacing w:val="-2"/>
        </w:rPr>
        <w:t> </w:t>
      </w:r>
      <w:r>
        <w:rPr/>
        <w:t>filtros</w:t>
      </w:r>
    </w:p>
    <w:p>
      <w:pPr>
        <w:pStyle w:val="ListParagraph"/>
        <w:numPr>
          <w:ilvl w:val="0"/>
          <w:numId w:val="206"/>
        </w:numPr>
        <w:tabs>
          <w:tab w:pos="673" w:val="left" w:leader="none"/>
        </w:tabs>
        <w:spacing w:line="240" w:lineRule="auto" w:before="97" w:after="0"/>
        <w:ind w:left="672" w:right="389" w:hanging="454"/>
        <w:jc w:val="both"/>
        <w:rPr>
          <w:sz w:val="20"/>
        </w:rPr>
      </w:pPr>
      <w:r>
        <w:rPr>
          <w:sz w:val="20"/>
        </w:rPr>
        <w:t>El filtro ha de instalarse antes del primer llenado de la instalación, y se situará inmediatamente </w:t>
      </w:r>
      <w:r>
        <w:rPr>
          <w:spacing w:val="2"/>
          <w:sz w:val="20"/>
        </w:rPr>
        <w:t>de- </w:t>
      </w:r>
      <w:r>
        <w:rPr>
          <w:sz w:val="20"/>
        </w:rPr>
        <w:t>lante del contador según el sentido de circulación del agua. Deben instalarse únicamente filtros adecuados.</w:t>
      </w:r>
    </w:p>
    <w:p>
      <w:pPr>
        <w:pStyle w:val="ListParagraph"/>
        <w:numPr>
          <w:ilvl w:val="0"/>
          <w:numId w:val="206"/>
        </w:numPr>
        <w:tabs>
          <w:tab w:pos="673" w:val="left" w:leader="none"/>
        </w:tabs>
        <w:spacing w:line="240" w:lineRule="auto" w:before="61" w:after="0"/>
        <w:ind w:left="672" w:right="394" w:hanging="454"/>
        <w:jc w:val="both"/>
        <w:rPr>
          <w:sz w:val="20"/>
        </w:rPr>
      </w:pPr>
      <w:r>
        <w:rPr>
          <w:sz w:val="20"/>
        </w:rPr>
        <w:t>En la ampliación de instalaciones existentes o en el cambio de tramos grandes de instalación, es conveniente la instalación de un filtro adicional en el punto de transición, para evitar la transferencia de materias sólidas de los tramos de conducción</w:t>
      </w:r>
      <w:r>
        <w:rPr>
          <w:spacing w:val="-5"/>
          <w:sz w:val="20"/>
        </w:rPr>
        <w:t> </w:t>
      </w:r>
      <w:r>
        <w:rPr>
          <w:sz w:val="20"/>
        </w:rPr>
        <w:t>existentes.</w:t>
      </w:r>
    </w:p>
    <w:p>
      <w:pPr>
        <w:pStyle w:val="ListParagraph"/>
        <w:numPr>
          <w:ilvl w:val="0"/>
          <w:numId w:val="206"/>
        </w:numPr>
        <w:tabs>
          <w:tab w:pos="673" w:val="left" w:leader="none"/>
        </w:tabs>
        <w:spacing w:line="240" w:lineRule="auto" w:before="60" w:after="0"/>
        <w:ind w:left="672" w:right="396" w:hanging="454"/>
        <w:jc w:val="both"/>
        <w:rPr>
          <w:sz w:val="20"/>
        </w:rPr>
      </w:pPr>
      <w:r>
        <w:rPr>
          <w:sz w:val="20"/>
        </w:rPr>
        <w:t>Para no tener que interrumpir el abastecimiento de agua durante los trabajos de mantenimiento, se recomienda la instalación de filtros retroenjuagables o de instalaciones</w:t>
      </w:r>
      <w:r>
        <w:rPr>
          <w:spacing w:val="-5"/>
          <w:sz w:val="20"/>
        </w:rPr>
        <w:t> </w:t>
      </w:r>
      <w:r>
        <w:rPr>
          <w:sz w:val="20"/>
        </w:rPr>
        <w:t>paralelas.</w:t>
      </w:r>
    </w:p>
    <w:p>
      <w:pPr>
        <w:pStyle w:val="ListParagraph"/>
        <w:numPr>
          <w:ilvl w:val="0"/>
          <w:numId w:val="206"/>
        </w:numPr>
        <w:tabs>
          <w:tab w:pos="673" w:val="left" w:leader="none"/>
        </w:tabs>
        <w:spacing w:line="240" w:lineRule="auto" w:before="61" w:after="0"/>
        <w:ind w:left="672" w:right="0" w:hanging="455"/>
        <w:jc w:val="both"/>
        <w:rPr>
          <w:sz w:val="20"/>
        </w:rPr>
      </w:pPr>
      <w:r>
        <w:rPr>
          <w:sz w:val="20"/>
        </w:rPr>
        <w:t>Hay que conectar una tubería con salida libre para la evacuación del agua del</w:t>
      </w:r>
      <w:r>
        <w:rPr>
          <w:spacing w:val="-12"/>
          <w:sz w:val="20"/>
        </w:rPr>
        <w:t> </w:t>
      </w:r>
      <w:r>
        <w:rPr>
          <w:sz w:val="20"/>
        </w:rPr>
        <w:t>autolimpiado.</w:t>
      </w:r>
    </w:p>
    <w:p>
      <w:pPr>
        <w:pStyle w:val="BodyText"/>
        <w:spacing w:before="5"/>
        <w:rPr>
          <w:sz w:val="17"/>
        </w:rPr>
      </w:pPr>
    </w:p>
    <w:p>
      <w:pPr>
        <w:pStyle w:val="Heading5"/>
        <w:numPr>
          <w:ilvl w:val="3"/>
          <w:numId w:val="189"/>
        </w:numPr>
        <w:tabs>
          <w:tab w:pos="933" w:val="left" w:leader="none"/>
        </w:tabs>
        <w:spacing w:line="240" w:lineRule="auto" w:before="0" w:after="0"/>
        <w:ind w:left="932" w:right="0" w:hanging="708"/>
        <w:jc w:val="both"/>
      </w:pPr>
      <w:r>
        <w:rPr/>
        <w:t>Instalación de aparatos</w:t>
      </w:r>
      <w:r>
        <w:rPr>
          <w:spacing w:val="-2"/>
        </w:rPr>
        <w:t> </w:t>
      </w:r>
      <w:r>
        <w:rPr/>
        <w:t>dosificadores</w:t>
      </w:r>
    </w:p>
    <w:p>
      <w:pPr>
        <w:pStyle w:val="ListParagraph"/>
        <w:numPr>
          <w:ilvl w:val="0"/>
          <w:numId w:val="207"/>
        </w:numPr>
        <w:tabs>
          <w:tab w:pos="673" w:val="left" w:leader="none"/>
        </w:tabs>
        <w:spacing w:line="240" w:lineRule="auto" w:before="99" w:after="0"/>
        <w:ind w:left="672" w:right="0" w:hanging="455"/>
        <w:jc w:val="both"/>
        <w:rPr>
          <w:sz w:val="20"/>
        </w:rPr>
      </w:pPr>
      <w:r>
        <w:rPr>
          <w:sz w:val="20"/>
        </w:rPr>
        <w:t>Sólo deben instalarse aparatos de dosificación conformes con la reglamentación</w:t>
      </w:r>
      <w:r>
        <w:rPr>
          <w:spacing w:val="-11"/>
          <w:sz w:val="20"/>
        </w:rPr>
        <w:t> </w:t>
      </w:r>
      <w:r>
        <w:rPr>
          <w:sz w:val="20"/>
        </w:rPr>
        <w:t>vigente.</w:t>
      </w:r>
    </w:p>
    <w:p>
      <w:pPr>
        <w:pStyle w:val="ListParagraph"/>
        <w:numPr>
          <w:ilvl w:val="0"/>
          <w:numId w:val="207"/>
        </w:numPr>
        <w:tabs>
          <w:tab w:pos="673" w:val="left" w:leader="none"/>
        </w:tabs>
        <w:spacing w:line="240" w:lineRule="auto" w:before="59" w:after="0"/>
        <w:ind w:left="672" w:right="395" w:hanging="454"/>
        <w:jc w:val="both"/>
        <w:rPr>
          <w:sz w:val="20"/>
        </w:rPr>
      </w:pPr>
      <w:r>
        <w:rPr>
          <w:sz w:val="20"/>
        </w:rPr>
        <w:t>Cuando se deba tratar todo el agua potable dentro de una instalación, se instalará el aparato de dosificación detrás de la instalación de contador y, en caso de existir, detrás del filtro y del reductor de presión.</w:t>
      </w:r>
    </w:p>
    <w:p>
      <w:pPr>
        <w:pStyle w:val="ListParagraph"/>
        <w:numPr>
          <w:ilvl w:val="0"/>
          <w:numId w:val="207"/>
        </w:numPr>
        <w:tabs>
          <w:tab w:pos="673" w:val="left" w:leader="none"/>
        </w:tabs>
        <w:spacing w:line="240" w:lineRule="auto" w:before="60" w:after="0"/>
        <w:ind w:left="672" w:right="396" w:hanging="454"/>
        <w:jc w:val="both"/>
        <w:rPr>
          <w:sz w:val="20"/>
        </w:rPr>
      </w:pPr>
      <w:r>
        <w:rPr>
          <w:sz w:val="20"/>
        </w:rPr>
        <w:t>Si sólo ha de tratarse el agua potable para la producción de ACS, entonces se instala delante del grupo de válvulas en la alimentación de agua fría al generador de</w:t>
      </w:r>
      <w:r>
        <w:rPr>
          <w:spacing w:val="-5"/>
          <w:sz w:val="20"/>
        </w:rPr>
        <w:t> </w:t>
      </w:r>
      <w:r>
        <w:rPr>
          <w:sz w:val="20"/>
        </w:rPr>
        <w:t>ACS.</w:t>
      </w:r>
    </w:p>
    <w:p>
      <w:pPr>
        <w:pStyle w:val="BodyText"/>
        <w:spacing w:before="7"/>
        <w:rPr>
          <w:sz w:val="17"/>
        </w:rPr>
      </w:pPr>
    </w:p>
    <w:p>
      <w:pPr>
        <w:pStyle w:val="Heading5"/>
        <w:numPr>
          <w:ilvl w:val="3"/>
          <w:numId w:val="189"/>
        </w:numPr>
        <w:tabs>
          <w:tab w:pos="933" w:val="left" w:leader="none"/>
        </w:tabs>
        <w:spacing w:line="240" w:lineRule="auto" w:before="0" w:after="0"/>
        <w:ind w:left="932" w:right="0" w:hanging="708"/>
        <w:jc w:val="both"/>
      </w:pPr>
      <w:r>
        <w:rPr/>
        <w:t>Montaje de los equipos de</w:t>
      </w:r>
      <w:r>
        <w:rPr>
          <w:spacing w:val="-3"/>
        </w:rPr>
        <w:t> </w:t>
      </w:r>
      <w:r>
        <w:rPr/>
        <w:t>descalcificación</w:t>
      </w:r>
    </w:p>
    <w:p>
      <w:pPr>
        <w:pStyle w:val="ListParagraph"/>
        <w:numPr>
          <w:ilvl w:val="0"/>
          <w:numId w:val="208"/>
        </w:numPr>
        <w:tabs>
          <w:tab w:pos="673" w:val="left" w:leader="none"/>
        </w:tabs>
        <w:spacing w:line="240" w:lineRule="auto" w:before="98" w:after="0"/>
        <w:ind w:left="672" w:right="395" w:hanging="454"/>
        <w:jc w:val="both"/>
        <w:rPr>
          <w:sz w:val="20"/>
        </w:rPr>
      </w:pPr>
      <w:r>
        <w:rPr>
          <w:sz w:val="20"/>
        </w:rPr>
        <w:t>La tubería para la evacuación del agua de enjuagado y regeneración debe conectarse con salida libre.</w:t>
      </w:r>
    </w:p>
    <w:p>
      <w:pPr>
        <w:pStyle w:val="ListParagraph"/>
        <w:numPr>
          <w:ilvl w:val="0"/>
          <w:numId w:val="208"/>
        </w:numPr>
        <w:tabs>
          <w:tab w:pos="673" w:val="left" w:leader="none"/>
        </w:tabs>
        <w:spacing w:line="240" w:lineRule="auto" w:before="61" w:after="0"/>
        <w:ind w:left="672" w:right="394" w:hanging="454"/>
        <w:jc w:val="both"/>
        <w:rPr>
          <w:sz w:val="20"/>
        </w:rPr>
      </w:pPr>
      <w:r>
        <w:rPr>
          <w:sz w:val="20"/>
        </w:rPr>
        <w:t>Cuando se deba tratar todo el agua potable dentro de una instalación, se instalará el aparato de descalcificación detrás de la instalación de contador, del filtro incorporado y delante de un aparato de dosificación eventualmente</w:t>
      </w:r>
      <w:r>
        <w:rPr>
          <w:spacing w:val="-1"/>
          <w:sz w:val="20"/>
        </w:rPr>
        <w:t> </w:t>
      </w:r>
      <w:r>
        <w:rPr>
          <w:sz w:val="20"/>
        </w:rPr>
        <w:t>existente.</w:t>
      </w:r>
    </w:p>
    <w:p>
      <w:pPr>
        <w:pStyle w:val="ListParagraph"/>
        <w:numPr>
          <w:ilvl w:val="0"/>
          <w:numId w:val="208"/>
        </w:numPr>
        <w:tabs>
          <w:tab w:pos="673" w:val="left" w:leader="none"/>
        </w:tabs>
        <w:spacing w:line="240" w:lineRule="auto" w:before="60" w:after="0"/>
        <w:ind w:left="672" w:right="389" w:hanging="454"/>
        <w:jc w:val="both"/>
        <w:rPr>
          <w:sz w:val="20"/>
        </w:rPr>
      </w:pPr>
      <w:r>
        <w:rPr>
          <w:sz w:val="20"/>
        </w:rPr>
        <w:t>Cuando sólo deba tratarse el agua potable para la producción de ACS, entonces se instalará, delan- te del grupo de valvulería, en la alimentación de agua fría al generador de</w:t>
      </w:r>
      <w:r>
        <w:rPr>
          <w:spacing w:val="-7"/>
          <w:sz w:val="20"/>
        </w:rPr>
        <w:t> </w:t>
      </w:r>
      <w:r>
        <w:rPr>
          <w:sz w:val="20"/>
        </w:rPr>
        <w:t>ACS.</w:t>
      </w:r>
    </w:p>
    <w:p>
      <w:pPr>
        <w:pStyle w:val="ListParagraph"/>
        <w:numPr>
          <w:ilvl w:val="0"/>
          <w:numId w:val="208"/>
        </w:numPr>
        <w:tabs>
          <w:tab w:pos="673" w:val="left" w:leader="none"/>
        </w:tabs>
        <w:spacing w:line="240" w:lineRule="auto" w:before="60" w:after="0"/>
        <w:ind w:left="672" w:right="392" w:hanging="454"/>
        <w:jc w:val="both"/>
        <w:rPr>
          <w:sz w:val="20"/>
        </w:rPr>
      </w:pPr>
      <w:r>
        <w:rPr>
          <w:sz w:val="20"/>
        </w:rPr>
        <w:t>Cuando sea pertinente, se mezclará el agua descalcificada con agua dura para obtener la adecua- da dureza de la</w:t>
      </w:r>
      <w:r>
        <w:rPr>
          <w:spacing w:val="-2"/>
          <w:sz w:val="20"/>
        </w:rPr>
        <w:t> </w:t>
      </w:r>
      <w:r>
        <w:rPr>
          <w:sz w:val="20"/>
        </w:rPr>
        <w:t>misma.</w:t>
      </w:r>
    </w:p>
    <w:p>
      <w:pPr>
        <w:pStyle w:val="ListParagraph"/>
        <w:numPr>
          <w:ilvl w:val="0"/>
          <w:numId w:val="208"/>
        </w:numPr>
        <w:tabs>
          <w:tab w:pos="673" w:val="left" w:leader="none"/>
        </w:tabs>
        <w:spacing w:line="240" w:lineRule="auto" w:before="59" w:after="0"/>
        <w:ind w:left="672" w:right="392" w:hanging="454"/>
        <w:jc w:val="both"/>
        <w:rPr>
          <w:sz w:val="20"/>
        </w:rPr>
      </w:pPr>
      <w:r>
        <w:rPr>
          <w:sz w:val="20"/>
        </w:rPr>
        <w:t>Cuando se monte un sistema de tratamiento electrolítico del agua mediante ánodos de aluminio, se instalará en el último acumulador de ACS de la serie, como especifica la norma UNE 100</w:t>
      </w:r>
      <w:r>
        <w:rPr>
          <w:spacing w:val="-10"/>
          <w:sz w:val="20"/>
        </w:rPr>
        <w:t> </w:t>
      </w:r>
      <w:r>
        <w:rPr>
          <w:sz w:val="20"/>
        </w:rPr>
        <w:t>050:2000.</w:t>
      </w:r>
    </w:p>
    <w:p>
      <w:pPr>
        <w:pStyle w:val="BodyText"/>
        <w:spacing w:before="7"/>
        <w:rPr>
          <w:sz w:val="24"/>
        </w:rPr>
      </w:pPr>
    </w:p>
    <w:p>
      <w:pPr>
        <w:pStyle w:val="Heading3"/>
        <w:numPr>
          <w:ilvl w:val="1"/>
          <w:numId w:val="209"/>
        </w:numPr>
        <w:tabs>
          <w:tab w:pos="673" w:val="left" w:leader="none"/>
        </w:tabs>
        <w:spacing w:line="240" w:lineRule="auto" w:before="0" w:after="0"/>
        <w:ind w:left="672" w:right="0" w:hanging="455"/>
        <w:jc w:val="both"/>
      </w:pPr>
      <w:r>
        <w:rPr/>
        <w:t>Puesta en</w:t>
      </w:r>
      <w:r>
        <w:rPr>
          <w:spacing w:val="-1"/>
        </w:rPr>
        <w:t> </w:t>
      </w:r>
      <w:r>
        <w:rPr/>
        <w:t>servicio</w:t>
      </w:r>
    </w:p>
    <w:p>
      <w:pPr>
        <w:pStyle w:val="Heading5"/>
        <w:numPr>
          <w:ilvl w:val="2"/>
          <w:numId w:val="209"/>
        </w:numPr>
        <w:tabs>
          <w:tab w:pos="787" w:val="left" w:leader="none"/>
        </w:tabs>
        <w:spacing w:line="240" w:lineRule="auto" w:before="199" w:after="0"/>
        <w:ind w:left="786" w:right="0" w:hanging="569"/>
        <w:jc w:val="both"/>
      </w:pPr>
      <w:r>
        <w:rPr/>
        <w:t>Pruebas y ensayos de las</w:t>
      </w:r>
      <w:r>
        <w:rPr>
          <w:spacing w:val="-6"/>
        </w:rPr>
        <w:t> </w:t>
      </w:r>
      <w:r>
        <w:rPr/>
        <w:t>instalaciones</w:t>
      </w:r>
    </w:p>
    <w:p>
      <w:pPr>
        <w:pStyle w:val="BodyText"/>
        <w:spacing w:before="4"/>
        <w:rPr>
          <w:b/>
          <w:sz w:val="17"/>
        </w:rPr>
      </w:pPr>
    </w:p>
    <w:p>
      <w:pPr>
        <w:pStyle w:val="ListParagraph"/>
        <w:numPr>
          <w:ilvl w:val="3"/>
          <w:numId w:val="209"/>
        </w:numPr>
        <w:tabs>
          <w:tab w:pos="933" w:val="left" w:leader="none"/>
        </w:tabs>
        <w:spacing w:line="240" w:lineRule="auto" w:before="0" w:after="0"/>
        <w:ind w:left="932" w:right="0" w:hanging="708"/>
        <w:jc w:val="both"/>
        <w:rPr>
          <w:b/>
          <w:sz w:val="20"/>
        </w:rPr>
      </w:pPr>
      <w:r>
        <w:rPr>
          <w:b/>
          <w:sz w:val="20"/>
        </w:rPr>
        <w:t>Pruebas de las instalaciones</w:t>
      </w:r>
      <w:r>
        <w:rPr>
          <w:b/>
          <w:spacing w:val="-1"/>
          <w:sz w:val="20"/>
        </w:rPr>
        <w:t> </w:t>
      </w:r>
      <w:r>
        <w:rPr>
          <w:b/>
          <w:sz w:val="20"/>
        </w:rPr>
        <w:t>interiores</w:t>
      </w:r>
    </w:p>
    <w:p>
      <w:pPr>
        <w:pStyle w:val="ListParagraph"/>
        <w:numPr>
          <w:ilvl w:val="0"/>
          <w:numId w:val="210"/>
        </w:numPr>
        <w:tabs>
          <w:tab w:pos="673" w:val="left" w:leader="none"/>
        </w:tabs>
        <w:spacing w:line="240" w:lineRule="auto" w:before="99" w:after="0"/>
        <w:ind w:left="672" w:right="390" w:hanging="454"/>
        <w:jc w:val="both"/>
        <w:rPr>
          <w:sz w:val="20"/>
        </w:rPr>
      </w:pPr>
      <w:r>
        <w:rPr>
          <w:sz w:val="20"/>
        </w:rPr>
        <w:t>La empresa instaladora estará obligada a efectuar una prueba de resistencia mecánica y estanqui- dad de todas las tuberías, elementos y accesorios que integran la instalación, estando todos sus componentes vistos y accesibles para su</w:t>
      </w:r>
      <w:r>
        <w:rPr>
          <w:spacing w:val="-4"/>
          <w:sz w:val="20"/>
        </w:rPr>
        <w:t> </w:t>
      </w:r>
      <w:r>
        <w:rPr>
          <w:sz w:val="20"/>
        </w:rPr>
        <w:t>control.</w:t>
      </w:r>
    </w:p>
    <w:p>
      <w:pPr>
        <w:pStyle w:val="ListParagraph"/>
        <w:numPr>
          <w:ilvl w:val="0"/>
          <w:numId w:val="210"/>
        </w:numPr>
        <w:tabs>
          <w:tab w:pos="673" w:val="left" w:leader="none"/>
        </w:tabs>
        <w:spacing w:line="240" w:lineRule="auto" w:before="60" w:after="0"/>
        <w:ind w:left="672" w:right="390" w:hanging="454"/>
        <w:jc w:val="both"/>
        <w:rPr>
          <w:sz w:val="20"/>
        </w:rPr>
      </w:pPr>
      <w:r>
        <w:rPr>
          <w:sz w:val="20"/>
        </w:rPr>
        <w:t>Para iniciar la prueba se llenará de agua toda la instalación, manteniendo abiertos los grifos termi- nales hasta que se tenga la seguridad de que la purga ha sido completa y no queda nada de aire. Entonces se cerrarán los grifos que han servido de purga y el de la fuente de alimentación. A conti- nuación se empleará la bomba, que ya estará conectada y se mantendrá su funcionamiento hasta alcanzar la presión de prueba. Una vez acondicionada, se procederá en función del tipo del material como</w:t>
      </w:r>
      <w:r>
        <w:rPr>
          <w:spacing w:val="-2"/>
          <w:sz w:val="20"/>
        </w:rPr>
        <w:t> </w:t>
      </w:r>
      <w:r>
        <w:rPr>
          <w:sz w:val="20"/>
        </w:rPr>
        <w:t>sigue:</w:t>
      </w:r>
    </w:p>
    <w:p>
      <w:pPr>
        <w:pStyle w:val="ListParagraph"/>
        <w:numPr>
          <w:ilvl w:val="1"/>
          <w:numId w:val="210"/>
        </w:numPr>
        <w:tabs>
          <w:tab w:pos="1126" w:val="left" w:leader="none"/>
        </w:tabs>
        <w:spacing w:line="240" w:lineRule="auto" w:before="60" w:after="0"/>
        <w:ind w:left="1126" w:right="392" w:hanging="454"/>
        <w:jc w:val="both"/>
        <w:rPr>
          <w:sz w:val="20"/>
        </w:rPr>
      </w:pPr>
      <w:r>
        <w:rPr>
          <w:sz w:val="20"/>
        </w:rPr>
        <w:t>para las tuberías metálicas se considerarán válidaslas pruebas realizadas según se describe en la norma UNE 100 151:1988</w:t>
      </w:r>
      <w:r>
        <w:rPr>
          <w:spacing w:val="-3"/>
          <w:sz w:val="20"/>
        </w:rPr>
        <w:t> </w:t>
      </w:r>
      <w:r>
        <w:rPr>
          <w:sz w:val="20"/>
        </w:rPr>
        <w:t>;</w:t>
      </w:r>
    </w:p>
    <w:p>
      <w:pPr>
        <w:pStyle w:val="ListParagraph"/>
        <w:numPr>
          <w:ilvl w:val="1"/>
          <w:numId w:val="210"/>
        </w:numPr>
        <w:tabs>
          <w:tab w:pos="1126" w:val="left" w:leader="none"/>
        </w:tabs>
        <w:spacing w:line="240" w:lineRule="auto" w:before="61" w:after="0"/>
        <w:ind w:left="1126" w:right="394" w:hanging="454"/>
        <w:jc w:val="both"/>
        <w:rPr>
          <w:sz w:val="20"/>
        </w:rPr>
      </w:pPr>
      <w:r>
        <w:rPr>
          <w:sz w:val="20"/>
        </w:rPr>
        <w:t>para las tuberías termoplásticas y multicapas se considerarán válidas las pruebas realizadas conforme al Método A de la Norma UNE ENV 12</w:t>
      </w:r>
      <w:r>
        <w:rPr>
          <w:spacing w:val="-8"/>
          <w:sz w:val="20"/>
        </w:rPr>
        <w:t> </w:t>
      </w:r>
      <w:r>
        <w:rPr>
          <w:sz w:val="20"/>
        </w:rPr>
        <w:t>108:2002.</w:t>
      </w:r>
    </w:p>
    <w:p>
      <w:pPr>
        <w:pStyle w:val="ListParagraph"/>
        <w:numPr>
          <w:ilvl w:val="0"/>
          <w:numId w:val="210"/>
        </w:numPr>
        <w:tabs>
          <w:tab w:pos="673" w:val="left" w:leader="none"/>
        </w:tabs>
        <w:spacing w:line="240" w:lineRule="auto" w:before="59" w:after="0"/>
        <w:ind w:left="672" w:right="393" w:hanging="454"/>
        <w:jc w:val="both"/>
        <w:rPr>
          <w:sz w:val="20"/>
        </w:rPr>
      </w:pPr>
      <w:r>
        <w:rPr>
          <w:sz w:val="20"/>
        </w:rPr>
        <w:t>Una vez realizada la prueba anterior, a la instalación se le conectarán la grifería y los aparatos de consumo, sometiéndose nuevamente a la prueba</w:t>
      </w:r>
      <w:r>
        <w:rPr>
          <w:spacing w:val="-5"/>
          <w:sz w:val="20"/>
        </w:rPr>
        <w:t> </w:t>
      </w:r>
      <w:r>
        <w:rPr>
          <w:sz w:val="20"/>
        </w:rPr>
        <w:t>anterior.</w:t>
      </w:r>
    </w:p>
    <w:p>
      <w:pPr>
        <w:pStyle w:val="ListParagraph"/>
        <w:numPr>
          <w:ilvl w:val="0"/>
          <w:numId w:val="210"/>
        </w:numPr>
        <w:tabs>
          <w:tab w:pos="673" w:val="left" w:leader="none"/>
        </w:tabs>
        <w:spacing w:line="240" w:lineRule="auto" w:before="61" w:after="0"/>
        <w:ind w:left="672" w:right="394" w:hanging="454"/>
        <w:jc w:val="both"/>
        <w:rPr>
          <w:sz w:val="20"/>
        </w:rPr>
      </w:pPr>
      <w:r>
        <w:rPr>
          <w:sz w:val="20"/>
        </w:rPr>
        <w:t>El manómetro que se utilice en esta prueba debe apreciar como mínimo intervalos de presión de 0,1</w:t>
      </w:r>
      <w:r>
        <w:rPr>
          <w:spacing w:val="-1"/>
          <w:sz w:val="20"/>
        </w:rPr>
        <w:t> </w:t>
      </w:r>
      <w:r>
        <w:rPr>
          <w:sz w:val="20"/>
        </w:rPr>
        <w:t>bar.</w:t>
      </w:r>
    </w:p>
    <w:p>
      <w:pPr>
        <w:spacing w:after="0" w:line="240" w:lineRule="auto"/>
        <w:jc w:val="both"/>
        <w:rPr>
          <w:sz w:val="20"/>
        </w:rPr>
        <w:sectPr>
          <w:pgSz w:w="11910" w:h="16840"/>
          <w:pgMar w:header="908" w:footer="654" w:top="1320" w:bottom="840" w:left="1200" w:right="740"/>
        </w:sectPr>
      </w:pPr>
    </w:p>
    <w:p>
      <w:pPr>
        <w:pStyle w:val="ListParagraph"/>
        <w:numPr>
          <w:ilvl w:val="0"/>
          <w:numId w:val="210"/>
        </w:numPr>
        <w:tabs>
          <w:tab w:pos="673" w:val="left" w:leader="none"/>
        </w:tabs>
        <w:spacing w:line="240" w:lineRule="auto" w:before="91" w:after="0"/>
        <w:ind w:left="672" w:right="0" w:hanging="455"/>
        <w:jc w:val="both"/>
        <w:rPr>
          <w:sz w:val="20"/>
        </w:rPr>
      </w:pPr>
      <w:r>
        <w:rPr>
          <w:sz w:val="20"/>
        </w:rPr>
        <w:t>Las presiones aludidas anteriormente se refieren a nivel de la</w:t>
      </w:r>
      <w:r>
        <w:rPr>
          <w:spacing w:val="-2"/>
          <w:sz w:val="20"/>
        </w:rPr>
        <w:t> </w:t>
      </w:r>
      <w:r>
        <w:rPr>
          <w:sz w:val="20"/>
        </w:rPr>
        <w:t>calzada.</w:t>
      </w:r>
    </w:p>
    <w:p>
      <w:pPr>
        <w:pStyle w:val="BodyText"/>
        <w:spacing w:before="5"/>
        <w:rPr>
          <w:sz w:val="17"/>
        </w:rPr>
      </w:pPr>
    </w:p>
    <w:p>
      <w:pPr>
        <w:pStyle w:val="Heading5"/>
        <w:numPr>
          <w:ilvl w:val="3"/>
          <w:numId w:val="209"/>
        </w:numPr>
        <w:tabs>
          <w:tab w:pos="933" w:val="left" w:leader="none"/>
        </w:tabs>
        <w:spacing w:line="240" w:lineRule="auto" w:before="0" w:after="0"/>
        <w:ind w:left="932" w:right="0" w:hanging="708"/>
        <w:jc w:val="both"/>
      </w:pPr>
      <w:r>
        <w:rPr/>
        <w:t>Pruebas particulares de las instalaciones de</w:t>
      </w:r>
      <w:r>
        <w:rPr>
          <w:spacing w:val="-2"/>
        </w:rPr>
        <w:t> </w:t>
      </w:r>
      <w:r>
        <w:rPr/>
        <w:t>ACS</w:t>
      </w:r>
    </w:p>
    <w:p>
      <w:pPr>
        <w:pStyle w:val="BodyText"/>
        <w:spacing w:before="99"/>
        <w:ind w:left="218"/>
        <w:jc w:val="both"/>
      </w:pPr>
      <w:r>
        <w:rPr/>
        <w:t>1 En las instalaciones de preparación de ACS se realizarán las siguientes pruebas de funcionamiento:</w:t>
      </w:r>
    </w:p>
    <w:p>
      <w:pPr>
        <w:pStyle w:val="ListParagraph"/>
        <w:numPr>
          <w:ilvl w:val="0"/>
          <w:numId w:val="211"/>
        </w:numPr>
        <w:tabs>
          <w:tab w:pos="1126" w:val="left" w:leader="none"/>
        </w:tabs>
        <w:spacing w:line="240" w:lineRule="auto" w:before="61" w:after="0"/>
        <w:ind w:left="1126" w:right="0" w:hanging="454"/>
        <w:jc w:val="both"/>
        <w:rPr>
          <w:sz w:val="20"/>
        </w:rPr>
      </w:pPr>
      <w:r>
        <w:rPr>
          <w:sz w:val="20"/>
        </w:rPr>
        <w:t>medición de caudal y temperatura en los puntos de</w:t>
      </w:r>
      <w:r>
        <w:rPr>
          <w:spacing w:val="-4"/>
          <w:sz w:val="20"/>
        </w:rPr>
        <w:t> </w:t>
      </w:r>
      <w:r>
        <w:rPr>
          <w:sz w:val="20"/>
        </w:rPr>
        <w:t>agua;</w:t>
      </w:r>
    </w:p>
    <w:p>
      <w:pPr>
        <w:pStyle w:val="ListParagraph"/>
        <w:numPr>
          <w:ilvl w:val="0"/>
          <w:numId w:val="211"/>
        </w:numPr>
        <w:tabs>
          <w:tab w:pos="1126" w:val="left" w:leader="none"/>
        </w:tabs>
        <w:spacing w:line="240" w:lineRule="auto" w:before="59" w:after="0"/>
        <w:ind w:left="1126" w:right="393" w:hanging="454"/>
        <w:jc w:val="both"/>
        <w:rPr>
          <w:sz w:val="20"/>
        </w:rPr>
      </w:pPr>
      <w:r>
        <w:rPr>
          <w:sz w:val="20"/>
        </w:rPr>
        <w:t>obtención de los caudales exigidos a la temperatura fijada una vez abiertos el número de grifos estimados en la</w:t>
      </w:r>
      <w:r>
        <w:rPr>
          <w:spacing w:val="-3"/>
          <w:sz w:val="20"/>
        </w:rPr>
        <w:t> </w:t>
      </w:r>
      <w:r>
        <w:rPr>
          <w:sz w:val="20"/>
        </w:rPr>
        <w:t>simultaneidad;</w:t>
      </w:r>
    </w:p>
    <w:p>
      <w:pPr>
        <w:pStyle w:val="ListParagraph"/>
        <w:numPr>
          <w:ilvl w:val="0"/>
          <w:numId w:val="211"/>
        </w:numPr>
        <w:tabs>
          <w:tab w:pos="1126" w:val="left" w:leader="none"/>
        </w:tabs>
        <w:spacing w:line="240" w:lineRule="auto" w:before="61" w:after="0"/>
        <w:ind w:left="1126" w:right="391" w:hanging="454"/>
        <w:jc w:val="both"/>
        <w:rPr>
          <w:sz w:val="20"/>
        </w:rPr>
      </w:pPr>
      <w:r>
        <w:rPr>
          <w:sz w:val="20"/>
        </w:rPr>
        <w:t>comprobación del tiempo que tarda el agua en salir a la temperatura de funcionamiento una vez realizado el equilibrado hidráulico de las distintas ramas de la red de retorno y abiertos uno a uno el grifo más alejado de cada uno de los ramales, sin haber abierto ningún grifo en las úl- timas 24</w:t>
      </w:r>
      <w:r>
        <w:rPr>
          <w:spacing w:val="-1"/>
          <w:sz w:val="20"/>
        </w:rPr>
        <w:t> </w:t>
      </w:r>
      <w:r>
        <w:rPr>
          <w:sz w:val="20"/>
        </w:rPr>
        <w:t>horas;</w:t>
      </w:r>
    </w:p>
    <w:p>
      <w:pPr>
        <w:pStyle w:val="ListParagraph"/>
        <w:numPr>
          <w:ilvl w:val="0"/>
          <w:numId w:val="211"/>
        </w:numPr>
        <w:tabs>
          <w:tab w:pos="1126" w:val="left" w:leader="none"/>
        </w:tabs>
        <w:spacing w:line="240" w:lineRule="auto" w:before="59" w:after="0"/>
        <w:ind w:left="1126" w:right="0" w:hanging="454"/>
        <w:jc w:val="both"/>
        <w:rPr>
          <w:sz w:val="20"/>
        </w:rPr>
      </w:pPr>
      <w:r>
        <w:rPr>
          <w:sz w:val="20"/>
        </w:rPr>
        <w:t>medición de temperaturas de la</w:t>
      </w:r>
      <w:r>
        <w:rPr>
          <w:spacing w:val="-3"/>
          <w:sz w:val="20"/>
        </w:rPr>
        <w:t> </w:t>
      </w:r>
      <w:r>
        <w:rPr>
          <w:sz w:val="20"/>
        </w:rPr>
        <w:t>red;</w:t>
      </w:r>
    </w:p>
    <w:p>
      <w:pPr>
        <w:pStyle w:val="ListParagraph"/>
        <w:numPr>
          <w:ilvl w:val="0"/>
          <w:numId w:val="211"/>
        </w:numPr>
        <w:tabs>
          <w:tab w:pos="1126" w:val="left" w:leader="none"/>
        </w:tabs>
        <w:spacing w:line="240" w:lineRule="auto" w:before="61" w:after="0"/>
        <w:ind w:left="1126" w:right="391" w:hanging="454"/>
        <w:jc w:val="both"/>
        <w:rPr>
          <w:sz w:val="20"/>
        </w:rPr>
      </w:pPr>
      <w:r>
        <w:rPr>
          <w:sz w:val="20"/>
        </w:rPr>
        <w:t>con el acumulador a régimen, comprobación con termómetro de contacto de las temperaturas del mismo, en su salida y en los grifos. La temperatura del retorno no debe ser inferior en 3 ºC a la de salida del</w:t>
      </w:r>
      <w:r>
        <w:rPr>
          <w:spacing w:val="-4"/>
          <w:sz w:val="20"/>
        </w:rPr>
        <w:t> </w:t>
      </w:r>
      <w:r>
        <w:rPr>
          <w:sz w:val="20"/>
        </w:rPr>
        <w:t>acumulador.</w:t>
      </w:r>
    </w:p>
    <w:p>
      <w:pPr>
        <w:pStyle w:val="BodyText"/>
        <w:rPr>
          <w:sz w:val="22"/>
        </w:rPr>
      </w:pPr>
    </w:p>
    <w:p>
      <w:pPr>
        <w:pStyle w:val="BodyText"/>
        <w:spacing w:before="10"/>
        <w:rPr>
          <w:sz w:val="19"/>
        </w:rPr>
      </w:pPr>
    </w:p>
    <w:p>
      <w:pPr>
        <w:pStyle w:val="Heading2"/>
        <w:numPr>
          <w:ilvl w:val="0"/>
          <w:numId w:val="212"/>
        </w:numPr>
        <w:tabs>
          <w:tab w:pos="786" w:val="left" w:leader="none"/>
          <w:tab w:pos="787" w:val="left" w:leader="none"/>
        </w:tabs>
        <w:spacing w:line="240" w:lineRule="auto" w:before="0" w:after="0"/>
        <w:ind w:left="786" w:right="0" w:hanging="569"/>
        <w:jc w:val="left"/>
      </w:pPr>
      <w:r>
        <w:rPr/>
        <w:t>Productos de</w:t>
      </w:r>
      <w:r>
        <w:rPr>
          <w:spacing w:val="-7"/>
        </w:rPr>
        <w:t> </w:t>
      </w:r>
      <w:r>
        <w:rPr/>
        <w:t>construcción</w:t>
      </w:r>
    </w:p>
    <w:p>
      <w:pPr>
        <w:pStyle w:val="BodyText"/>
        <w:spacing w:before="4"/>
        <w:rPr>
          <w:b/>
          <w:sz w:val="24"/>
        </w:rPr>
      </w:pPr>
    </w:p>
    <w:p>
      <w:pPr>
        <w:pStyle w:val="Heading3"/>
        <w:numPr>
          <w:ilvl w:val="1"/>
          <w:numId w:val="212"/>
        </w:numPr>
        <w:tabs>
          <w:tab w:pos="673" w:val="left" w:leader="none"/>
        </w:tabs>
        <w:spacing w:line="240" w:lineRule="auto" w:before="0" w:after="0"/>
        <w:ind w:left="672" w:right="0" w:hanging="455"/>
        <w:jc w:val="left"/>
      </w:pPr>
      <w:r>
        <w:rPr/>
        <w:t>Condiciones generales de los</w:t>
      </w:r>
      <w:r>
        <w:rPr>
          <w:spacing w:val="-3"/>
        </w:rPr>
        <w:t> </w:t>
      </w:r>
      <w:r>
        <w:rPr/>
        <w:t>materiales</w:t>
      </w:r>
    </w:p>
    <w:p>
      <w:pPr>
        <w:pStyle w:val="ListParagraph"/>
        <w:numPr>
          <w:ilvl w:val="0"/>
          <w:numId w:val="213"/>
        </w:numPr>
        <w:tabs>
          <w:tab w:pos="672" w:val="left" w:leader="none"/>
          <w:tab w:pos="673" w:val="left" w:leader="none"/>
        </w:tabs>
        <w:spacing w:line="240" w:lineRule="auto" w:before="98" w:after="0"/>
        <w:ind w:left="672" w:right="394" w:hanging="454"/>
        <w:jc w:val="left"/>
        <w:rPr>
          <w:sz w:val="20"/>
        </w:rPr>
      </w:pPr>
      <w:r>
        <w:rPr>
          <w:sz w:val="20"/>
        </w:rPr>
        <w:t>De forma general, todos los materiales que se vayan a utilizar en las instalaciones de agua potable cumplirán los siguientes requisitos</w:t>
      </w:r>
      <w:r>
        <w:rPr>
          <w:spacing w:val="-3"/>
          <w:sz w:val="20"/>
        </w:rPr>
        <w:t> </w:t>
      </w:r>
      <w:r>
        <w:rPr>
          <w:sz w:val="20"/>
        </w:rPr>
        <w:t>:</w:t>
      </w:r>
    </w:p>
    <w:p>
      <w:pPr>
        <w:pStyle w:val="ListParagraph"/>
        <w:numPr>
          <w:ilvl w:val="1"/>
          <w:numId w:val="213"/>
        </w:numPr>
        <w:tabs>
          <w:tab w:pos="1125" w:val="left" w:leader="none"/>
          <w:tab w:pos="1126" w:val="left" w:leader="none"/>
        </w:tabs>
        <w:spacing w:line="240" w:lineRule="auto" w:before="60" w:after="0"/>
        <w:ind w:left="1126" w:right="394" w:hanging="454"/>
        <w:jc w:val="left"/>
        <w:rPr>
          <w:sz w:val="20"/>
        </w:rPr>
      </w:pPr>
      <w:r>
        <w:rPr>
          <w:sz w:val="20"/>
        </w:rPr>
        <w:t>todos los productos empleados deben cumplir lo especificado en la legislación vigente para aguas de consumo</w:t>
      </w:r>
      <w:r>
        <w:rPr>
          <w:spacing w:val="-3"/>
          <w:sz w:val="20"/>
        </w:rPr>
        <w:t> </w:t>
      </w:r>
      <w:r>
        <w:rPr>
          <w:sz w:val="20"/>
        </w:rPr>
        <w:t>humano;</w:t>
      </w:r>
    </w:p>
    <w:p>
      <w:pPr>
        <w:pStyle w:val="ListParagraph"/>
        <w:numPr>
          <w:ilvl w:val="1"/>
          <w:numId w:val="213"/>
        </w:numPr>
        <w:tabs>
          <w:tab w:pos="1125" w:val="left" w:leader="none"/>
          <w:tab w:pos="1126" w:val="left" w:leader="none"/>
        </w:tabs>
        <w:spacing w:line="240" w:lineRule="auto" w:before="60" w:after="0"/>
        <w:ind w:left="1126" w:right="0" w:hanging="454"/>
        <w:jc w:val="left"/>
        <w:rPr>
          <w:sz w:val="20"/>
        </w:rPr>
      </w:pPr>
      <w:r>
        <w:rPr>
          <w:sz w:val="20"/>
        </w:rPr>
        <w:t>no deben modificar las características organolépticas ni la salubridad del agua</w:t>
      </w:r>
      <w:r>
        <w:rPr>
          <w:spacing w:val="-6"/>
          <w:sz w:val="20"/>
        </w:rPr>
        <w:t> </w:t>
      </w:r>
      <w:r>
        <w:rPr>
          <w:sz w:val="20"/>
        </w:rPr>
        <w:t>suministrada;</w:t>
      </w:r>
    </w:p>
    <w:p>
      <w:pPr>
        <w:pStyle w:val="ListParagraph"/>
        <w:numPr>
          <w:ilvl w:val="1"/>
          <w:numId w:val="213"/>
        </w:numPr>
        <w:tabs>
          <w:tab w:pos="1125" w:val="left" w:leader="none"/>
          <w:tab w:pos="1126" w:val="left" w:leader="none"/>
        </w:tabs>
        <w:spacing w:line="240" w:lineRule="auto" w:before="60" w:after="0"/>
        <w:ind w:left="1126" w:right="0" w:hanging="454"/>
        <w:jc w:val="left"/>
        <w:rPr>
          <w:sz w:val="20"/>
        </w:rPr>
      </w:pPr>
      <w:r>
        <w:rPr>
          <w:sz w:val="20"/>
        </w:rPr>
        <w:t>serán resistentes a la corrosión</w:t>
      </w:r>
      <w:r>
        <w:rPr>
          <w:spacing w:val="-2"/>
          <w:sz w:val="20"/>
        </w:rPr>
        <w:t> </w:t>
      </w:r>
      <w:r>
        <w:rPr>
          <w:sz w:val="20"/>
        </w:rPr>
        <w:t>interior;</w:t>
      </w:r>
    </w:p>
    <w:p>
      <w:pPr>
        <w:pStyle w:val="ListParagraph"/>
        <w:numPr>
          <w:ilvl w:val="1"/>
          <w:numId w:val="213"/>
        </w:numPr>
        <w:tabs>
          <w:tab w:pos="1125" w:val="left" w:leader="none"/>
          <w:tab w:pos="1126" w:val="left" w:leader="none"/>
        </w:tabs>
        <w:spacing w:line="240" w:lineRule="auto" w:before="61" w:after="0"/>
        <w:ind w:left="1126" w:right="0" w:hanging="454"/>
        <w:jc w:val="left"/>
        <w:rPr>
          <w:sz w:val="20"/>
        </w:rPr>
      </w:pPr>
      <w:r>
        <w:rPr>
          <w:sz w:val="20"/>
        </w:rPr>
        <w:t>serán capaces de funcionar eficazmente en las condiciones previstas de</w:t>
      </w:r>
      <w:r>
        <w:rPr>
          <w:spacing w:val="-6"/>
          <w:sz w:val="20"/>
        </w:rPr>
        <w:t> </w:t>
      </w:r>
      <w:r>
        <w:rPr>
          <w:sz w:val="20"/>
        </w:rPr>
        <w:t>servicio;</w:t>
      </w:r>
    </w:p>
    <w:p>
      <w:pPr>
        <w:pStyle w:val="ListParagraph"/>
        <w:numPr>
          <w:ilvl w:val="1"/>
          <w:numId w:val="213"/>
        </w:numPr>
        <w:tabs>
          <w:tab w:pos="1125" w:val="left" w:leader="none"/>
          <w:tab w:pos="1126" w:val="left" w:leader="none"/>
        </w:tabs>
        <w:spacing w:line="240" w:lineRule="auto" w:before="59" w:after="0"/>
        <w:ind w:left="1126" w:right="0" w:hanging="454"/>
        <w:jc w:val="left"/>
        <w:rPr>
          <w:sz w:val="20"/>
        </w:rPr>
      </w:pPr>
      <w:r>
        <w:rPr>
          <w:sz w:val="20"/>
        </w:rPr>
        <w:t>no presentarán incompatibilidad electroquímica entre</w:t>
      </w:r>
      <w:r>
        <w:rPr>
          <w:spacing w:val="-1"/>
          <w:sz w:val="20"/>
        </w:rPr>
        <w:t> </w:t>
      </w:r>
      <w:r>
        <w:rPr>
          <w:sz w:val="20"/>
        </w:rPr>
        <w:t>sí;</w:t>
      </w:r>
    </w:p>
    <w:p>
      <w:pPr>
        <w:pStyle w:val="ListParagraph"/>
        <w:numPr>
          <w:ilvl w:val="1"/>
          <w:numId w:val="213"/>
        </w:numPr>
        <w:tabs>
          <w:tab w:pos="1126" w:val="left" w:leader="none"/>
        </w:tabs>
        <w:spacing w:line="240" w:lineRule="auto" w:before="61" w:after="0"/>
        <w:ind w:left="1126" w:right="396" w:hanging="454"/>
        <w:jc w:val="both"/>
        <w:rPr>
          <w:sz w:val="20"/>
        </w:rPr>
      </w:pPr>
      <w:r>
        <w:rPr>
          <w:sz w:val="20"/>
        </w:rPr>
        <w:t>deben ser resistentes, sin presentar daños ni deterioro, a temperaturas de hasta 40ºC, sin que tampoco les afecte la temperatura exterior de su entorno</w:t>
      </w:r>
      <w:r>
        <w:rPr>
          <w:spacing w:val="-4"/>
          <w:sz w:val="20"/>
        </w:rPr>
        <w:t> </w:t>
      </w:r>
      <w:r>
        <w:rPr>
          <w:sz w:val="20"/>
        </w:rPr>
        <w:t>inmediato;</w:t>
      </w:r>
    </w:p>
    <w:p>
      <w:pPr>
        <w:pStyle w:val="ListParagraph"/>
        <w:numPr>
          <w:ilvl w:val="1"/>
          <w:numId w:val="213"/>
        </w:numPr>
        <w:tabs>
          <w:tab w:pos="1126" w:val="left" w:leader="none"/>
        </w:tabs>
        <w:spacing w:line="240" w:lineRule="auto" w:before="59" w:after="0"/>
        <w:ind w:left="1126" w:right="391" w:hanging="454"/>
        <w:jc w:val="both"/>
        <w:rPr>
          <w:sz w:val="20"/>
        </w:rPr>
      </w:pPr>
      <w:r>
        <w:rPr>
          <w:sz w:val="20"/>
        </w:rPr>
        <w:t>serán compatibles con el agua a transportar y contener y no deben favorecer la migración de sustancias de los materiales en cantidades que sean un riesgo para la salubridad y limpieza del agua del consumo</w:t>
      </w:r>
      <w:r>
        <w:rPr>
          <w:spacing w:val="-3"/>
          <w:sz w:val="20"/>
        </w:rPr>
        <w:t> </w:t>
      </w:r>
      <w:r>
        <w:rPr>
          <w:sz w:val="20"/>
        </w:rPr>
        <w:t>humano;</w:t>
      </w:r>
    </w:p>
    <w:p>
      <w:pPr>
        <w:pStyle w:val="ListParagraph"/>
        <w:numPr>
          <w:ilvl w:val="1"/>
          <w:numId w:val="213"/>
        </w:numPr>
        <w:tabs>
          <w:tab w:pos="1126" w:val="left" w:leader="none"/>
        </w:tabs>
        <w:spacing w:line="240" w:lineRule="auto" w:before="60" w:after="0"/>
        <w:ind w:left="1126" w:right="396" w:hanging="454"/>
        <w:jc w:val="both"/>
        <w:rPr>
          <w:sz w:val="20"/>
        </w:rPr>
      </w:pPr>
      <w:r>
        <w:rPr>
          <w:sz w:val="20"/>
        </w:rPr>
        <w:t>su envejecimiento, fatiga, durabilidad y todo tipo de factores mecánicos, físicos o químicos, no disminuirán la vida útil prevista de la</w:t>
      </w:r>
      <w:r>
        <w:rPr>
          <w:spacing w:val="-1"/>
          <w:sz w:val="20"/>
        </w:rPr>
        <w:t> </w:t>
      </w:r>
      <w:r>
        <w:rPr>
          <w:sz w:val="20"/>
        </w:rPr>
        <w:t>instalación.</w:t>
      </w:r>
    </w:p>
    <w:p>
      <w:pPr>
        <w:pStyle w:val="ListParagraph"/>
        <w:numPr>
          <w:ilvl w:val="0"/>
          <w:numId w:val="213"/>
        </w:numPr>
        <w:tabs>
          <w:tab w:pos="673" w:val="left" w:leader="none"/>
        </w:tabs>
        <w:spacing w:line="240" w:lineRule="auto" w:before="60" w:after="0"/>
        <w:ind w:left="672" w:right="392" w:hanging="454"/>
        <w:jc w:val="both"/>
        <w:rPr>
          <w:sz w:val="20"/>
        </w:rPr>
      </w:pPr>
      <w:r>
        <w:rPr>
          <w:sz w:val="20"/>
        </w:rPr>
        <w:t>Para que se cumplan las condiciones anteriores, se podrán utilizar revestimientos, sistemas de pro- tección o los ya citados sistemas de tratamiento de</w:t>
      </w:r>
      <w:r>
        <w:rPr>
          <w:spacing w:val="-4"/>
          <w:sz w:val="20"/>
        </w:rPr>
        <w:t> </w:t>
      </w:r>
      <w:r>
        <w:rPr>
          <w:sz w:val="20"/>
        </w:rPr>
        <w:t>agua.</w:t>
      </w:r>
    </w:p>
    <w:p>
      <w:pPr>
        <w:pStyle w:val="BodyText"/>
        <w:spacing w:before="6"/>
        <w:rPr>
          <w:sz w:val="24"/>
        </w:rPr>
      </w:pPr>
    </w:p>
    <w:p>
      <w:pPr>
        <w:pStyle w:val="Heading3"/>
        <w:spacing w:before="1"/>
        <w:ind w:left="218" w:firstLine="0"/>
      </w:pPr>
      <w:r>
        <w:rPr/>
        <w:t>6.2. Condiciones particulares de las</w:t>
      </w:r>
      <w:r>
        <w:rPr>
          <w:spacing w:val="-6"/>
        </w:rPr>
        <w:t> </w:t>
      </w:r>
      <w:r>
        <w:rPr/>
        <w:t>conducciones</w:t>
      </w:r>
    </w:p>
    <w:p>
      <w:pPr>
        <w:pStyle w:val="ListParagraph"/>
        <w:numPr>
          <w:ilvl w:val="0"/>
          <w:numId w:val="214"/>
        </w:numPr>
        <w:tabs>
          <w:tab w:pos="672" w:val="left" w:leader="none"/>
          <w:tab w:pos="673" w:val="left" w:leader="none"/>
        </w:tabs>
        <w:spacing w:line="240" w:lineRule="auto" w:before="97" w:after="0"/>
        <w:ind w:left="672" w:right="393" w:hanging="454"/>
        <w:jc w:val="left"/>
        <w:rPr>
          <w:sz w:val="20"/>
        </w:rPr>
      </w:pPr>
      <w:r>
        <w:rPr>
          <w:sz w:val="20"/>
        </w:rPr>
        <w:t>En función de las condiciones expuestas en el apartado anterior, se consideran adecuados para las instalaciones de agua potable los siguientes</w:t>
      </w:r>
      <w:r>
        <w:rPr>
          <w:spacing w:val="-5"/>
          <w:sz w:val="20"/>
        </w:rPr>
        <w:t> </w:t>
      </w:r>
      <w:r>
        <w:rPr>
          <w:sz w:val="20"/>
        </w:rPr>
        <w:t>tubos:</w:t>
      </w:r>
    </w:p>
    <w:p>
      <w:pPr>
        <w:pStyle w:val="ListParagraph"/>
        <w:numPr>
          <w:ilvl w:val="1"/>
          <w:numId w:val="214"/>
        </w:numPr>
        <w:tabs>
          <w:tab w:pos="1125" w:val="left" w:leader="none"/>
          <w:tab w:pos="1126" w:val="left" w:leader="none"/>
        </w:tabs>
        <w:spacing w:line="240" w:lineRule="auto" w:before="61" w:after="0"/>
        <w:ind w:left="1126" w:right="0" w:hanging="454"/>
        <w:jc w:val="left"/>
        <w:rPr>
          <w:sz w:val="20"/>
        </w:rPr>
      </w:pPr>
      <w:r>
        <w:rPr>
          <w:sz w:val="20"/>
        </w:rPr>
        <w:t>tubos de acero galvanizado, según Norma UNE 19</w:t>
      </w:r>
      <w:r>
        <w:rPr>
          <w:spacing w:val="-3"/>
          <w:sz w:val="20"/>
        </w:rPr>
        <w:t> </w:t>
      </w:r>
      <w:r>
        <w:rPr>
          <w:sz w:val="20"/>
        </w:rPr>
        <w:t>047:1996;</w:t>
      </w:r>
    </w:p>
    <w:p>
      <w:pPr>
        <w:pStyle w:val="ListParagraph"/>
        <w:numPr>
          <w:ilvl w:val="1"/>
          <w:numId w:val="214"/>
        </w:numPr>
        <w:tabs>
          <w:tab w:pos="1125" w:val="left" w:leader="none"/>
          <w:tab w:pos="1126" w:val="left" w:leader="none"/>
        </w:tabs>
        <w:spacing w:line="240" w:lineRule="auto" w:before="59" w:after="0"/>
        <w:ind w:left="1126" w:right="0" w:hanging="454"/>
        <w:jc w:val="left"/>
        <w:rPr>
          <w:sz w:val="20"/>
        </w:rPr>
      </w:pPr>
      <w:r>
        <w:rPr>
          <w:sz w:val="20"/>
        </w:rPr>
        <w:t>tubos de cobre, según Norma UNE EN 1</w:t>
      </w:r>
      <w:r>
        <w:rPr>
          <w:spacing w:val="-5"/>
          <w:sz w:val="20"/>
        </w:rPr>
        <w:t> </w:t>
      </w:r>
      <w:r>
        <w:rPr>
          <w:sz w:val="20"/>
        </w:rPr>
        <w:t>057:1996;</w:t>
      </w:r>
    </w:p>
    <w:p>
      <w:pPr>
        <w:pStyle w:val="ListParagraph"/>
        <w:numPr>
          <w:ilvl w:val="1"/>
          <w:numId w:val="214"/>
        </w:numPr>
        <w:tabs>
          <w:tab w:pos="1125" w:val="left" w:leader="none"/>
          <w:tab w:pos="1126" w:val="left" w:leader="none"/>
        </w:tabs>
        <w:spacing w:line="240" w:lineRule="auto" w:before="61" w:after="0"/>
        <w:ind w:left="1126" w:right="0" w:hanging="454"/>
        <w:jc w:val="left"/>
        <w:rPr>
          <w:sz w:val="20"/>
        </w:rPr>
      </w:pPr>
      <w:r>
        <w:rPr>
          <w:sz w:val="20"/>
        </w:rPr>
        <w:t>tubos de acero inoxidable, según Norma UNE 19</w:t>
      </w:r>
      <w:r>
        <w:rPr>
          <w:spacing w:val="-5"/>
          <w:sz w:val="20"/>
        </w:rPr>
        <w:t> </w:t>
      </w:r>
      <w:r>
        <w:rPr>
          <w:sz w:val="20"/>
        </w:rPr>
        <w:t>049-1:1997;</w:t>
      </w:r>
    </w:p>
    <w:p>
      <w:pPr>
        <w:pStyle w:val="ListParagraph"/>
        <w:numPr>
          <w:ilvl w:val="1"/>
          <w:numId w:val="214"/>
        </w:numPr>
        <w:tabs>
          <w:tab w:pos="1125" w:val="left" w:leader="none"/>
          <w:tab w:pos="1126" w:val="left" w:leader="none"/>
        </w:tabs>
        <w:spacing w:line="240" w:lineRule="auto" w:before="60" w:after="0"/>
        <w:ind w:left="1126" w:right="0" w:hanging="454"/>
        <w:jc w:val="left"/>
        <w:rPr>
          <w:sz w:val="20"/>
        </w:rPr>
      </w:pPr>
      <w:r>
        <w:rPr>
          <w:sz w:val="20"/>
        </w:rPr>
        <w:t>tubos de fundición dúctil, según Norma UNE EN</w:t>
      </w:r>
      <w:r>
        <w:rPr>
          <w:spacing w:val="-7"/>
          <w:sz w:val="20"/>
        </w:rPr>
        <w:t> </w:t>
      </w:r>
      <w:r>
        <w:rPr>
          <w:sz w:val="20"/>
        </w:rPr>
        <w:t>545:1995;</w:t>
      </w:r>
    </w:p>
    <w:p>
      <w:pPr>
        <w:pStyle w:val="ListParagraph"/>
        <w:numPr>
          <w:ilvl w:val="1"/>
          <w:numId w:val="214"/>
        </w:numPr>
        <w:tabs>
          <w:tab w:pos="1125" w:val="left" w:leader="none"/>
          <w:tab w:pos="1126" w:val="left" w:leader="none"/>
        </w:tabs>
        <w:spacing w:line="240" w:lineRule="auto" w:before="59" w:after="0"/>
        <w:ind w:left="1126" w:right="0" w:hanging="454"/>
        <w:jc w:val="left"/>
        <w:rPr>
          <w:sz w:val="20"/>
        </w:rPr>
      </w:pPr>
      <w:r>
        <w:rPr>
          <w:sz w:val="20"/>
        </w:rPr>
        <w:t>tubos de policloruro de vinilo no plastificado (PVC), según Norma UNE EN</w:t>
      </w:r>
      <w:r>
        <w:rPr>
          <w:spacing w:val="-10"/>
          <w:sz w:val="20"/>
        </w:rPr>
        <w:t> </w:t>
      </w:r>
      <w:r>
        <w:rPr>
          <w:sz w:val="20"/>
        </w:rPr>
        <w:t>1452:2000;</w:t>
      </w:r>
    </w:p>
    <w:p>
      <w:pPr>
        <w:pStyle w:val="ListParagraph"/>
        <w:numPr>
          <w:ilvl w:val="1"/>
          <w:numId w:val="214"/>
        </w:numPr>
        <w:tabs>
          <w:tab w:pos="1125" w:val="left" w:leader="none"/>
          <w:tab w:pos="1126" w:val="left" w:leader="none"/>
        </w:tabs>
        <w:spacing w:line="240" w:lineRule="auto" w:before="61" w:after="0"/>
        <w:ind w:left="1126" w:right="0" w:hanging="454"/>
        <w:jc w:val="left"/>
        <w:rPr>
          <w:sz w:val="20"/>
        </w:rPr>
      </w:pPr>
      <w:r>
        <w:rPr>
          <w:sz w:val="20"/>
        </w:rPr>
        <w:t>tubos de policloruro de vinilo clorado (PVC-C), según Norma UNE EN ISO</w:t>
      </w:r>
      <w:r>
        <w:rPr>
          <w:spacing w:val="-6"/>
          <w:sz w:val="20"/>
        </w:rPr>
        <w:t> </w:t>
      </w:r>
      <w:r>
        <w:rPr>
          <w:sz w:val="20"/>
        </w:rPr>
        <w:t>15877:2004;</w:t>
      </w:r>
    </w:p>
    <w:p>
      <w:pPr>
        <w:pStyle w:val="ListParagraph"/>
        <w:numPr>
          <w:ilvl w:val="1"/>
          <w:numId w:val="214"/>
        </w:numPr>
        <w:tabs>
          <w:tab w:pos="1125" w:val="left" w:leader="none"/>
          <w:tab w:pos="1126" w:val="left" w:leader="none"/>
        </w:tabs>
        <w:spacing w:line="240" w:lineRule="auto" w:before="60" w:after="0"/>
        <w:ind w:left="1126" w:right="0" w:hanging="454"/>
        <w:jc w:val="left"/>
        <w:rPr>
          <w:sz w:val="20"/>
        </w:rPr>
      </w:pPr>
      <w:r>
        <w:rPr>
          <w:sz w:val="20"/>
        </w:rPr>
        <w:t>tubos de polietileno (PE), según Normas UNE EN</w:t>
      </w:r>
      <w:r>
        <w:rPr>
          <w:spacing w:val="-4"/>
          <w:sz w:val="20"/>
        </w:rPr>
        <w:t> </w:t>
      </w:r>
      <w:r>
        <w:rPr>
          <w:sz w:val="20"/>
        </w:rPr>
        <w:t>12201:2003;</w:t>
      </w:r>
    </w:p>
    <w:p>
      <w:pPr>
        <w:pStyle w:val="ListParagraph"/>
        <w:numPr>
          <w:ilvl w:val="1"/>
          <w:numId w:val="214"/>
        </w:numPr>
        <w:tabs>
          <w:tab w:pos="1125" w:val="left" w:leader="none"/>
          <w:tab w:pos="1126" w:val="left" w:leader="none"/>
        </w:tabs>
        <w:spacing w:line="240" w:lineRule="auto" w:before="60" w:after="0"/>
        <w:ind w:left="1126" w:right="0" w:hanging="454"/>
        <w:jc w:val="left"/>
        <w:rPr>
          <w:sz w:val="20"/>
        </w:rPr>
      </w:pPr>
      <w:r>
        <w:rPr>
          <w:sz w:val="20"/>
        </w:rPr>
        <w:t>tubos de polietileno reticulado (PE-X), según Norma UNE EN ISO</w:t>
      </w:r>
      <w:r>
        <w:rPr>
          <w:spacing w:val="-8"/>
          <w:sz w:val="20"/>
        </w:rPr>
        <w:t> </w:t>
      </w:r>
      <w:r>
        <w:rPr>
          <w:sz w:val="20"/>
        </w:rPr>
        <w:t>15875:2004;</w:t>
      </w:r>
    </w:p>
    <w:p>
      <w:pPr>
        <w:pStyle w:val="ListParagraph"/>
        <w:numPr>
          <w:ilvl w:val="1"/>
          <w:numId w:val="214"/>
        </w:numPr>
        <w:tabs>
          <w:tab w:pos="1125" w:val="left" w:leader="none"/>
          <w:tab w:pos="1126" w:val="left" w:leader="none"/>
        </w:tabs>
        <w:spacing w:line="240" w:lineRule="auto" w:before="60" w:after="0"/>
        <w:ind w:left="1126" w:right="0" w:hanging="454"/>
        <w:jc w:val="left"/>
        <w:rPr>
          <w:sz w:val="20"/>
        </w:rPr>
      </w:pPr>
      <w:r>
        <w:rPr>
          <w:sz w:val="20"/>
        </w:rPr>
        <w:t>tubos de polibutileno (PB), según Norma UNE EN ISO</w:t>
      </w:r>
      <w:r>
        <w:rPr>
          <w:spacing w:val="-1"/>
          <w:sz w:val="20"/>
        </w:rPr>
        <w:t> </w:t>
      </w:r>
      <w:r>
        <w:rPr>
          <w:sz w:val="20"/>
        </w:rPr>
        <w:t>15876:2004;</w:t>
      </w:r>
    </w:p>
    <w:p>
      <w:pPr>
        <w:pStyle w:val="ListParagraph"/>
        <w:numPr>
          <w:ilvl w:val="1"/>
          <w:numId w:val="214"/>
        </w:numPr>
        <w:tabs>
          <w:tab w:pos="1125" w:val="left" w:leader="none"/>
          <w:tab w:pos="1126" w:val="left" w:leader="none"/>
        </w:tabs>
        <w:spacing w:line="240" w:lineRule="auto" w:before="60" w:after="0"/>
        <w:ind w:left="1126" w:right="0" w:hanging="454"/>
        <w:jc w:val="left"/>
        <w:rPr>
          <w:sz w:val="20"/>
        </w:rPr>
      </w:pPr>
      <w:r>
        <w:rPr>
          <w:sz w:val="20"/>
        </w:rPr>
        <w:t>tubos de polipropileno (PP) según Norma UNE EN ISO</w:t>
      </w:r>
      <w:r>
        <w:rPr>
          <w:spacing w:val="-3"/>
          <w:sz w:val="20"/>
        </w:rPr>
        <w:t> </w:t>
      </w:r>
      <w:r>
        <w:rPr>
          <w:sz w:val="20"/>
        </w:rPr>
        <w:t>15874:2004;</w:t>
      </w:r>
    </w:p>
    <w:p>
      <w:pPr>
        <w:spacing w:after="0" w:line="240" w:lineRule="auto"/>
        <w:jc w:val="left"/>
        <w:rPr>
          <w:sz w:val="20"/>
        </w:rPr>
        <w:sectPr>
          <w:pgSz w:w="11910" w:h="16840"/>
          <w:pgMar w:header="908" w:footer="654" w:top="1320" w:bottom="840" w:left="1200" w:right="740"/>
        </w:sectPr>
      </w:pPr>
    </w:p>
    <w:p>
      <w:pPr>
        <w:pStyle w:val="ListParagraph"/>
        <w:numPr>
          <w:ilvl w:val="1"/>
          <w:numId w:val="214"/>
        </w:numPr>
        <w:tabs>
          <w:tab w:pos="1126" w:val="left" w:leader="none"/>
        </w:tabs>
        <w:spacing w:line="240" w:lineRule="auto" w:before="91" w:after="0"/>
        <w:ind w:left="1126" w:right="390" w:hanging="454"/>
        <w:jc w:val="both"/>
        <w:rPr>
          <w:sz w:val="20"/>
        </w:rPr>
      </w:pPr>
      <w:r>
        <w:rPr>
          <w:sz w:val="20"/>
        </w:rPr>
        <w:t>tubos multicapa de polímero / aluminio / polietileno resistente a temperatura (PE-RT), según Norma UNE 53 960</w:t>
      </w:r>
      <w:r>
        <w:rPr>
          <w:spacing w:val="-2"/>
          <w:sz w:val="20"/>
        </w:rPr>
        <w:t> </w:t>
      </w:r>
      <w:r>
        <w:rPr>
          <w:sz w:val="20"/>
        </w:rPr>
        <w:t>EX:2002;</w:t>
      </w:r>
    </w:p>
    <w:p>
      <w:pPr>
        <w:pStyle w:val="ListParagraph"/>
        <w:numPr>
          <w:ilvl w:val="1"/>
          <w:numId w:val="214"/>
        </w:numPr>
        <w:tabs>
          <w:tab w:pos="1126" w:val="left" w:leader="none"/>
        </w:tabs>
        <w:spacing w:line="240" w:lineRule="auto" w:before="60" w:after="0"/>
        <w:ind w:left="1126" w:right="390" w:hanging="454"/>
        <w:jc w:val="both"/>
        <w:rPr>
          <w:sz w:val="20"/>
        </w:rPr>
      </w:pPr>
      <w:r>
        <w:rPr>
          <w:sz w:val="20"/>
        </w:rPr>
        <w:t>tubos multicapa de polímero / aluminio / polietileno reticulado (PE-X), según Norma UNE 53 961 EX:2002.</w:t>
      </w:r>
    </w:p>
    <w:p>
      <w:pPr>
        <w:pStyle w:val="ListParagraph"/>
        <w:numPr>
          <w:ilvl w:val="0"/>
          <w:numId w:val="214"/>
        </w:numPr>
        <w:tabs>
          <w:tab w:pos="673" w:val="left" w:leader="none"/>
        </w:tabs>
        <w:spacing w:line="240" w:lineRule="auto" w:before="60" w:after="0"/>
        <w:ind w:left="672" w:right="389" w:hanging="454"/>
        <w:jc w:val="both"/>
        <w:rPr>
          <w:sz w:val="20"/>
        </w:rPr>
      </w:pPr>
      <w:r>
        <w:rPr>
          <w:sz w:val="20"/>
        </w:rPr>
        <w:t>No podrán emplearse para las tuberías ni para los accesorios, materiales que puedan producir con- centraciones de sustancias nocivas que excedan los valores permitidos por el Real Decreto 140/2003, de 7 de</w:t>
      </w:r>
      <w:r>
        <w:rPr>
          <w:spacing w:val="-3"/>
          <w:sz w:val="20"/>
        </w:rPr>
        <w:t> </w:t>
      </w:r>
      <w:r>
        <w:rPr>
          <w:sz w:val="20"/>
        </w:rPr>
        <w:t>febrero.</w:t>
      </w:r>
    </w:p>
    <w:p>
      <w:pPr>
        <w:pStyle w:val="BodyText"/>
        <w:spacing w:before="5"/>
        <w:rPr>
          <w:sz w:val="30"/>
        </w:rPr>
      </w:pPr>
    </w:p>
    <w:p>
      <w:pPr>
        <w:spacing w:before="1"/>
        <w:ind w:left="1777" w:right="962" w:firstLine="0"/>
        <w:jc w:val="left"/>
        <w:rPr>
          <w:sz w:val="16"/>
        </w:rPr>
      </w:pPr>
      <w:r>
        <w:rPr/>
        <w:pict>
          <v:group style="position:absolute;margin-left:142.940002pt;margin-top:.173901pt;width:.5pt;height:21.45pt;mso-position-horizontal-relative:page;mso-position-vertical-relative:paragraph;z-index:251996160" coordorigin="2859,3" coordsize="10,429">
            <v:line style="position:absolute" from="2864,3" to="2864,187" stroked="true" strokeweight=".48pt" strokecolor="#000000">
              <v:stroke dashstyle="solid"/>
            </v:line>
            <v:line style="position:absolute" from="2864,187" to="2864,432" stroked="true" strokeweight=".48pt" strokecolor="#000000">
              <v:stroke dashstyle="solid"/>
            </v:line>
            <w10:wrap type="none"/>
          </v:group>
        </w:pict>
      </w:r>
      <w:r>
        <w:rPr>
          <w:sz w:val="16"/>
        </w:rPr>
        <w:t>Por accesorio se entienden aquellos elementos o partes de elementos que no siendo tubulares, se encuentren en contacto con el agua.</w:t>
      </w:r>
    </w:p>
    <w:p>
      <w:pPr>
        <w:pStyle w:val="BodyText"/>
        <w:spacing w:before="2"/>
        <w:rPr>
          <w:sz w:val="22"/>
        </w:rPr>
      </w:pPr>
    </w:p>
    <w:p>
      <w:pPr>
        <w:pStyle w:val="ListParagraph"/>
        <w:numPr>
          <w:ilvl w:val="0"/>
          <w:numId w:val="214"/>
        </w:numPr>
        <w:tabs>
          <w:tab w:pos="673" w:val="left" w:leader="none"/>
        </w:tabs>
        <w:spacing w:line="240" w:lineRule="auto" w:before="94" w:after="0"/>
        <w:ind w:left="672" w:right="392" w:hanging="454"/>
        <w:jc w:val="both"/>
        <w:rPr>
          <w:sz w:val="20"/>
        </w:rPr>
      </w:pPr>
      <w:r>
        <w:rPr>
          <w:sz w:val="20"/>
        </w:rPr>
        <w:t>El ACS se considera igualmente agua para el consumo humano y cumplirá por tanto con todos los requisitos al respecto.</w:t>
      </w:r>
    </w:p>
    <w:p>
      <w:pPr>
        <w:pStyle w:val="ListParagraph"/>
        <w:numPr>
          <w:ilvl w:val="0"/>
          <w:numId w:val="214"/>
        </w:numPr>
        <w:tabs>
          <w:tab w:pos="673" w:val="left" w:leader="none"/>
        </w:tabs>
        <w:spacing w:line="240" w:lineRule="auto" w:before="60" w:after="0"/>
        <w:ind w:left="672" w:right="394" w:hanging="454"/>
        <w:jc w:val="both"/>
        <w:rPr>
          <w:sz w:val="20"/>
        </w:rPr>
      </w:pPr>
      <w:r>
        <w:rPr>
          <w:sz w:val="20"/>
        </w:rPr>
        <w:t>Dada la alteración que producen en las condiciones de potabilidad del agua, quedan prohibidos expresamente los tubos de aluminio y aquellos cuya composición contenga</w:t>
      </w:r>
      <w:r>
        <w:rPr>
          <w:spacing w:val="-7"/>
          <w:sz w:val="20"/>
        </w:rPr>
        <w:t> </w:t>
      </w:r>
      <w:r>
        <w:rPr>
          <w:sz w:val="20"/>
        </w:rPr>
        <w:t>plomo.</w:t>
      </w:r>
    </w:p>
    <w:p>
      <w:pPr>
        <w:pStyle w:val="ListParagraph"/>
        <w:numPr>
          <w:ilvl w:val="0"/>
          <w:numId w:val="214"/>
        </w:numPr>
        <w:tabs>
          <w:tab w:pos="673" w:val="left" w:leader="none"/>
        </w:tabs>
        <w:spacing w:line="240" w:lineRule="auto" w:before="60" w:after="0"/>
        <w:ind w:left="672" w:right="390" w:hanging="454"/>
        <w:jc w:val="both"/>
        <w:rPr>
          <w:sz w:val="20"/>
        </w:rPr>
      </w:pPr>
      <w:r>
        <w:rPr>
          <w:sz w:val="20"/>
        </w:rPr>
        <w:t>Todos los materiales utilizados en los tubos, accesorios y componentes de la red, incluyendo tam- bién las juntas elásticas y productos usados para la estanqueidad, así como los materiales de apor- te y fundentes para soldaduras, cumplirán igualmente las condiciones</w:t>
      </w:r>
      <w:r>
        <w:rPr>
          <w:spacing w:val="-4"/>
          <w:sz w:val="20"/>
        </w:rPr>
        <w:t> </w:t>
      </w:r>
      <w:r>
        <w:rPr>
          <w:sz w:val="20"/>
        </w:rPr>
        <w:t>expuestas.</w:t>
      </w:r>
    </w:p>
    <w:p>
      <w:pPr>
        <w:pStyle w:val="BodyText"/>
        <w:spacing w:before="6"/>
        <w:rPr>
          <w:sz w:val="17"/>
        </w:rPr>
      </w:pPr>
    </w:p>
    <w:p>
      <w:pPr>
        <w:pStyle w:val="Heading5"/>
        <w:numPr>
          <w:ilvl w:val="2"/>
          <w:numId w:val="215"/>
        </w:numPr>
        <w:tabs>
          <w:tab w:pos="787" w:val="left" w:leader="none"/>
        </w:tabs>
        <w:spacing w:line="240" w:lineRule="auto" w:before="1" w:after="0"/>
        <w:ind w:left="786" w:right="0" w:hanging="569"/>
        <w:jc w:val="both"/>
      </w:pPr>
      <w:r>
        <w:rPr/>
        <w:t>Aislantes</w:t>
      </w:r>
      <w:r>
        <w:rPr>
          <w:spacing w:val="-1"/>
        </w:rPr>
        <w:t> </w:t>
      </w:r>
      <w:r>
        <w:rPr/>
        <w:t>térmicos</w:t>
      </w:r>
    </w:p>
    <w:p>
      <w:pPr>
        <w:pStyle w:val="BodyText"/>
        <w:spacing w:before="97"/>
        <w:ind w:left="672" w:right="392" w:hanging="454"/>
        <w:jc w:val="both"/>
      </w:pPr>
      <w:r>
        <w:rPr/>
        <w:t>1  El aislamiento térmico de las tuberías utilizado para reducir pérdidas de calor, evitar condensacio-   nes y congelación del agua en el interior de las conducciones, se realizará con coquillas resistentes a la temperatura de</w:t>
      </w:r>
      <w:r>
        <w:rPr>
          <w:spacing w:val="-2"/>
        </w:rPr>
        <w:t> </w:t>
      </w:r>
      <w:r>
        <w:rPr/>
        <w:t>aplicación.</w:t>
      </w:r>
    </w:p>
    <w:p>
      <w:pPr>
        <w:pStyle w:val="BodyText"/>
        <w:spacing w:before="6"/>
        <w:rPr>
          <w:sz w:val="17"/>
        </w:rPr>
      </w:pPr>
    </w:p>
    <w:p>
      <w:pPr>
        <w:pStyle w:val="Heading5"/>
        <w:numPr>
          <w:ilvl w:val="2"/>
          <w:numId w:val="215"/>
        </w:numPr>
        <w:tabs>
          <w:tab w:pos="787" w:val="left" w:leader="none"/>
        </w:tabs>
        <w:spacing w:line="240" w:lineRule="auto" w:before="0" w:after="0"/>
        <w:ind w:left="786" w:right="0" w:hanging="569"/>
        <w:jc w:val="left"/>
      </w:pPr>
      <w:r>
        <w:rPr/>
        <w:t>Válvulas y</w:t>
      </w:r>
      <w:r>
        <w:rPr>
          <w:spacing w:val="-3"/>
        </w:rPr>
        <w:t> </w:t>
      </w:r>
      <w:r>
        <w:rPr/>
        <w:t>llaves</w:t>
      </w:r>
    </w:p>
    <w:p>
      <w:pPr>
        <w:pStyle w:val="ListParagraph"/>
        <w:numPr>
          <w:ilvl w:val="0"/>
          <w:numId w:val="216"/>
        </w:numPr>
        <w:tabs>
          <w:tab w:pos="672" w:val="left" w:leader="none"/>
          <w:tab w:pos="673" w:val="left" w:leader="none"/>
        </w:tabs>
        <w:spacing w:line="240" w:lineRule="auto" w:before="99" w:after="0"/>
        <w:ind w:left="672" w:right="0" w:hanging="455"/>
        <w:jc w:val="left"/>
        <w:rPr>
          <w:sz w:val="20"/>
        </w:rPr>
      </w:pPr>
      <w:r>
        <w:rPr>
          <w:sz w:val="20"/>
        </w:rPr>
        <w:t>El material de válvulas y llaves no será incompatible con las tuberías en que se</w:t>
      </w:r>
      <w:r>
        <w:rPr>
          <w:spacing w:val="-8"/>
          <w:sz w:val="20"/>
        </w:rPr>
        <w:t> </w:t>
      </w:r>
      <w:r>
        <w:rPr>
          <w:sz w:val="20"/>
        </w:rPr>
        <w:t>intercalen.</w:t>
      </w:r>
    </w:p>
    <w:p>
      <w:pPr>
        <w:pStyle w:val="ListParagraph"/>
        <w:numPr>
          <w:ilvl w:val="0"/>
          <w:numId w:val="216"/>
        </w:numPr>
        <w:tabs>
          <w:tab w:pos="672" w:val="left" w:leader="none"/>
          <w:tab w:pos="673" w:val="left" w:leader="none"/>
        </w:tabs>
        <w:spacing w:line="240" w:lineRule="auto" w:before="61" w:after="0"/>
        <w:ind w:left="672" w:right="392" w:hanging="454"/>
        <w:jc w:val="left"/>
        <w:rPr>
          <w:sz w:val="20"/>
        </w:rPr>
      </w:pPr>
      <w:r>
        <w:rPr>
          <w:sz w:val="20"/>
        </w:rPr>
        <w:t>El cuerpo de la llave ó válvula será de una sola pieza de fundición o fundida en bronce, latón, acero, acero inoxidable, aleaciones especiales o</w:t>
      </w:r>
      <w:r>
        <w:rPr>
          <w:spacing w:val="-3"/>
          <w:sz w:val="20"/>
        </w:rPr>
        <w:t> </w:t>
      </w:r>
      <w:r>
        <w:rPr>
          <w:sz w:val="20"/>
        </w:rPr>
        <w:t>plástico.</w:t>
      </w:r>
    </w:p>
    <w:p>
      <w:pPr>
        <w:pStyle w:val="ListParagraph"/>
        <w:numPr>
          <w:ilvl w:val="0"/>
          <w:numId w:val="216"/>
        </w:numPr>
        <w:tabs>
          <w:tab w:pos="672" w:val="left" w:leader="none"/>
          <w:tab w:pos="673" w:val="left" w:leader="none"/>
        </w:tabs>
        <w:spacing w:line="240" w:lineRule="auto" w:before="60" w:after="0"/>
        <w:ind w:left="672" w:right="394" w:hanging="454"/>
        <w:jc w:val="left"/>
        <w:rPr>
          <w:sz w:val="20"/>
        </w:rPr>
      </w:pPr>
      <w:r>
        <w:rPr>
          <w:sz w:val="20"/>
        </w:rPr>
        <w:t>Solamente pueden emplearse válvulas de cierre por giro de 90º como válvulas de tubería si sirven como órgano de cierre para trabajos de</w:t>
      </w:r>
      <w:r>
        <w:rPr>
          <w:spacing w:val="-5"/>
          <w:sz w:val="20"/>
        </w:rPr>
        <w:t> </w:t>
      </w:r>
      <w:r>
        <w:rPr>
          <w:sz w:val="20"/>
        </w:rPr>
        <w:t>mantenimiento.</w:t>
      </w:r>
    </w:p>
    <w:p>
      <w:pPr>
        <w:pStyle w:val="ListParagraph"/>
        <w:numPr>
          <w:ilvl w:val="0"/>
          <w:numId w:val="216"/>
        </w:numPr>
        <w:tabs>
          <w:tab w:pos="672" w:val="left" w:leader="none"/>
          <w:tab w:pos="673" w:val="left" w:leader="none"/>
        </w:tabs>
        <w:spacing w:line="240" w:lineRule="auto" w:before="59" w:after="0"/>
        <w:ind w:left="672" w:right="0" w:hanging="455"/>
        <w:jc w:val="left"/>
        <w:rPr>
          <w:sz w:val="20"/>
        </w:rPr>
      </w:pPr>
      <w:r>
        <w:rPr>
          <w:sz w:val="20"/>
        </w:rPr>
        <w:t>Serán resistentes a una presión de servicio de 10</w:t>
      </w:r>
      <w:r>
        <w:rPr>
          <w:spacing w:val="-1"/>
          <w:sz w:val="20"/>
        </w:rPr>
        <w:t> </w:t>
      </w:r>
      <w:r>
        <w:rPr>
          <w:sz w:val="20"/>
        </w:rPr>
        <w:t>bar.</w:t>
      </w:r>
    </w:p>
    <w:p>
      <w:pPr>
        <w:pStyle w:val="BodyText"/>
        <w:spacing w:before="6"/>
        <w:rPr>
          <w:sz w:val="24"/>
        </w:rPr>
      </w:pPr>
    </w:p>
    <w:p>
      <w:pPr>
        <w:pStyle w:val="Heading3"/>
        <w:numPr>
          <w:ilvl w:val="1"/>
          <w:numId w:val="217"/>
        </w:numPr>
        <w:tabs>
          <w:tab w:pos="673" w:val="left" w:leader="none"/>
        </w:tabs>
        <w:spacing w:line="240" w:lineRule="auto" w:before="0" w:after="0"/>
        <w:ind w:left="672" w:right="0" w:hanging="455"/>
        <w:jc w:val="left"/>
      </w:pPr>
      <w:r>
        <w:rPr/>
        <w:t>Incompatibilidades</w:t>
      </w:r>
    </w:p>
    <w:p>
      <w:pPr>
        <w:pStyle w:val="Heading5"/>
        <w:numPr>
          <w:ilvl w:val="2"/>
          <w:numId w:val="217"/>
        </w:numPr>
        <w:tabs>
          <w:tab w:pos="787" w:val="left" w:leader="none"/>
        </w:tabs>
        <w:spacing w:line="240" w:lineRule="auto" w:before="201" w:after="0"/>
        <w:ind w:left="786" w:right="0" w:hanging="569"/>
        <w:jc w:val="both"/>
      </w:pPr>
      <w:r>
        <w:rPr/>
        <w:t>Incompatibilidad de los materiales y el</w:t>
      </w:r>
      <w:r>
        <w:rPr>
          <w:spacing w:val="-5"/>
        </w:rPr>
        <w:t> </w:t>
      </w:r>
      <w:r>
        <w:rPr/>
        <w:t>agua</w:t>
      </w:r>
    </w:p>
    <w:p>
      <w:pPr>
        <w:pStyle w:val="ListParagraph"/>
        <w:numPr>
          <w:ilvl w:val="0"/>
          <w:numId w:val="218"/>
        </w:numPr>
        <w:tabs>
          <w:tab w:pos="673" w:val="left" w:leader="none"/>
        </w:tabs>
        <w:spacing w:line="240" w:lineRule="auto" w:before="98" w:after="0"/>
        <w:ind w:left="672" w:right="391" w:hanging="454"/>
        <w:jc w:val="both"/>
        <w:rPr>
          <w:sz w:val="20"/>
        </w:rPr>
      </w:pPr>
      <w:r>
        <w:rPr>
          <w:sz w:val="20"/>
        </w:rPr>
        <w:t>Se evitará siempre la incompatibilidad de las tuberías de acero galvanizado y cobre controlando la agresividad del agua. Para los tubos de acero galvanizado se considerarán agresivas las aguas no incrustantes con contenidos de ión cloruro superiores a 250 mg/l. Para su valoración se empleará el índice de Langelier. Para los tubos de cobre se consideraran agresivas las aguas dulces y ácidas (pH inferior a 6,5) y con contenidos altos de CO2. Para su valoración se empleará el índice de Lu- cey.</w:t>
      </w:r>
    </w:p>
    <w:p>
      <w:pPr>
        <w:pStyle w:val="ListParagraph"/>
        <w:numPr>
          <w:ilvl w:val="0"/>
          <w:numId w:val="218"/>
        </w:numPr>
        <w:tabs>
          <w:tab w:pos="673" w:val="left" w:leader="none"/>
        </w:tabs>
        <w:spacing w:line="240" w:lineRule="auto" w:before="60" w:after="0"/>
        <w:ind w:left="672" w:right="393" w:hanging="454"/>
        <w:jc w:val="both"/>
        <w:rPr>
          <w:sz w:val="20"/>
        </w:rPr>
      </w:pPr>
      <w:r>
        <w:rPr>
          <w:sz w:val="20"/>
        </w:rPr>
        <w:t>Para los tubos de acero galvanizado las condiciones límites del agua a transportar, a partir de las cuales será necesario un tratamiento serán las de la tabla</w:t>
      </w:r>
      <w:r>
        <w:rPr>
          <w:spacing w:val="-5"/>
          <w:sz w:val="20"/>
        </w:rPr>
        <w:t> </w:t>
      </w:r>
      <w:r>
        <w:rPr>
          <w:sz w:val="20"/>
        </w:rPr>
        <w:t>6.1:</w:t>
      </w:r>
    </w:p>
    <w:p>
      <w:pPr>
        <w:spacing w:after="0" w:line="240" w:lineRule="auto"/>
        <w:jc w:val="both"/>
        <w:rPr>
          <w:sz w:val="20"/>
        </w:rPr>
        <w:sectPr>
          <w:pgSz w:w="11910" w:h="16840"/>
          <w:pgMar w:header="908" w:footer="654" w:top="1320" w:bottom="840" w:left="1200" w:right="740"/>
        </w:sectPr>
      </w:pPr>
    </w:p>
    <w:p>
      <w:pPr>
        <w:spacing w:before="91" w:after="3"/>
        <w:ind w:left="4510" w:right="0" w:firstLine="0"/>
        <w:jc w:val="left"/>
        <w:rPr>
          <w:b/>
          <w:sz w:val="18"/>
        </w:rPr>
      </w:pPr>
      <w:r>
        <w:rPr>
          <w:b/>
          <w:sz w:val="18"/>
        </w:rPr>
        <w:t>Tabla 6.1</w:t>
      </w:r>
    </w:p>
    <w:tbl>
      <w:tblPr>
        <w:tblW w:w="0" w:type="auto"/>
        <w:jc w:val="left"/>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23"/>
        <w:gridCol w:w="2607"/>
        <w:gridCol w:w="2589"/>
      </w:tblGrid>
      <w:tr>
        <w:trPr>
          <w:trHeight w:val="207" w:hRule="atLeast"/>
        </w:trPr>
        <w:tc>
          <w:tcPr>
            <w:tcW w:w="3723" w:type="dxa"/>
            <w:tcBorders>
              <w:left w:val="nil"/>
            </w:tcBorders>
          </w:tcPr>
          <w:p>
            <w:pPr>
              <w:pStyle w:val="TableParagraph"/>
              <w:spacing w:line="187" w:lineRule="exact"/>
              <w:ind w:left="84"/>
              <w:jc w:val="left"/>
              <w:rPr>
                <w:b/>
                <w:sz w:val="18"/>
              </w:rPr>
            </w:pPr>
            <w:r>
              <w:rPr>
                <w:b/>
                <w:sz w:val="18"/>
              </w:rPr>
              <w:t>Características</w:t>
            </w:r>
          </w:p>
        </w:tc>
        <w:tc>
          <w:tcPr>
            <w:tcW w:w="2607" w:type="dxa"/>
            <w:tcBorders>
              <w:right w:val="nil"/>
            </w:tcBorders>
          </w:tcPr>
          <w:p>
            <w:pPr>
              <w:pStyle w:val="TableParagraph"/>
              <w:spacing w:line="187" w:lineRule="exact"/>
              <w:ind w:left="747" w:right="711"/>
              <w:rPr>
                <w:b/>
                <w:sz w:val="18"/>
              </w:rPr>
            </w:pPr>
            <w:r>
              <w:rPr>
                <w:b/>
                <w:sz w:val="18"/>
              </w:rPr>
              <w:t>Agua fría</w:t>
            </w:r>
          </w:p>
        </w:tc>
        <w:tc>
          <w:tcPr>
            <w:tcW w:w="2589" w:type="dxa"/>
            <w:tcBorders>
              <w:left w:val="nil"/>
              <w:right w:val="nil"/>
            </w:tcBorders>
          </w:tcPr>
          <w:p>
            <w:pPr>
              <w:pStyle w:val="TableParagraph"/>
              <w:spacing w:line="187" w:lineRule="exact"/>
              <w:ind w:left="731"/>
              <w:jc w:val="left"/>
              <w:rPr>
                <w:b/>
                <w:sz w:val="18"/>
              </w:rPr>
            </w:pPr>
            <w:r>
              <w:rPr>
                <w:b/>
                <w:sz w:val="18"/>
              </w:rPr>
              <w:t>Agua caliente</w:t>
            </w:r>
          </w:p>
        </w:tc>
      </w:tr>
      <w:tr>
        <w:trPr>
          <w:trHeight w:val="1863" w:hRule="atLeast"/>
        </w:trPr>
        <w:tc>
          <w:tcPr>
            <w:tcW w:w="3723" w:type="dxa"/>
            <w:tcBorders>
              <w:left w:val="nil"/>
            </w:tcBorders>
          </w:tcPr>
          <w:p>
            <w:pPr>
              <w:pStyle w:val="TableParagraph"/>
              <w:spacing w:line="205" w:lineRule="exact"/>
              <w:ind w:left="84"/>
              <w:jc w:val="left"/>
              <w:rPr>
                <w:sz w:val="18"/>
              </w:rPr>
            </w:pPr>
            <w:r>
              <w:rPr>
                <w:sz w:val="18"/>
              </w:rPr>
              <w:t>Resistividad (Ohm x cm)</w:t>
            </w:r>
          </w:p>
          <w:p>
            <w:pPr>
              <w:pStyle w:val="TableParagraph"/>
              <w:ind w:left="84" w:right="313"/>
              <w:jc w:val="left"/>
              <w:rPr>
                <w:sz w:val="18"/>
              </w:rPr>
            </w:pPr>
            <w:r>
              <w:rPr>
                <w:sz w:val="18"/>
              </w:rPr>
              <w:t>Título alcalimétrico completo (TAC) meq/l Oxígeno disuelto, mg/l</w:t>
            </w:r>
          </w:p>
          <w:p>
            <w:pPr>
              <w:pStyle w:val="TableParagraph"/>
              <w:spacing w:before="1"/>
              <w:ind w:left="84" w:right="2124"/>
              <w:jc w:val="left"/>
              <w:rPr>
                <w:sz w:val="18"/>
              </w:rPr>
            </w:pPr>
            <w:r>
              <w:rPr>
                <w:sz w:val="18"/>
              </w:rPr>
              <w:t>CO</w:t>
            </w:r>
            <w:r>
              <w:rPr>
                <w:sz w:val="18"/>
                <w:vertAlign w:val="subscript"/>
              </w:rPr>
              <w:t>2</w:t>
            </w:r>
            <w:r>
              <w:rPr>
                <w:sz w:val="18"/>
                <w:vertAlign w:val="baseline"/>
              </w:rPr>
              <w:t> libre, mg/l CO</w:t>
            </w:r>
            <w:r>
              <w:rPr>
                <w:sz w:val="18"/>
                <w:vertAlign w:val="subscript"/>
              </w:rPr>
              <w:t>2</w:t>
            </w:r>
            <w:r>
              <w:rPr>
                <w:sz w:val="18"/>
                <w:vertAlign w:val="baseline"/>
              </w:rPr>
              <w:t> agresivo, </w:t>
            </w:r>
            <w:r>
              <w:rPr>
                <w:spacing w:val="-3"/>
                <w:sz w:val="18"/>
                <w:vertAlign w:val="baseline"/>
              </w:rPr>
              <w:t>mg/l </w:t>
            </w:r>
            <w:r>
              <w:rPr>
                <w:sz w:val="18"/>
                <w:vertAlign w:val="baseline"/>
              </w:rPr>
              <w:t>Calcio (Ca</w:t>
            </w:r>
            <w:r>
              <w:rPr>
                <w:sz w:val="18"/>
                <w:vertAlign w:val="superscript"/>
              </w:rPr>
              <w:t>2+</w:t>
            </w:r>
            <w:r>
              <w:rPr>
                <w:sz w:val="18"/>
                <w:vertAlign w:val="baseline"/>
              </w:rPr>
              <w:t>),</w:t>
            </w:r>
            <w:r>
              <w:rPr>
                <w:spacing w:val="-5"/>
                <w:sz w:val="18"/>
                <w:vertAlign w:val="baseline"/>
              </w:rPr>
              <w:t> </w:t>
            </w:r>
            <w:r>
              <w:rPr>
                <w:sz w:val="18"/>
                <w:vertAlign w:val="baseline"/>
              </w:rPr>
              <w:t>mg/l</w:t>
            </w:r>
          </w:p>
          <w:p>
            <w:pPr>
              <w:pStyle w:val="TableParagraph"/>
              <w:spacing w:line="206" w:lineRule="exact"/>
              <w:ind w:left="84"/>
              <w:jc w:val="left"/>
              <w:rPr>
                <w:sz w:val="18"/>
              </w:rPr>
            </w:pPr>
            <w:r>
              <w:rPr>
                <w:sz w:val="18"/>
              </w:rPr>
              <w:t>Sulfatos (SO</w:t>
            </w:r>
            <w:r>
              <w:rPr>
                <w:sz w:val="18"/>
                <w:vertAlign w:val="subscript"/>
              </w:rPr>
              <w:t>4</w:t>
            </w:r>
            <w:r>
              <w:rPr>
                <w:sz w:val="18"/>
                <w:vertAlign w:val="superscript"/>
              </w:rPr>
              <w:t>2-</w:t>
            </w:r>
            <w:r>
              <w:rPr>
                <w:sz w:val="18"/>
                <w:vertAlign w:val="baseline"/>
              </w:rPr>
              <w:t>), mg/l</w:t>
            </w:r>
          </w:p>
          <w:p>
            <w:pPr>
              <w:pStyle w:val="TableParagraph"/>
              <w:spacing w:line="206" w:lineRule="exact" w:before="4"/>
              <w:ind w:left="84" w:right="1538"/>
              <w:jc w:val="left"/>
              <w:rPr>
                <w:sz w:val="18"/>
              </w:rPr>
            </w:pPr>
            <w:r>
              <w:rPr>
                <w:sz w:val="18"/>
              </w:rPr>
              <w:t>Cloruros (Cl</w:t>
            </w:r>
            <w:r>
              <w:rPr>
                <w:sz w:val="18"/>
                <w:vertAlign w:val="superscript"/>
              </w:rPr>
              <w:t>-</w:t>
            </w:r>
            <w:r>
              <w:rPr>
                <w:sz w:val="18"/>
                <w:vertAlign w:val="baseline"/>
              </w:rPr>
              <w:t>), mg/l Sulfatos + Cloruros, meq/l</w:t>
            </w:r>
          </w:p>
        </w:tc>
        <w:tc>
          <w:tcPr>
            <w:tcW w:w="2607" w:type="dxa"/>
            <w:tcBorders>
              <w:right w:val="nil"/>
            </w:tcBorders>
          </w:tcPr>
          <w:p>
            <w:pPr>
              <w:pStyle w:val="TableParagraph"/>
              <w:spacing w:line="205" w:lineRule="exact"/>
              <w:ind w:left="749" w:right="711"/>
              <w:rPr>
                <w:sz w:val="18"/>
              </w:rPr>
            </w:pPr>
            <w:r>
              <w:rPr>
                <w:sz w:val="18"/>
              </w:rPr>
              <w:t>1.500 – 4.500</w:t>
            </w:r>
          </w:p>
          <w:p>
            <w:pPr>
              <w:pStyle w:val="TableParagraph"/>
              <w:spacing w:line="207" w:lineRule="exact"/>
              <w:ind w:left="747" w:right="711"/>
              <w:rPr>
                <w:sz w:val="18"/>
              </w:rPr>
            </w:pPr>
            <w:r>
              <w:rPr>
                <w:sz w:val="18"/>
              </w:rPr>
              <w:t>1,6 mínimo</w:t>
            </w:r>
          </w:p>
          <w:p>
            <w:pPr>
              <w:pStyle w:val="TableParagraph"/>
              <w:spacing w:line="207" w:lineRule="exact"/>
              <w:ind w:left="748" w:right="711"/>
              <w:rPr>
                <w:sz w:val="18"/>
              </w:rPr>
            </w:pPr>
            <w:r>
              <w:rPr>
                <w:sz w:val="18"/>
              </w:rPr>
              <w:t>4 mínimo</w:t>
            </w:r>
          </w:p>
          <w:p>
            <w:pPr>
              <w:pStyle w:val="TableParagraph"/>
              <w:spacing w:line="207" w:lineRule="exact" w:before="1"/>
              <w:ind w:left="747" w:right="711"/>
              <w:rPr>
                <w:sz w:val="18"/>
              </w:rPr>
            </w:pPr>
            <w:r>
              <w:rPr>
                <w:sz w:val="18"/>
              </w:rPr>
              <w:t>30 máximo</w:t>
            </w:r>
          </w:p>
          <w:p>
            <w:pPr>
              <w:pStyle w:val="TableParagraph"/>
              <w:spacing w:line="207" w:lineRule="exact"/>
              <w:ind w:left="747" w:right="711"/>
              <w:rPr>
                <w:sz w:val="18"/>
              </w:rPr>
            </w:pPr>
            <w:r>
              <w:rPr>
                <w:sz w:val="18"/>
              </w:rPr>
              <w:t>5</w:t>
            </w:r>
            <w:r>
              <w:rPr>
                <w:spacing w:val="-2"/>
                <w:sz w:val="18"/>
              </w:rPr>
              <w:t> </w:t>
            </w:r>
            <w:r>
              <w:rPr>
                <w:sz w:val="18"/>
              </w:rPr>
              <w:t>máximo</w:t>
            </w:r>
          </w:p>
          <w:p>
            <w:pPr>
              <w:pStyle w:val="TableParagraph"/>
              <w:spacing w:line="207" w:lineRule="exact" w:before="1"/>
              <w:ind w:left="747" w:right="711"/>
              <w:rPr>
                <w:sz w:val="18"/>
              </w:rPr>
            </w:pPr>
            <w:r>
              <w:rPr>
                <w:sz w:val="18"/>
              </w:rPr>
              <w:t>32</w:t>
            </w:r>
            <w:r>
              <w:rPr>
                <w:spacing w:val="-3"/>
                <w:sz w:val="18"/>
              </w:rPr>
              <w:t> </w:t>
            </w:r>
            <w:r>
              <w:rPr>
                <w:sz w:val="18"/>
              </w:rPr>
              <w:t>mínimo</w:t>
            </w:r>
          </w:p>
          <w:p>
            <w:pPr>
              <w:pStyle w:val="TableParagraph"/>
              <w:spacing w:line="207" w:lineRule="exact"/>
              <w:ind w:left="748" w:right="711"/>
              <w:rPr>
                <w:sz w:val="18"/>
              </w:rPr>
            </w:pPr>
            <w:r>
              <w:rPr>
                <w:sz w:val="18"/>
              </w:rPr>
              <w:t>150</w:t>
            </w:r>
            <w:r>
              <w:rPr>
                <w:spacing w:val="-2"/>
                <w:sz w:val="18"/>
              </w:rPr>
              <w:t> </w:t>
            </w:r>
            <w:r>
              <w:rPr>
                <w:sz w:val="18"/>
              </w:rPr>
              <w:t>máximo</w:t>
            </w:r>
          </w:p>
          <w:p>
            <w:pPr>
              <w:pStyle w:val="TableParagraph"/>
              <w:spacing w:line="207" w:lineRule="exact" w:before="1"/>
              <w:ind w:left="748" w:right="711"/>
              <w:rPr>
                <w:sz w:val="18"/>
              </w:rPr>
            </w:pPr>
            <w:r>
              <w:rPr>
                <w:sz w:val="18"/>
              </w:rPr>
              <w:t>100</w:t>
            </w:r>
            <w:r>
              <w:rPr>
                <w:spacing w:val="-2"/>
                <w:sz w:val="18"/>
              </w:rPr>
              <w:t> </w:t>
            </w:r>
            <w:r>
              <w:rPr>
                <w:sz w:val="18"/>
              </w:rPr>
              <w:t>máximo</w:t>
            </w:r>
          </w:p>
          <w:p>
            <w:pPr>
              <w:pStyle w:val="TableParagraph"/>
              <w:spacing w:line="189" w:lineRule="exact"/>
              <w:ind w:left="37"/>
              <w:rPr>
                <w:sz w:val="18"/>
              </w:rPr>
            </w:pPr>
            <w:r>
              <w:rPr>
                <w:w w:val="99"/>
                <w:sz w:val="18"/>
              </w:rPr>
              <w:t>-</w:t>
            </w:r>
          </w:p>
        </w:tc>
        <w:tc>
          <w:tcPr>
            <w:tcW w:w="2589" w:type="dxa"/>
            <w:tcBorders>
              <w:left w:val="nil"/>
              <w:right w:val="nil"/>
            </w:tcBorders>
          </w:tcPr>
          <w:p>
            <w:pPr>
              <w:pStyle w:val="TableParagraph"/>
              <w:spacing w:line="205" w:lineRule="exact"/>
              <w:ind w:left="746" w:right="702"/>
              <w:rPr>
                <w:sz w:val="18"/>
              </w:rPr>
            </w:pPr>
            <w:r>
              <w:rPr>
                <w:sz w:val="18"/>
              </w:rPr>
              <w:t>2.200 – 4.500</w:t>
            </w:r>
          </w:p>
          <w:p>
            <w:pPr>
              <w:pStyle w:val="TableParagraph"/>
              <w:spacing w:line="207" w:lineRule="exact"/>
              <w:ind w:left="743" w:right="702"/>
              <w:rPr>
                <w:sz w:val="18"/>
              </w:rPr>
            </w:pPr>
            <w:r>
              <w:rPr>
                <w:sz w:val="18"/>
              </w:rPr>
              <w:t>1,6</w:t>
            </w:r>
            <w:r>
              <w:rPr>
                <w:spacing w:val="-3"/>
                <w:sz w:val="18"/>
              </w:rPr>
              <w:t> </w:t>
            </w:r>
            <w:r>
              <w:rPr>
                <w:sz w:val="18"/>
              </w:rPr>
              <w:t>mínimo</w:t>
            </w:r>
          </w:p>
          <w:p>
            <w:pPr>
              <w:pStyle w:val="TableParagraph"/>
              <w:spacing w:line="207" w:lineRule="exact"/>
              <w:ind w:left="42"/>
              <w:rPr>
                <w:sz w:val="18"/>
              </w:rPr>
            </w:pPr>
            <w:r>
              <w:rPr>
                <w:w w:val="99"/>
                <w:sz w:val="18"/>
              </w:rPr>
              <w:t>-</w:t>
            </w:r>
          </w:p>
          <w:p>
            <w:pPr>
              <w:pStyle w:val="TableParagraph"/>
              <w:spacing w:line="207" w:lineRule="exact" w:before="1"/>
              <w:ind w:left="743" w:right="702"/>
              <w:rPr>
                <w:sz w:val="18"/>
              </w:rPr>
            </w:pPr>
            <w:r>
              <w:rPr>
                <w:sz w:val="18"/>
              </w:rPr>
              <w:t>15</w:t>
            </w:r>
            <w:r>
              <w:rPr>
                <w:spacing w:val="-4"/>
                <w:sz w:val="18"/>
              </w:rPr>
              <w:t> </w:t>
            </w:r>
            <w:r>
              <w:rPr>
                <w:sz w:val="18"/>
              </w:rPr>
              <w:t>máximo</w:t>
            </w:r>
          </w:p>
          <w:p>
            <w:pPr>
              <w:pStyle w:val="TableParagraph"/>
              <w:spacing w:line="207" w:lineRule="exact"/>
              <w:ind w:left="42"/>
              <w:rPr>
                <w:sz w:val="18"/>
              </w:rPr>
            </w:pPr>
            <w:r>
              <w:rPr>
                <w:w w:val="99"/>
                <w:sz w:val="18"/>
              </w:rPr>
              <w:t>-</w:t>
            </w:r>
          </w:p>
          <w:p>
            <w:pPr>
              <w:pStyle w:val="TableParagraph"/>
              <w:spacing w:line="207" w:lineRule="exact" w:before="1"/>
              <w:ind w:left="743" w:right="702"/>
              <w:rPr>
                <w:sz w:val="18"/>
              </w:rPr>
            </w:pPr>
            <w:r>
              <w:rPr>
                <w:sz w:val="18"/>
              </w:rPr>
              <w:t>32</w:t>
            </w:r>
            <w:r>
              <w:rPr>
                <w:spacing w:val="-3"/>
                <w:sz w:val="18"/>
              </w:rPr>
              <w:t> </w:t>
            </w:r>
            <w:r>
              <w:rPr>
                <w:sz w:val="18"/>
              </w:rPr>
              <w:t>mínimo</w:t>
            </w:r>
          </w:p>
          <w:p>
            <w:pPr>
              <w:pStyle w:val="TableParagraph"/>
              <w:spacing w:line="207" w:lineRule="exact"/>
              <w:ind w:left="743" w:right="702"/>
              <w:rPr>
                <w:sz w:val="18"/>
              </w:rPr>
            </w:pPr>
            <w:r>
              <w:rPr>
                <w:sz w:val="18"/>
              </w:rPr>
              <w:t>96</w:t>
            </w:r>
            <w:r>
              <w:rPr>
                <w:spacing w:val="-4"/>
                <w:sz w:val="18"/>
              </w:rPr>
              <w:t> </w:t>
            </w:r>
            <w:r>
              <w:rPr>
                <w:sz w:val="18"/>
              </w:rPr>
              <w:t>máximo</w:t>
            </w:r>
          </w:p>
          <w:p>
            <w:pPr>
              <w:pStyle w:val="TableParagraph"/>
              <w:spacing w:line="207" w:lineRule="exact" w:before="1"/>
              <w:ind w:left="743" w:right="702"/>
              <w:rPr>
                <w:sz w:val="18"/>
              </w:rPr>
            </w:pPr>
            <w:r>
              <w:rPr>
                <w:sz w:val="18"/>
              </w:rPr>
              <w:t>71</w:t>
            </w:r>
            <w:r>
              <w:rPr>
                <w:spacing w:val="-4"/>
                <w:sz w:val="18"/>
              </w:rPr>
              <w:t> </w:t>
            </w:r>
            <w:r>
              <w:rPr>
                <w:sz w:val="18"/>
              </w:rPr>
              <w:t>máximo</w:t>
            </w:r>
          </w:p>
          <w:p>
            <w:pPr>
              <w:pStyle w:val="TableParagraph"/>
              <w:spacing w:line="189" w:lineRule="exact"/>
              <w:ind w:left="744" w:right="702"/>
              <w:rPr>
                <w:sz w:val="18"/>
              </w:rPr>
            </w:pPr>
            <w:r>
              <w:rPr>
                <w:sz w:val="18"/>
              </w:rPr>
              <w:t>3 máximo</w:t>
            </w:r>
          </w:p>
        </w:tc>
      </w:tr>
    </w:tbl>
    <w:p>
      <w:pPr>
        <w:pStyle w:val="ListParagraph"/>
        <w:numPr>
          <w:ilvl w:val="0"/>
          <w:numId w:val="218"/>
        </w:numPr>
        <w:tabs>
          <w:tab w:pos="673" w:val="left" w:leader="none"/>
        </w:tabs>
        <w:spacing w:line="240" w:lineRule="auto" w:before="57" w:after="0"/>
        <w:ind w:left="672" w:right="396" w:hanging="454"/>
        <w:jc w:val="both"/>
        <w:rPr>
          <w:sz w:val="20"/>
        </w:rPr>
      </w:pPr>
      <w:r>
        <w:rPr>
          <w:sz w:val="20"/>
        </w:rPr>
        <w:t>Para los tubos de cobre las condiciones límites del agua a transportar, a partir de las cuales será necesario un tratamiento serán las de la tabla</w:t>
      </w:r>
      <w:r>
        <w:rPr>
          <w:spacing w:val="-5"/>
          <w:sz w:val="20"/>
        </w:rPr>
        <w:t> </w:t>
      </w:r>
      <w:r>
        <w:rPr>
          <w:sz w:val="20"/>
        </w:rPr>
        <w:t>6.2:</w:t>
      </w:r>
    </w:p>
    <w:p>
      <w:pPr>
        <w:spacing w:before="59" w:after="4"/>
        <w:ind w:left="4510" w:right="0" w:firstLine="0"/>
        <w:jc w:val="left"/>
        <w:rPr>
          <w:b/>
          <w:sz w:val="18"/>
        </w:rPr>
      </w:pPr>
      <w:r>
        <w:rPr>
          <w:b/>
          <w:sz w:val="18"/>
        </w:rPr>
        <w:t>Tabla 6.2</w:t>
      </w:r>
    </w:p>
    <w:tbl>
      <w:tblPr>
        <w:tblW w:w="0" w:type="auto"/>
        <w:jc w:val="left"/>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0"/>
        <w:gridCol w:w="5081"/>
      </w:tblGrid>
      <w:tr>
        <w:trPr>
          <w:trHeight w:val="207" w:hRule="atLeast"/>
        </w:trPr>
        <w:tc>
          <w:tcPr>
            <w:tcW w:w="3790" w:type="dxa"/>
            <w:tcBorders>
              <w:left w:val="nil"/>
            </w:tcBorders>
          </w:tcPr>
          <w:p>
            <w:pPr>
              <w:pStyle w:val="TableParagraph"/>
              <w:spacing w:line="187" w:lineRule="exact"/>
              <w:ind w:left="88"/>
              <w:jc w:val="left"/>
              <w:rPr>
                <w:b/>
                <w:sz w:val="18"/>
              </w:rPr>
            </w:pPr>
            <w:r>
              <w:rPr>
                <w:b/>
                <w:sz w:val="18"/>
              </w:rPr>
              <w:t>Características</w:t>
            </w:r>
          </w:p>
        </w:tc>
        <w:tc>
          <w:tcPr>
            <w:tcW w:w="5081" w:type="dxa"/>
            <w:tcBorders>
              <w:right w:val="nil"/>
            </w:tcBorders>
          </w:tcPr>
          <w:p>
            <w:pPr>
              <w:pStyle w:val="TableParagraph"/>
              <w:spacing w:line="187" w:lineRule="exact"/>
              <w:ind w:left="1479"/>
              <w:jc w:val="left"/>
              <w:rPr>
                <w:b/>
                <w:sz w:val="18"/>
              </w:rPr>
            </w:pPr>
            <w:r>
              <w:rPr>
                <w:b/>
                <w:sz w:val="18"/>
              </w:rPr>
              <w:t>Agua fría y agua caliente</w:t>
            </w:r>
          </w:p>
        </w:tc>
      </w:tr>
      <w:tr>
        <w:trPr>
          <w:trHeight w:val="827" w:hRule="atLeast"/>
        </w:trPr>
        <w:tc>
          <w:tcPr>
            <w:tcW w:w="3790" w:type="dxa"/>
            <w:tcBorders>
              <w:left w:val="nil"/>
            </w:tcBorders>
          </w:tcPr>
          <w:p>
            <w:pPr>
              <w:pStyle w:val="TableParagraph"/>
              <w:spacing w:line="204" w:lineRule="exact"/>
              <w:ind w:left="88"/>
              <w:jc w:val="left"/>
              <w:rPr>
                <w:sz w:val="18"/>
              </w:rPr>
            </w:pPr>
            <w:r>
              <w:rPr>
                <w:sz w:val="18"/>
              </w:rPr>
              <w:t>pH</w:t>
            </w:r>
          </w:p>
          <w:p>
            <w:pPr>
              <w:pStyle w:val="TableParagraph"/>
              <w:spacing w:line="207" w:lineRule="exact"/>
              <w:ind w:left="88"/>
              <w:jc w:val="left"/>
              <w:rPr>
                <w:sz w:val="18"/>
              </w:rPr>
            </w:pPr>
            <w:r>
              <w:rPr>
                <w:sz w:val="18"/>
              </w:rPr>
              <w:t>CO</w:t>
            </w:r>
            <w:r>
              <w:rPr>
                <w:sz w:val="18"/>
                <w:vertAlign w:val="subscript"/>
              </w:rPr>
              <w:t>2</w:t>
            </w:r>
            <w:r>
              <w:rPr>
                <w:sz w:val="18"/>
                <w:vertAlign w:val="baseline"/>
              </w:rPr>
              <w:t> libre, mg/l</w:t>
            </w:r>
          </w:p>
          <w:p>
            <w:pPr>
              <w:pStyle w:val="TableParagraph"/>
              <w:spacing w:line="206" w:lineRule="exact" w:before="4"/>
              <w:ind w:left="88" w:right="1815"/>
              <w:jc w:val="left"/>
              <w:rPr>
                <w:sz w:val="18"/>
              </w:rPr>
            </w:pPr>
            <w:r>
              <w:rPr>
                <w:sz w:val="18"/>
              </w:rPr>
              <w:t>Indice de Langelier (IS) Dureza total (TH), ºF</w:t>
            </w:r>
          </w:p>
        </w:tc>
        <w:tc>
          <w:tcPr>
            <w:tcW w:w="5081" w:type="dxa"/>
            <w:tcBorders>
              <w:right w:val="nil"/>
            </w:tcBorders>
          </w:tcPr>
          <w:p>
            <w:pPr>
              <w:pStyle w:val="TableParagraph"/>
              <w:spacing w:line="204" w:lineRule="exact"/>
              <w:ind w:left="1406" w:right="1406"/>
              <w:rPr>
                <w:sz w:val="18"/>
              </w:rPr>
            </w:pPr>
            <w:r>
              <w:rPr>
                <w:sz w:val="18"/>
              </w:rPr>
              <w:t>7,0 mínimo</w:t>
            </w:r>
          </w:p>
          <w:p>
            <w:pPr>
              <w:pStyle w:val="TableParagraph"/>
              <w:ind w:left="1407" w:right="1404"/>
              <w:rPr>
                <w:sz w:val="18"/>
              </w:rPr>
            </w:pPr>
            <w:r>
              <w:rPr>
                <w:sz w:val="18"/>
              </w:rPr>
              <w:t>no concentraciones altas debe ser positivo</w:t>
            </w:r>
          </w:p>
          <w:p>
            <w:pPr>
              <w:pStyle w:val="TableParagraph"/>
              <w:spacing w:line="189" w:lineRule="exact"/>
              <w:ind w:left="1407" w:right="1406"/>
              <w:rPr>
                <w:sz w:val="18"/>
              </w:rPr>
            </w:pPr>
            <w:r>
              <w:rPr>
                <w:sz w:val="18"/>
              </w:rPr>
              <w:t>5 mínimo (no aguas dulces)</w:t>
            </w:r>
          </w:p>
        </w:tc>
      </w:tr>
    </w:tbl>
    <w:p>
      <w:pPr>
        <w:pStyle w:val="ListParagraph"/>
        <w:numPr>
          <w:ilvl w:val="0"/>
          <w:numId w:val="218"/>
        </w:numPr>
        <w:tabs>
          <w:tab w:pos="673" w:val="left" w:leader="none"/>
        </w:tabs>
        <w:spacing w:line="240" w:lineRule="auto" w:before="57" w:after="0"/>
        <w:ind w:left="672" w:right="392" w:hanging="454"/>
        <w:jc w:val="both"/>
        <w:rPr>
          <w:sz w:val="20"/>
        </w:rPr>
      </w:pPr>
      <w:r>
        <w:rPr>
          <w:sz w:val="20"/>
        </w:rPr>
        <w:t>Para las tuberías de acero inoxidable las calidades se seleccionarán en función del contenido de cloruros</w:t>
      </w:r>
      <w:r>
        <w:rPr>
          <w:spacing w:val="6"/>
          <w:sz w:val="20"/>
        </w:rPr>
        <w:t> </w:t>
      </w:r>
      <w:r>
        <w:rPr>
          <w:sz w:val="20"/>
        </w:rPr>
        <w:t>disueltos</w:t>
      </w:r>
      <w:r>
        <w:rPr>
          <w:spacing w:val="8"/>
          <w:sz w:val="20"/>
        </w:rPr>
        <w:t> </w:t>
      </w:r>
      <w:r>
        <w:rPr>
          <w:sz w:val="20"/>
        </w:rPr>
        <w:t>en</w:t>
      </w:r>
      <w:r>
        <w:rPr>
          <w:spacing w:val="7"/>
          <w:sz w:val="20"/>
        </w:rPr>
        <w:t> </w:t>
      </w:r>
      <w:r>
        <w:rPr>
          <w:sz w:val="20"/>
        </w:rPr>
        <w:t>el</w:t>
      </w:r>
      <w:r>
        <w:rPr>
          <w:spacing w:val="7"/>
          <w:sz w:val="20"/>
        </w:rPr>
        <w:t> </w:t>
      </w:r>
      <w:r>
        <w:rPr>
          <w:sz w:val="20"/>
        </w:rPr>
        <w:t>agua.</w:t>
      </w:r>
      <w:r>
        <w:rPr>
          <w:spacing w:val="7"/>
          <w:sz w:val="20"/>
        </w:rPr>
        <w:t> </w:t>
      </w:r>
      <w:r>
        <w:rPr>
          <w:sz w:val="20"/>
        </w:rPr>
        <w:t>Cuando</w:t>
      </w:r>
      <w:r>
        <w:rPr>
          <w:spacing w:val="7"/>
          <w:sz w:val="20"/>
        </w:rPr>
        <w:t> </w:t>
      </w:r>
      <w:r>
        <w:rPr>
          <w:sz w:val="20"/>
        </w:rPr>
        <w:t>éstos</w:t>
      </w:r>
      <w:r>
        <w:rPr>
          <w:spacing w:val="7"/>
          <w:sz w:val="20"/>
        </w:rPr>
        <w:t> </w:t>
      </w:r>
      <w:r>
        <w:rPr>
          <w:sz w:val="20"/>
        </w:rPr>
        <w:t>no</w:t>
      </w:r>
      <w:r>
        <w:rPr>
          <w:spacing w:val="6"/>
          <w:sz w:val="20"/>
        </w:rPr>
        <w:t> </w:t>
      </w:r>
      <w:r>
        <w:rPr>
          <w:sz w:val="20"/>
        </w:rPr>
        <w:t>sobrepasen</w:t>
      </w:r>
      <w:r>
        <w:rPr>
          <w:spacing w:val="8"/>
          <w:sz w:val="20"/>
        </w:rPr>
        <w:t> </w:t>
      </w:r>
      <w:r>
        <w:rPr>
          <w:sz w:val="20"/>
        </w:rPr>
        <w:t>los</w:t>
      </w:r>
      <w:r>
        <w:rPr>
          <w:spacing w:val="8"/>
          <w:sz w:val="20"/>
        </w:rPr>
        <w:t> </w:t>
      </w:r>
      <w:r>
        <w:rPr>
          <w:sz w:val="20"/>
        </w:rPr>
        <w:t>200</w:t>
      </w:r>
      <w:r>
        <w:rPr>
          <w:spacing w:val="7"/>
          <w:sz w:val="20"/>
        </w:rPr>
        <w:t> </w:t>
      </w:r>
      <w:r>
        <w:rPr>
          <w:sz w:val="20"/>
        </w:rPr>
        <w:t>mg/l</w:t>
      </w:r>
      <w:r>
        <w:rPr>
          <w:spacing w:val="7"/>
          <w:sz w:val="20"/>
        </w:rPr>
        <w:t> </w:t>
      </w:r>
      <w:r>
        <w:rPr>
          <w:sz w:val="20"/>
        </w:rPr>
        <w:t>se</w:t>
      </w:r>
      <w:r>
        <w:rPr>
          <w:spacing w:val="7"/>
          <w:sz w:val="20"/>
        </w:rPr>
        <w:t> </w:t>
      </w:r>
      <w:r>
        <w:rPr>
          <w:sz w:val="20"/>
        </w:rPr>
        <w:t>puede</w:t>
      </w:r>
      <w:r>
        <w:rPr>
          <w:spacing w:val="8"/>
          <w:sz w:val="20"/>
        </w:rPr>
        <w:t> </w:t>
      </w:r>
      <w:r>
        <w:rPr>
          <w:sz w:val="20"/>
        </w:rPr>
        <w:t>emplear</w:t>
      </w:r>
      <w:r>
        <w:rPr>
          <w:spacing w:val="8"/>
          <w:sz w:val="20"/>
        </w:rPr>
        <w:t> </w:t>
      </w:r>
      <w:r>
        <w:rPr>
          <w:sz w:val="20"/>
        </w:rPr>
        <w:t>el</w:t>
      </w:r>
      <w:r>
        <w:rPr>
          <w:spacing w:val="6"/>
          <w:sz w:val="20"/>
        </w:rPr>
        <w:t> </w:t>
      </w:r>
      <w:r>
        <w:rPr>
          <w:sz w:val="20"/>
        </w:rPr>
        <w:t>AISI-</w:t>
      </w:r>
    </w:p>
    <w:p>
      <w:pPr>
        <w:pStyle w:val="BodyText"/>
        <w:spacing w:before="1"/>
        <w:ind w:left="672"/>
      </w:pPr>
      <w:r>
        <w:rPr/>
        <w:t>304. Para concentraciones superiores es necesario utilizar el AISI-316.</w:t>
      </w:r>
    </w:p>
    <w:p>
      <w:pPr>
        <w:pStyle w:val="BodyText"/>
        <w:spacing w:before="5"/>
        <w:rPr>
          <w:sz w:val="17"/>
        </w:rPr>
      </w:pPr>
    </w:p>
    <w:p>
      <w:pPr>
        <w:pStyle w:val="Heading5"/>
        <w:numPr>
          <w:ilvl w:val="2"/>
          <w:numId w:val="217"/>
        </w:numPr>
        <w:tabs>
          <w:tab w:pos="787" w:val="left" w:leader="none"/>
        </w:tabs>
        <w:spacing w:line="240" w:lineRule="auto" w:before="0" w:after="0"/>
        <w:ind w:left="786" w:right="0" w:hanging="569"/>
        <w:jc w:val="both"/>
      </w:pPr>
      <w:r>
        <w:rPr/>
        <w:t>Incompatibilidad entre</w:t>
      </w:r>
      <w:r>
        <w:rPr>
          <w:spacing w:val="-2"/>
        </w:rPr>
        <w:t> </w:t>
      </w:r>
      <w:r>
        <w:rPr/>
        <w:t>materiales</w:t>
      </w:r>
    </w:p>
    <w:p>
      <w:pPr>
        <w:pStyle w:val="BodyText"/>
        <w:spacing w:before="5"/>
        <w:rPr>
          <w:b/>
          <w:sz w:val="17"/>
        </w:rPr>
      </w:pPr>
    </w:p>
    <w:p>
      <w:pPr>
        <w:pStyle w:val="ListParagraph"/>
        <w:numPr>
          <w:ilvl w:val="3"/>
          <w:numId w:val="217"/>
        </w:numPr>
        <w:tabs>
          <w:tab w:pos="893" w:val="left" w:leader="none"/>
        </w:tabs>
        <w:spacing w:line="240" w:lineRule="auto" w:before="0" w:after="0"/>
        <w:ind w:left="892" w:right="0" w:hanging="668"/>
        <w:jc w:val="both"/>
        <w:rPr>
          <w:b/>
          <w:sz w:val="20"/>
        </w:rPr>
      </w:pPr>
      <w:r>
        <w:rPr>
          <w:b/>
          <w:sz w:val="20"/>
        </w:rPr>
        <w:t>Medidas de protección frente a la incompatibilidad entre</w:t>
      </w:r>
      <w:r>
        <w:rPr>
          <w:b/>
          <w:spacing w:val="-4"/>
          <w:sz w:val="20"/>
        </w:rPr>
        <w:t> </w:t>
      </w:r>
      <w:r>
        <w:rPr>
          <w:b/>
          <w:sz w:val="20"/>
        </w:rPr>
        <w:t>materiales</w:t>
      </w:r>
    </w:p>
    <w:p>
      <w:pPr>
        <w:pStyle w:val="ListParagraph"/>
        <w:numPr>
          <w:ilvl w:val="0"/>
          <w:numId w:val="219"/>
        </w:numPr>
        <w:tabs>
          <w:tab w:pos="673" w:val="left" w:leader="none"/>
        </w:tabs>
        <w:spacing w:line="240" w:lineRule="auto" w:before="98" w:after="0"/>
        <w:ind w:left="672" w:right="393" w:hanging="454"/>
        <w:jc w:val="both"/>
        <w:rPr>
          <w:sz w:val="20"/>
        </w:rPr>
      </w:pPr>
      <w:r>
        <w:rPr>
          <w:sz w:val="20"/>
        </w:rPr>
        <w:t>Se evitará el acoplamiento de tuberías y elementos de metales con diferentes valores de potencial electroquímico excepto cuando según el sentido de circulación del agua se instale primero el de menor valor.</w:t>
      </w:r>
    </w:p>
    <w:p>
      <w:pPr>
        <w:pStyle w:val="ListParagraph"/>
        <w:numPr>
          <w:ilvl w:val="0"/>
          <w:numId w:val="219"/>
        </w:numPr>
        <w:tabs>
          <w:tab w:pos="673" w:val="left" w:leader="none"/>
        </w:tabs>
        <w:spacing w:line="240" w:lineRule="auto" w:before="60" w:after="0"/>
        <w:ind w:left="672" w:right="390" w:hanging="454"/>
        <w:jc w:val="both"/>
        <w:rPr>
          <w:sz w:val="20"/>
        </w:rPr>
      </w:pPr>
      <w:r>
        <w:rPr>
          <w:sz w:val="20"/>
        </w:rPr>
        <w:t>En particular, las tuberías de cobre no se colocarán antes de las conducciones de acero galvaniza- do, según el sentido de circulación del agua, para evitar la aparición de fenómenos de corrosión por la formación de pares galvánicos y arrastre de iones Cu</w:t>
      </w:r>
      <w:r>
        <w:rPr>
          <w:sz w:val="20"/>
          <w:vertAlign w:val="superscript"/>
        </w:rPr>
        <w:t>+</w:t>
      </w:r>
      <w:r>
        <w:rPr>
          <w:sz w:val="20"/>
          <w:vertAlign w:val="baseline"/>
        </w:rPr>
        <w:t> hacía las conducciones de acero galvani- zado, que aceleren el proceso de</w:t>
      </w:r>
      <w:r>
        <w:rPr>
          <w:spacing w:val="-3"/>
          <w:sz w:val="20"/>
          <w:vertAlign w:val="baseline"/>
        </w:rPr>
        <w:t> </w:t>
      </w:r>
      <w:r>
        <w:rPr>
          <w:sz w:val="20"/>
          <w:vertAlign w:val="baseline"/>
        </w:rPr>
        <w:t>perforación.</w:t>
      </w:r>
    </w:p>
    <w:p>
      <w:pPr>
        <w:pStyle w:val="ListParagraph"/>
        <w:numPr>
          <w:ilvl w:val="0"/>
          <w:numId w:val="219"/>
        </w:numPr>
        <w:tabs>
          <w:tab w:pos="673" w:val="left" w:leader="none"/>
        </w:tabs>
        <w:spacing w:line="240" w:lineRule="auto" w:before="61" w:after="0"/>
        <w:ind w:left="672" w:right="391" w:hanging="454"/>
        <w:jc w:val="both"/>
        <w:rPr>
          <w:sz w:val="20"/>
        </w:rPr>
      </w:pPr>
      <w:r>
        <w:rPr>
          <w:sz w:val="20"/>
        </w:rPr>
        <w:t>Igualmente, no se instalarán aparatos de producción de ACS en cobre colocados antes de canali- zaciones en acero.</w:t>
      </w:r>
    </w:p>
    <w:p>
      <w:pPr>
        <w:pStyle w:val="ListParagraph"/>
        <w:numPr>
          <w:ilvl w:val="0"/>
          <w:numId w:val="219"/>
        </w:numPr>
        <w:tabs>
          <w:tab w:pos="673" w:val="left" w:leader="none"/>
        </w:tabs>
        <w:spacing w:line="240" w:lineRule="auto" w:before="60" w:after="0"/>
        <w:ind w:left="672" w:right="392" w:hanging="454"/>
        <w:jc w:val="both"/>
        <w:rPr>
          <w:sz w:val="20"/>
        </w:rPr>
      </w:pPr>
      <w:r>
        <w:rPr>
          <w:sz w:val="20"/>
        </w:rPr>
        <w:t>Excepcionalmente, por requisitos insalvables de la instalación, se admitirá el uso de manguitos an- tielectrolíticos, de material plástico, en la unión del cobre y el acero</w:t>
      </w:r>
      <w:r>
        <w:rPr>
          <w:spacing w:val="-11"/>
          <w:sz w:val="20"/>
        </w:rPr>
        <w:t> </w:t>
      </w:r>
      <w:r>
        <w:rPr>
          <w:sz w:val="20"/>
        </w:rPr>
        <w:t>galvanizado.</w:t>
      </w:r>
    </w:p>
    <w:p>
      <w:pPr>
        <w:pStyle w:val="ListParagraph"/>
        <w:numPr>
          <w:ilvl w:val="0"/>
          <w:numId w:val="219"/>
        </w:numPr>
        <w:tabs>
          <w:tab w:pos="673" w:val="left" w:leader="none"/>
        </w:tabs>
        <w:spacing w:line="240" w:lineRule="auto" w:before="59" w:after="0"/>
        <w:ind w:left="672" w:right="390" w:hanging="454"/>
        <w:jc w:val="both"/>
        <w:rPr>
          <w:sz w:val="20"/>
        </w:rPr>
      </w:pPr>
      <w:r>
        <w:rPr>
          <w:sz w:val="20"/>
        </w:rPr>
        <w:t>Se autoriza sin embargo, el acoplamiento de cobre después de acero galvanizado, montando una válvula de retención entre ambas</w:t>
      </w:r>
      <w:r>
        <w:rPr>
          <w:spacing w:val="-1"/>
          <w:sz w:val="20"/>
        </w:rPr>
        <w:t> </w:t>
      </w:r>
      <w:r>
        <w:rPr>
          <w:sz w:val="20"/>
        </w:rPr>
        <w:t>tuberías.</w:t>
      </w:r>
    </w:p>
    <w:p>
      <w:pPr>
        <w:pStyle w:val="ListParagraph"/>
        <w:numPr>
          <w:ilvl w:val="0"/>
          <w:numId w:val="219"/>
        </w:numPr>
        <w:tabs>
          <w:tab w:pos="673" w:val="left" w:leader="none"/>
        </w:tabs>
        <w:spacing w:line="240" w:lineRule="auto" w:before="61" w:after="0"/>
        <w:ind w:left="672" w:right="0" w:hanging="455"/>
        <w:jc w:val="both"/>
        <w:rPr>
          <w:sz w:val="20"/>
        </w:rPr>
      </w:pPr>
      <w:r>
        <w:rPr>
          <w:sz w:val="20"/>
        </w:rPr>
        <w:t>Se podrán acoplar al acero galvanizado elementos de acero</w:t>
      </w:r>
      <w:r>
        <w:rPr>
          <w:spacing w:val="-7"/>
          <w:sz w:val="20"/>
        </w:rPr>
        <w:t> </w:t>
      </w:r>
      <w:r>
        <w:rPr>
          <w:sz w:val="20"/>
        </w:rPr>
        <w:t>inoxidable.</w:t>
      </w:r>
    </w:p>
    <w:p>
      <w:pPr>
        <w:pStyle w:val="ListParagraph"/>
        <w:numPr>
          <w:ilvl w:val="0"/>
          <w:numId w:val="219"/>
        </w:numPr>
        <w:tabs>
          <w:tab w:pos="673" w:val="left" w:leader="none"/>
        </w:tabs>
        <w:spacing w:line="240" w:lineRule="auto" w:before="59" w:after="0"/>
        <w:ind w:left="672" w:right="398" w:hanging="454"/>
        <w:jc w:val="both"/>
        <w:rPr>
          <w:sz w:val="20"/>
        </w:rPr>
      </w:pPr>
      <w:r>
        <w:rPr>
          <w:sz w:val="20"/>
        </w:rPr>
        <w:t>En las vainas pasamuros, se interpondrá un material plástico para evitar contactos inconvenientes entre distintos</w:t>
      </w:r>
      <w:r>
        <w:rPr>
          <w:spacing w:val="-1"/>
          <w:sz w:val="20"/>
        </w:rPr>
        <w:t> </w:t>
      </w:r>
      <w:r>
        <w:rPr>
          <w:sz w:val="20"/>
        </w:rPr>
        <w:t>materiales.</w:t>
      </w:r>
    </w:p>
    <w:p>
      <w:pPr>
        <w:pStyle w:val="BodyText"/>
        <w:rPr>
          <w:sz w:val="22"/>
        </w:rPr>
      </w:pPr>
    </w:p>
    <w:p>
      <w:pPr>
        <w:pStyle w:val="BodyText"/>
      </w:pPr>
    </w:p>
    <w:p>
      <w:pPr>
        <w:pStyle w:val="Heading2"/>
        <w:numPr>
          <w:ilvl w:val="0"/>
          <w:numId w:val="220"/>
        </w:numPr>
        <w:tabs>
          <w:tab w:pos="787" w:val="left" w:leader="none"/>
        </w:tabs>
        <w:spacing w:line="240" w:lineRule="auto" w:before="0" w:after="0"/>
        <w:ind w:left="786" w:right="0" w:hanging="569"/>
        <w:jc w:val="both"/>
      </w:pPr>
      <w:r>
        <w:rPr/>
        <w:t>Mantenimiento y</w:t>
      </w:r>
      <w:r>
        <w:rPr>
          <w:spacing w:val="-1"/>
        </w:rPr>
        <w:t> </w:t>
      </w:r>
      <w:r>
        <w:rPr/>
        <w:t>conservación</w:t>
      </w:r>
    </w:p>
    <w:p>
      <w:pPr>
        <w:pStyle w:val="BodyText"/>
        <w:spacing w:before="3"/>
        <w:rPr>
          <w:b/>
          <w:sz w:val="24"/>
        </w:rPr>
      </w:pPr>
    </w:p>
    <w:p>
      <w:pPr>
        <w:pStyle w:val="Heading3"/>
        <w:numPr>
          <w:ilvl w:val="1"/>
          <w:numId w:val="220"/>
        </w:numPr>
        <w:tabs>
          <w:tab w:pos="673" w:val="left" w:leader="none"/>
        </w:tabs>
        <w:spacing w:line="240" w:lineRule="auto" w:before="1" w:after="0"/>
        <w:ind w:left="672" w:right="0" w:hanging="455"/>
        <w:jc w:val="both"/>
      </w:pPr>
      <w:r>
        <w:rPr/>
        <w:t>Interrupción del</w:t>
      </w:r>
      <w:r>
        <w:rPr>
          <w:spacing w:val="-1"/>
        </w:rPr>
        <w:t> </w:t>
      </w:r>
      <w:r>
        <w:rPr/>
        <w:t>servicio</w:t>
      </w:r>
    </w:p>
    <w:p>
      <w:pPr>
        <w:pStyle w:val="ListParagraph"/>
        <w:numPr>
          <w:ilvl w:val="0"/>
          <w:numId w:val="221"/>
        </w:numPr>
        <w:tabs>
          <w:tab w:pos="673" w:val="left" w:leader="none"/>
        </w:tabs>
        <w:spacing w:line="240" w:lineRule="auto" w:before="97" w:after="0"/>
        <w:ind w:left="672" w:right="392" w:hanging="454"/>
        <w:jc w:val="both"/>
        <w:rPr>
          <w:sz w:val="20"/>
        </w:rPr>
      </w:pPr>
      <w:r>
        <w:rPr>
          <w:sz w:val="20"/>
        </w:rPr>
        <w:t>En las instalaciones de aguade consumo humano que no se pongan en servicio después de 4 se- manas desde su terminación, o aquellas que permanezcan fuera de servicio más de 6 meses, se cerrará su conexión y se procederá a su</w:t>
      </w:r>
      <w:r>
        <w:rPr>
          <w:spacing w:val="-4"/>
          <w:sz w:val="20"/>
        </w:rPr>
        <w:t> </w:t>
      </w:r>
      <w:r>
        <w:rPr>
          <w:sz w:val="20"/>
        </w:rPr>
        <w:t>vaciado.</w:t>
      </w:r>
    </w:p>
    <w:p>
      <w:pPr>
        <w:pStyle w:val="ListParagraph"/>
        <w:numPr>
          <w:ilvl w:val="0"/>
          <w:numId w:val="221"/>
        </w:numPr>
        <w:tabs>
          <w:tab w:pos="673" w:val="left" w:leader="none"/>
        </w:tabs>
        <w:spacing w:line="240" w:lineRule="auto" w:before="60" w:after="0"/>
        <w:ind w:left="672" w:right="390" w:hanging="454"/>
        <w:jc w:val="both"/>
        <w:rPr>
          <w:sz w:val="20"/>
        </w:rPr>
      </w:pPr>
      <w:r>
        <w:rPr>
          <w:sz w:val="20"/>
        </w:rPr>
        <w:t>Las acometidas que no sean utilizadas inmediatamente tras su terminación o que estén paradas temporalmente, deben cerrarse en la conducción de abastecimiento. Las acometidas que no se uti- licen durante 1 año deben ser</w:t>
      </w:r>
      <w:r>
        <w:rPr>
          <w:spacing w:val="-4"/>
          <w:sz w:val="20"/>
        </w:rPr>
        <w:t> </w:t>
      </w:r>
      <w:r>
        <w:rPr>
          <w:sz w:val="20"/>
        </w:rPr>
        <w:t>taponadas.</w:t>
      </w:r>
    </w:p>
    <w:p>
      <w:pPr>
        <w:pStyle w:val="BodyText"/>
        <w:spacing w:before="6"/>
        <w:rPr>
          <w:sz w:val="24"/>
        </w:rPr>
      </w:pPr>
    </w:p>
    <w:p>
      <w:pPr>
        <w:pStyle w:val="Heading3"/>
        <w:numPr>
          <w:ilvl w:val="1"/>
          <w:numId w:val="220"/>
        </w:numPr>
        <w:tabs>
          <w:tab w:pos="673" w:val="left" w:leader="none"/>
        </w:tabs>
        <w:spacing w:line="240" w:lineRule="auto" w:before="0" w:after="0"/>
        <w:ind w:left="672" w:right="0" w:hanging="455"/>
        <w:jc w:val="both"/>
      </w:pPr>
      <w:r>
        <w:rPr/>
        <w:t>Nueva puesta en</w:t>
      </w:r>
      <w:r>
        <w:rPr>
          <w:spacing w:val="-2"/>
        </w:rPr>
        <w:t> </w:t>
      </w:r>
      <w:r>
        <w:rPr/>
        <w:t>servicio</w:t>
      </w:r>
    </w:p>
    <w:p>
      <w:pPr>
        <w:pStyle w:val="ListParagraph"/>
        <w:numPr>
          <w:ilvl w:val="0"/>
          <w:numId w:val="222"/>
        </w:numPr>
        <w:tabs>
          <w:tab w:pos="672" w:val="left" w:leader="none"/>
          <w:tab w:pos="673" w:val="left" w:leader="none"/>
        </w:tabs>
        <w:spacing w:line="240" w:lineRule="auto" w:before="99" w:after="0"/>
        <w:ind w:left="672" w:right="0" w:hanging="455"/>
        <w:jc w:val="left"/>
        <w:rPr>
          <w:sz w:val="20"/>
        </w:rPr>
      </w:pPr>
      <w:r>
        <w:rPr>
          <w:sz w:val="20"/>
        </w:rPr>
        <w:t>En instalaciones de descalcificación habrá que iniciar una regeneración por arranque</w:t>
      </w:r>
      <w:r>
        <w:rPr>
          <w:spacing w:val="-5"/>
          <w:sz w:val="20"/>
        </w:rPr>
        <w:t> </w:t>
      </w:r>
      <w:r>
        <w:rPr>
          <w:sz w:val="20"/>
        </w:rPr>
        <w:t>manual.</w:t>
      </w:r>
    </w:p>
    <w:p>
      <w:pPr>
        <w:spacing w:after="0" w:line="240" w:lineRule="auto"/>
        <w:jc w:val="left"/>
        <w:rPr>
          <w:sz w:val="20"/>
        </w:rPr>
        <w:sectPr>
          <w:pgSz w:w="11910" w:h="16840"/>
          <w:pgMar w:header="908" w:footer="654" w:top="1320" w:bottom="840" w:left="1200" w:right="740"/>
        </w:sectPr>
      </w:pPr>
    </w:p>
    <w:p>
      <w:pPr>
        <w:pStyle w:val="ListParagraph"/>
        <w:numPr>
          <w:ilvl w:val="0"/>
          <w:numId w:val="222"/>
        </w:numPr>
        <w:tabs>
          <w:tab w:pos="673" w:val="left" w:leader="none"/>
        </w:tabs>
        <w:spacing w:line="240" w:lineRule="auto" w:before="91" w:after="0"/>
        <w:ind w:left="672" w:right="389" w:hanging="454"/>
        <w:jc w:val="both"/>
        <w:rPr>
          <w:sz w:val="20"/>
        </w:rPr>
      </w:pPr>
      <w:r>
        <w:rPr>
          <w:sz w:val="20"/>
        </w:rPr>
        <w:t>Las instalaciones de agua de consumo humano que hayan sido puestas fuera de servicio y vacia- das provisionalmente deben ser lavadas a fondo para la nueva puesta en servicio. Para ello se po- drá seguir el procedimiento</w:t>
      </w:r>
      <w:r>
        <w:rPr>
          <w:spacing w:val="-3"/>
          <w:sz w:val="20"/>
        </w:rPr>
        <w:t> </w:t>
      </w:r>
      <w:r>
        <w:rPr>
          <w:sz w:val="20"/>
        </w:rPr>
        <w:t>siguiente:</w:t>
      </w:r>
    </w:p>
    <w:p>
      <w:pPr>
        <w:pStyle w:val="ListParagraph"/>
        <w:numPr>
          <w:ilvl w:val="1"/>
          <w:numId w:val="222"/>
        </w:numPr>
        <w:tabs>
          <w:tab w:pos="1126" w:val="left" w:leader="none"/>
        </w:tabs>
        <w:spacing w:line="240" w:lineRule="auto" w:before="60" w:after="0"/>
        <w:ind w:left="1126" w:right="389" w:hanging="454"/>
        <w:jc w:val="both"/>
        <w:rPr>
          <w:sz w:val="20"/>
        </w:rPr>
      </w:pPr>
      <w:r>
        <w:rPr>
          <w:sz w:val="20"/>
        </w:rPr>
        <w:t>para el llenado de la instalación se abrirán al principio solo un poco las llaves de cierre, empe- zando por la llave de cierre principal. A continuación, para evitar golpes de ariete y daños, se purgarán de aire durante un tiempo las conducciones por apertura lenta de cada una de las llaves de toma, empezando por la más alejada o la situada más alta, hasta que no salga más aire. A continuación se abrirán totalmente las llaves de cierre y lavarán las</w:t>
      </w:r>
      <w:r>
        <w:rPr>
          <w:spacing w:val="-6"/>
          <w:sz w:val="20"/>
        </w:rPr>
        <w:t> </w:t>
      </w:r>
      <w:r>
        <w:rPr>
          <w:sz w:val="20"/>
        </w:rPr>
        <w:t>conducciones;</w:t>
      </w:r>
    </w:p>
    <w:p>
      <w:pPr>
        <w:pStyle w:val="ListParagraph"/>
        <w:numPr>
          <w:ilvl w:val="1"/>
          <w:numId w:val="222"/>
        </w:numPr>
        <w:tabs>
          <w:tab w:pos="1126" w:val="left" w:leader="none"/>
        </w:tabs>
        <w:spacing w:line="240" w:lineRule="auto" w:before="60" w:after="0"/>
        <w:ind w:left="1126" w:right="389" w:hanging="454"/>
        <w:jc w:val="both"/>
        <w:rPr>
          <w:sz w:val="20"/>
        </w:rPr>
      </w:pPr>
      <w:r>
        <w:rPr>
          <w:sz w:val="20"/>
        </w:rPr>
        <w:t>una vez llenadas y lavadas las conducciones y con todas las llaves de toma cerradas, se com- probará la estanqueidad de la instalación por control visual de todas las conducciones accesi- bles, conexiones y dispositivos de</w:t>
      </w:r>
      <w:r>
        <w:rPr>
          <w:spacing w:val="-5"/>
          <w:sz w:val="20"/>
        </w:rPr>
        <w:t> </w:t>
      </w:r>
      <w:r>
        <w:rPr>
          <w:sz w:val="20"/>
        </w:rPr>
        <w:t>consumo.</w:t>
      </w:r>
    </w:p>
    <w:p>
      <w:pPr>
        <w:pStyle w:val="BodyText"/>
        <w:spacing w:before="6"/>
        <w:rPr>
          <w:sz w:val="24"/>
        </w:rPr>
      </w:pPr>
    </w:p>
    <w:p>
      <w:pPr>
        <w:pStyle w:val="Heading3"/>
        <w:numPr>
          <w:ilvl w:val="1"/>
          <w:numId w:val="220"/>
        </w:numPr>
        <w:tabs>
          <w:tab w:pos="673" w:val="left" w:leader="none"/>
        </w:tabs>
        <w:spacing w:line="240" w:lineRule="auto" w:before="0" w:after="0"/>
        <w:ind w:left="672" w:right="0" w:hanging="455"/>
        <w:jc w:val="both"/>
      </w:pPr>
      <w:r>
        <w:rPr/>
        <w:t>Mantenimiento de las</w:t>
      </w:r>
      <w:r>
        <w:rPr>
          <w:spacing w:val="-1"/>
        </w:rPr>
        <w:t> </w:t>
      </w:r>
      <w:r>
        <w:rPr/>
        <w:t>instalaciones</w:t>
      </w:r>
    </w:p>
    <w:p>
      <w:pPr>
        <w:pStyle w:val="ListParagraph"/>
        <w:numPr>
          <w:ilvl w:val="0"/>
          <w:numId w:val="223"/>
        </w:numPr>
        <w:tabs>
          <w:tab w:pos="673" w:val="left" w:leader="none"/>
        </w:tabs>
        <w:spacing w:line="240" w:lineRule="auto" w:before="98" w:after="0"/>
        <w:ind w:left="672" w:right="391" w:hanging="454"/>
        <w:jc w:val="both"/>
        <w:rPr>
          <w:sz w:val="20"/>
        </w:rPr>
      </w:pPr>
      <w:r>
        <w:rPr>
          <w:sz w:val="20"/>
        </w:rPr>
        <w:t>Las operaciones de mantenimiento relativas a las instalaciones de fontanería recogerán detallada- mente las prescripciones contenidas para estas instalaciones en el Real Decreto 865/2003 sobre criterios higiénico-sanitarios para la prevención y control de la legionelosis, y particularmente todo lo referido en su Anexo</w:t>
      </w:r>
      <w:r>
        <w:rPr>
          <w:spacing w:val="-3"/>
          <w:sz w:val="20"/>
        </w:rPr>
        <w:t> </w:t>
      </w:r>
      <w:r>
        <w:rPr>
          <w:sz w:val="20"/>
        </w:rPr>
        <w:t>3.</w:t>
      </w:r>
    </w:p>
    <w:p>
      <w:pPr>
        <w:pStyle w:val="ListParagraph"/>
        <w:numPr>
          <w:ilvl w:val="0"/>
          <w:numId w:val="223"/>
        </w:numPr>
        <w:tabs>
          <w:tab w:pos="673" w:val="left" w:leader="none"/>
        </w:tabs>
        <w:spacing w:line="240" w:lineRule="auto" w:before="60" w:after="0"/>
        <w:ind w:left="672" w:right="393" w:hanging="454"/>
        <w:jc w:val="both"/>
        <w:rPr>
          <w:sz w:val="20"/>
        </w:rPr>
      </w:pPr>
      <w:r>
        <w:rPr>
          <w:sz w:val="20"/>
        </w:rPr>
        <w:t>Los equipos que necesiten operaciones periódicas de mantenimiento, tales como elementos de medida, control, protección y maniobra, así como válvulas, compuertas, unidades terminales, que deban quedar ocultos, se situarán en espacios que permitan la</w:t>
      </w:r>
      <w:r>
        <w:rPr>
          <w:spacing w:val="-3"/>
          <w:sz w:val="20"/>
        </w:rPr>
        <w:t> </w:t>
      </w:r>
      <w:r>
        <w:rPr>
          <w:sz w:val="20"/>
        </w:rPr>
        <w:t>accesibilidad.</w:t>
      </w:r>
    </w:p>
    <w:p>
      <w:pPr>
        <w:pStyle w:val="ListParagraph"/>
        <w:numPr>
          <w:ilvl w:val="0"/>
          <w:numId w:val="223"/>
        </w:numPr>
        <w:tabs>
          <w:tab w:pos="673" w:val="left" w:leader="none"/>
        </w:tabs>
        <w:spacing w:line="240" w:lineRule="auto" w:before="60" w:after="0"/>
        <w:ind w:left="672" w:right="398" w:hanging="454"/>
        <w:jc w:val="both"/>
        <w:rPr>
          <w:sz w:val="20"/>
        </w:rPr>
      </w:pPr>
      <w:r>
        <w:rPr>
          <w:sz w:val="20"/>
        </w:rPr>
        <w:t>Se aconseja situar las tuberías en lugares que permitan la accesibilidad a lo largo de su recorrido para facilitar la inspección de las mismas y de sus</w:t>
      </w:r>
      <w:r>
        <w:rPr>
          <w:spacing w:val="-3"/>
          <w:sz w:val="20"/>
        </w:rPr>
        <w:t> </w:t>
      </w:r>
      <w:r>
        <w:rPr>
          <w:sz w:val="20"/>
        </w:rPr>
        <w:t>accesorios.</w:t>
      </w:r>
    </w:p>
    <w:p>
      <w:pPr>
        <w:pStyle w:val="ListParagraph"/>
        <w:numPr>
          <w:ilvl w:val="0"/>
          <w:numId w:val="223"/>
        </w:numPr>
        <w:tabs>
          <w:tab w:pos="673" w:val="left" w:leader="none"/>
        </w:tabs>
        <w:spacing w:line="240" w:lineRule="auto" w:before="60" w:after="0"/>
        <w:ind w:left="672" w:right="391" w:hanging="454"/>
        <w:jc w:val="both"/>
        <w:rPr>
          <w:sz w:val="20"/>
        </w:rPr>
      </w:pPr>
      <w:r>
        <w:rPr>
          <w:sz w:val="20"/>
        </w:rPr>
        <w:t>En caso de contabilización del consumo mediante batería de contadores, las montantes hasta cada derivación particular se considerará que forman parte de la instalación general, a efectos de con- servación y mantenimiento puesto que discurren por zonas comunes del</w:t>
      </w:r>
      <w:r>
        <w:rPr>
          <w:spacing w:val="-11"/>
          <w:sz w:val="20"/>
        </w:rPr>
        <w:t> </w:t>
      </w:r>
      <w:r>
        <w:rPr>
          <w:sz w:val="20"/>
        </w:rPr>
        <w:t>edificio.</w:t>
      </w:r>
    </w:p>
    <w:p>
      <w:pPr>
        <w:pStyle w:val="BodyText"/>
        <w:spacing w:before="5"/>
        <w:rPr>
          <w:sz w:val="30"/>
        </w:rPr>
      </w:pPr>
    </w:p>
    <w:p>
      <w:pPr>
        <w:spacing w:before="1"/>
        <w:ind w:left="1778" w:right="398" w:firstLine="0"/>
        <w:jc w:val="left"/>
        <w:rPr>
          <w:sz w:val="16"/>
        </w:rPr>
      </w:pPr>
      <w:r>
        <w:rPr/>
        <w:pict>
          <v:group style="position:absolute;margin-left:143pt;margin-top:.173903pt;width:.5pt;height:21.45pt;mso-position-horizontal-relative:page;mso-position-vertical-relative:paragraph;z-index:251997184" coordorigin="2860,3" coordsize="10,429">
            <v:line style="position:absolute" from="2865,3" to="2865,187" stroked="true" strokeweight=".48pt" strokecolor="#000000">
              <v:stroke dashstyle="solid"/>
            </v:line>
            <v:line style="position:absolute" from="2865,187" to="2865,432" stroked="true" strokeweight=".48pt" strokecolor="#000000">
              <v:stroke dashstyle="solid"/>
            </v:line>
            <w10:wrap type="none"/>
          </v:group>
        </w:pict>
      </w:r>
      <w:r>
        <w:rPr>
          <w:sz w:val="16"/>
        </w:rPr>
        <w:t>En los casos en los que el RD 865/2003 no sea de aplicación, puede emplearse dicho anexo como referencia para un correcto mantenimiento.</w:t>
      </w:r>
    </w:p>
    <w:p>
      <w:pPr>
        <w:spacing w:after="0"/>
        <w:jc w:val="left"/>
        <w:rPr>
          <w:sz w:val="16"/>
        </w:rPr>
        <w:sectPr>
          <w:pgSz w:w="11910" w:h="16840"/>
          <w:pgMar w:header="908" w:footer="654" w:top="1320" w:bottom="840" w:left="1200" w:right="740"/>
        </w:sectPr>
      </w:pPr>
    </w:p>
    <w:p>
      <w:pPr>
        <w:pStyle w:val="BodyText"/>
      </w:pPr>
    </w:p>
    <w:p>
      <w:pPr>
        <w:pStyle w:val="BodyText"/>
        <w:spacing w:before="8"/>
        <w:rPr>
          <w:sz w:val="16"/>
        </w:rPr>
      </w:pPr>
    </w:p>
    <w:p>
      <w:pPr>
        <w:pStyle w:val="Heading2"/>
        <w:spacing w:before="91"/>
        <w:jc w:val="both"/>
      </w:pPr>
      <w:r>
        <w:rPr/>
        <w:t>Apéndice A. Terminología</w:t>
      </w:r>
    </w:p>
    <w:p>
      <w:pPr>
        <w:pStyle w:val="BodyText"/>
        <w:spacing w:before="8"/>
        <w:rPr>
          <w:b/>
          <w:sz w:val="33"/>
        </w:rPr>
      </w:pPr>
    </w:p>
    <w:p>
      <w:pPr>
        <w:pStyle w:val="BodyText"/>
        <w:spacing w:before="1"/>
        <w:ind w:left="218"/>
        <w:jc w:val="both"/>
      </w:pPr>
      <w:r>
        <w:rPr>
          <w:b/>
        </w:rPr>
        <w:t>Acometida: </w:t>
      </w:r>
      <w:r>
        <w:rPr/>
        <w:t>tubería que enlaza la instalación general del edificio con la red exterior de suministro.</w:t>
      </w:r>
    </w:p>
    <w:p>
      <w:pPr>
        <w:pStyle w:val="BodyText"/>
        <w:spacing w:before="11"/>
        <w:rPr>
          <w:sz w:val="19"/>
        </w:rPr>
      </w:pPr>
    </w:p>
    <w:p>
      <w:pPr>
        <w:pStyle w:val="BodyText"/>
        <w:ind w:left="218" w:right="389"/>
        <w:jc w:val="both"/>
      </w:pPr>
      <w:r>
        <w:rPr>
          <w:b/>
        </w:rPr>
        <w:t>Ascendentes (o montantes): </w:t>
      </w:r>
      <w:r>
        <w:rPr/>
        <w:t>Tuberías verticales que enlazan el distribuidor principal con las instalacio- nes interiores particulares o derivaciones colectivas.</w:t>
      </w:r>
    </w:p>
    <w:p>
      <w:pPr>
        <w:pStyle w:val="BodyText"/>
      </w:pPr>
    </w:p>
    <w:p>
      <w:pPr>
        <w:spacing w:before="0"/>
        <w:ind w:left="218" w:right="0" w:firstLine="0"/>
        <w:jc w:val="both"/>
        <w:rPr>
          <w:sz w:val="20"/>
        </w:rPr>
      </w:pPr>
      <w:r>
        <w:rPr>
          <w:b/>
          <w:sz w:val="20"/>
        </w:rPr>
        <w:t>Caudal instantáneo: </w:t>
      </w:r>
      <w:r>
        <w:rPr>
          <w:sz w:val="20"/>
        </w:rPr>
        <w:t>volumen de agua suministrado por unidad de tiempo.</w:t>
      </w:r>
    </w:p>
    <w:p>
      <w:pPr>
        <w:pStyle w:val="BodyText"/>
        <w:spacing w:before="1"/>
      </w:pPr>
    </w:p>
    <w:p>
      <w:pPr>
        <w:pStyle w:val="BodyText"/>
        <w:ind w:left="218" w:right="391"/>
        <w:jc w:val="both"/>
      </w:pPr>
      <w:r>
        <w:rPr>
          <w:b/>
        </w:rPr>
        <w:t>Caudal instantáneo mínimo: </w:t>
      </w:r>
      <w:r>
        <w:rPr/>
        <w:t>caudal instantáneo que debe recibir los aparatos sanitarios con indepen- dencia del estado de funcionamiento.</w:t>
      </w:r>
    </w:p>
    <w:p>
      <w:pPr>
        <w:pStyle w:val="BodyText"/>
        <w:spacing w:before="10"/>
        <w:rPr>
          <w:sz w:val="19"/>
        </w:rPr>
      </w:pPr>
    </w:p>
    <w:p>
      <w:pPr>
        <w:pStyle w:val="BodyText"/>
        <w:ind w:left="218" w:right="391"/>
        <w:jc w:val="both"/>
      </w:pPr>
      <w:r>
        <w:rPr>
          <w:b/>
        </w:rPr>
        <w:t>Caudal simultáneo: </w:t>
      </w:r>
      <w:r>
        <w:rPr/>
        <w:t>caudal que se produce por el funcionamiento lógico simultáneo de aparatos de consumo o unidades de suministro.</w:t>
      </w:r>
    </w:p>
    <w:p>
      <w:pPr>
        <w:pStyle w:val="BodyText"/>
      </w:pPr>
    </w:p>
    <w:p>
      <w:pPr>
        <w:pStyle w:val="BodyText"/>
        <w:ind w:left="218" w:right="391"/>
        <w:jc w:val="both"/>
      </w:pPr>
      <w:r>
        <w:rPr>
          <w:b/>
        </w:rPr>
        <w:t>Contadores divisionarios: </w:t>
      </w:r>
      <w:r>
        <w:rPr/>
        <w:t>aparatos que miden los consumos particulares de cada abonado y el de cada servicio que así lo requiera en el edificio. En general se instalarán sobre las</w:t>
      </w:r>
      <w:r>
        <w:rPr>
          <w:spacing w:val="-9"/>
        </w:rPr>
        <w:t> </w:t>
      </w:r>
      <w:r>
        <w:rPr/>
        <w:t>baterías.</w:t>
      </w:r>
    </w:p>
    <w:p>
      <w:pPr>
        <w:pStyle w:val="BodyText"/>
      </w:pPr>
    </w:p>
    <w:p>
      <w:pPr>
        <w:pStyle w:val="BodyText"/>
        <w:ind w:left="218"/>
        <w:jc w:val="both"/>
      </w:pPr>
      <w:r>
        <w:rPr>
          <w:b/>
        </w:rPr>
        <w:t>Contador general: </w:t>
      </w:r>
      <w:r>
        <w:rPr/>
        <w:t>aparato que mide la totalidad de los consumos producidos en el edificio.</w:t>
      </w:r>
    </w:p>
    <w:p>
      <w:pPr>
        <w:pStyle w:val="BodyText"/>
        <w:spacing w:before="1"/>
      </w:pPr>
    </w:p>
    <w:p>
      <w:pPr>
        <w:pStyle w:val="BodyText"/>
        <w:ind w:left="218" w:right="391"/>
        <w:jc w:val="both"/>
      </w:pPr>
      <w:r>
        <w:rPr>
          <w:b/>
        </w:rPr>
        <w:t>Depósito de acumulación: </w:t>
      </w:r>
      <w:r>
        <w:rPr/>
        <w:t>depósito que servirá básicamente, en los grupos de presión, para la succión de agua por las electrobombas correspondientes sin hacerlo directamente desde la red exterior; de re- serva cuando el suministro habitual sea discontinuo o insuficiente.</w:t>
      </w:r>
    </w:p>
    <w:p>
      <w:pPr>
        <w:pStyle w:val="BodyText"/>
        <w:spacing w:before="11"/>
        <w:rPr>
          <w:sz w:val="19"/>
        </w:rPr>
      </w:pPr>
    </w:p>
    <w:p>
      <w:pPr>
        <w:pStyle w:val="BodyText"/>
        <w:ind w:left="218" w:right="396"/>
        <w:jc w:val="both"/>
      </w:pPr>
      <w:r>
        <w:rPr>
          <w:b/>
        </w:rPr>
        <w:t>Derivación de aparato: </w:t>
      </w:r>
      <w:r>
        <w:rPr/>
        <w:t>tubería que enlaza la derivación particular o una de sus ramificaciones con un aparato de consumo.</w:t>
      </w:r>
    </w:p>
    <w:p>
      <w:pPr>
        <w:pStyle w:val="BodyText"/>
      </w:pPr>
    </w:p>
    <w:p>
      <w:pPr>
        <w:pStyle w:val="BodyText"/>
        <w:ind w:left="218" w:right="393"/>
        <w:jc w:val="both"/>
      </w:pPr>
      <w:r>
        <w:rPr>
          <w:b/>
        </w:rPr>
        <w:t>Derivación particular: </w:t>
      </w:r>
      <w:r>
        <w:rPr/>
        <w:t>tubería que enlaza el montante con las derivaciones de aparato, directamente o a través de una ramificación.</w:t>
      </w:r>
    </w:p>
    <w:p>
      <w:pPr>
        <w:pStyle w:val="BodyText"/>
      </w:pPr>
    </w:p>
    <w:p>
      <w:pPr>
        <w:pStyle w:val="BodyText"/>
        <w:ind w:left="218" w:right="394"/>
        <w:jc w:val="both"/>
      </w:pPr>
      <w:r>
        <w:rPr>
          <w:b/>
        </w:rPr>
        <w:t>Diámetro nominal: </w:t>
      </w:r>
      <w:r>
        <w:rPr/>
        <w:t>número convencional que sirve de referencia y forma parte de la identificación de los diversos elementos que se acoplan entre sí en una instalación, pudiéndose referir al diámetro interior o al diámetro exterior. Vienen especificados en las normas UNE correspondientes a cada tipo de tubería.</w:t>
      </w:r>
    </w:p>
    <w:p>
      <w:pPr>
        <w:pStyle w:val="BodyText"/>
        <w:spacing w:before="1"/>
      </w:pPr>
    </w:p>
    <w:p>
      <w:pPr>
        <w:spacing w:before="0"/>
        <w:ind w:left="218" w:right="395" w:firstLine="0"/>
        <w:jc w:val="both"/>
        <w:rPr>
          <w:sz w:val="20"/>
        </w:rPr>
      </w:pPr>
      <w:r>
        <w:rPr>
          <w:b/>
          <w:sz w:val="20"/>
        </w:rPr>
        <w:t>Distribuidor principal: </w:t>
      </w:r>
      <w:r>
        <w:rPr>
          <w:sz w:val="20"/>
        </w:rPr>
        <w:t>Tubería que enlaza los sistemas de control de la presión y las ascendentes o derivaciones.</w:t>
      </w:r>
    </w:p>
    <w:p>
      <w:pPr>
        <w:pStyle w:val="BodyText"/>
      </w:pPr>
    </w:p>
    <w:p>
      <w:pPr>
        <w:spacing w:before="0"/>
        <w:ind w:left="218" w:right="0" w:firstLine="0"/>
        <w:jc w:val="both"/>
        <w:rPr>
          <w:sz w:val="20"/>
        </w:rPr>
      </w:pPr>
      <w:r>
        <w:rPr>
          <w:b/>
          <w:sz w:val="20"/>
        </w:rPr>
        <w:t>Espesor nominal: </w:t>
      </w:r>
      <w:r>
        <w:rPr>
          <w:sz w:val="20"/>
        </w:rPr>
        <w:t>número convencional que se aproxima al espesor del tubo.</w:t>
      </w:r>
    </w:p>
    <w:p>
      <w:pPr>
        <w:pStyle w:val="BodyText"/>
        <w:spacing w:before="11"/>
        <w:rPr>
          <w:sz w:val="19"/>
        </w:rPr>
      </w:pPr>
    </w:p>
    <w:p>
      <w:pPr>
        <w:pStyle w:val="BodyText"/>
        <w:ind w:left="218" w:right="394"/>
        <w:jc w:val="both"/>
      </w:pPr>
      <w:r>
        <w:rPr>
          <w:b/>
        </w:rPr>
        <w:t>Fluxor: </w:t>
      </w:r>
      <w:r>
        <w:rPr/>
        <w:t>elemento de descarga que dispone de cierre automático y que al ser accionado permite el paso de un gran caudal durante el tiempo que permanezca accionado.</w:t>
      </w:r>
    </w:p>
    <w:p>
      <w:pPr>
        <w:pStyle w:val="BodyText"/>
      </w:pPr>
    </w:p>
    <w:p>
      <w:pPr>
        <w:pStyle w:val="BodyText"/>
        <w:ind w:left="218" w:right="394"/>
        <w:jc w:val="both"/>
      </w:pPr>
      <w:r>
        <w:rPr>
          <w:b/>
        </w:rPr>
        <w:t>Fluxor: </w:t>
      </w:r>
      <w:r>
        <w:rPr/>
        <w:t>llave, temporizada, de cierre automático que al ser abierta es capaz de proporcionar un caudal de agua abundante en un breve periodo de tiempo, empleada generalmente para sustituir el depósito de descarga en los inodoros y otros aparatos empleados en servicios de uso</w:t>
      </w:r>
      <w:r>
        <w:rPr>
          <w:spacing w:val="-5"/>
        </w:rPr>
        <w:t> </w:t>
      </w:r>
      <w:r>
        <w:rPr/>
        <w:t>público.</w:t>
      </w:r>
    </w:p>
    <w:p>
      <w:pPr>
        <w:pStyle w:val="BodyText"/>
      </w:pPr>
    </w:p>
    <w:p>
      <w:pPr>
        <w:spacing w:before="1"/>
        <w:ind w:left="218" w:right="393" w:firstLine="0"/>
        <w:jc w:val="both"/>
        <w:rPr>
          <w:sz w:val="20"/>
        </w:rPr>
      </w:pPr>
      <w:r>
        <w:rPr>
          <w:b/>
          <w:sz w:val="20"/>
        </w:rPr>
        <w:t>Grupo de sobreelevación: </w:t>
      </w:r>
      <w:r>
        <w:rPr>
          <w:sz w:val="20"/>
        </w:rPr>
        <w:t>equipo que permite disponer de una presión mayor que la que proporciona la red de</w:t>
      </w:r>
      <w:r>
        <w:rPr>
          <w:spacing w:val="-1"/>
          <w:sz w:val="20"/>
        </w:rPr>
        <w:t> </w:t>
      </w:r>
      <w:r>
        <w:rPr>
          <w:sz w:val="20"/>
        </w:rPr>
        <w:t>distribución.</w:t>
      </w:r>
    </w:p>
    <w:p>
      <w:pPr>
        <w:pStyle w:val="BodyText"/>
        <w:spacing w:before="11"/>
        <w:rPr>
          <w:sz w:val="19"/>
        </w:rPr>
      </w:pPr>
    </w:p>
    <w:p>
      <w:pPr>
        <w:pStyle w:val="BodyText"/>
        <w:ind w:left="218" w:right="397"/>
        <w:jc w:val="both"/>
      </w:pPr>
      <w:r>
        <w:rPr>
          <w:b/>
        </w:rPr>
        <w:t>Instalación general: </w:t>
      </w:r>
      <w:r>
        <w:rPr/>
        <w:t>conjunto de tuberías y elementos de control y regulación que enlazan la acometida con las instalaciones interiores particulares y las derivaciones colectivas.</w:t>
      </w:r>
    </w:p>
    <w:p>
      <w:pPr>
        <w:pStyle w:val="BodyText"/>
        <w:spacing w:before="11"/>
        <w:rPr>
          <w:sz w:val="19"/>
        </w:rPr>
      </w:pPr>
    </w:p>
    <w:p>
      <w:pPr>
        <w:spacing w:before="0"/>
        <w:ind w:left="218" w:right="398" w:firstLine="0"/>
        <w:jc w:val="left"/>
        <w:rPr>
          <w:sz w:val="20"/>
        </w:rPr>
      </w:pPr>
      <w:r>
        <w:rPr>
          <w:b/>
          <w:sz w:val="20"/>
        </w:rPr>
        <w:t>Instalación interior particular: </w:t>
      </w:r>
      <w:r>
        <w:rPr>
          <w:sz w:val="20"/>
        </w:rPr>
        <w:t>parte de la instalación comprendida entre cada contador y los aparatos de consumo del abonado correspondiente.</w:t>
      </w:r>
    </w:p>
    <w:p>
      <w:pPr>
        <w:pStyle w:val="BodyText"/>
        <w:spacing w:before="1"/>
        <w:ind w:left="218" w:right="398"/>
      </w:pPr>
      <w:r>
        <w:rPr/>
        <w:t>Red de tuberías, llaves y dispositivos que discurren por el interior de la propiedad particular, desde la llave de paso hasta los correspondientes puntos de consumo. Estará compuesta de:</w:t>
      </w:r>
    </w:p>
    <w:p>
      <w:pPr>
        <w:pStyle w:val="ListParagraph"/>
        <w:numPr>
          <w:ilvl w:val="0"/>
          <w:numId w:val="224"/>
        </w:numPr>
        <w:tabs>
          <w:tab w:pos="909" w:val="left" w:leader="none"/>
        </w:tabs>
        <w:spacing w:line="230" w:lineRule="exact" w:before="0" w:after="0"/>
        <w:ind w:left="908" w:right="0" w:hanging="123"/>
        <w:jc w:val="left"/>
        <w:rPr>
          <w:sz w:val="20"/>
        </w:rPr>
      </w:pPr>
      <w:r>
        <w:rPr>
          <w:sz w:val="20"/>
        </w:rPr>
        <w:t>llave de paso: que permitirá el corte del suministro a toda</w:t>
      </w:r>
      <w:r>
        <w:rPr>
          <w:spacing w:val="-6"/>
          <w:sz w:val="20"/>
        </w:rPr>
        <w:t> </w:t>
      </w:r>
      <w:r>
        <w:rPr>
          <w:sz w:val="20"/>
        </w:rPr>
        <w:t>ella</w:t>
      </w:r>
    </w:p>
    <w:p>
      <w:pPr>
        <w:spacing w:after="0" w:line="230" w:lineRule="exact"/>
        <w:jc w:val="left"/>
        <w:rPr>
          <w:sz w:val="20"/>
        </w:rPr>
        <w:sectPr>
          <w:pgSz w:w="11910" w:h="16840"/>
          <w:pgMar w:header="908" w:footer="654" w:top="1320" w:bottom="840" w:left="1200" w:right="740"/>
        </w:sectPr>
      </w:pPr>
    </w:p>
    <w:p>
      <w:pPr>
        <w:pStyle w:val="ListParagraph"/>
        <w:numPr>
          <w:ilvl w:val="0"/>
          <w:numId w:val="224"/>
        </w:numPr>
        <w:tabs>
          <w:tab w:pos="922" w:val="left" w:leader="none"/>
        </w:tabs>
        <w:spacing w:line="240" w:lineRule="auto" w:before="91" w:after="0"/>
        <w:ind w:left="786" w:right="392" w:firstLine="0"/>
        <w:jc w:val="left"/>
        <w:rPr>
          <w:sz w:val="20"/>
        </w:rPr>
      </w:pPr>
      <w:r>
        <w:rPr>
          <w:sz w:val="20"/>
        </w:rPr>
        <w:t>derivaciones particulares: tramo de canalización comprendido entre la llave de paso y los rama- les de</w:t>
      </w:r>
      <w:r>
        <w:rPr>
          <w:spacing w:val="-1"/>
          <w:sz w:val="20"/>
        </w:rPr>
        <w:t> </w:t>
      </w:r>
      <w:r>
        <w:rPr>
          <w:sz w:val="20"/>
        </w:rPr>
        <w:t>enlace</w:t>
      </w:r>
    </w:p>
    <w:p>
      <w:pPr>
        <w:pStyle w:val="ListParagraph"/>
        <w:numPr>
          <w:ilvl w:val="0"/>
          <w:numId w:val="224"/>
        </w:numPr>
        <w:tabs>
          <w:tab w:pos="919" w:val="left" w:leader="none"/>
        </w:tabs>
        <w:spacing w:line="240" w:lineRule="auto" w:before="0" w:after="0"/>
        <w:ind w:left="786" w:right="391" w:firstLine="0"/>
        <w:jc w:val="left"/>
        <w:rPr>
          <w:sz w:val="20"/>
        </w:rPr>
      </w:pPr>
      <w:r>
        <w:rPr>
          <w:sz w:val="20"/>
        </w:rPr>
        <w:t>ramales de enlace: tramos que conectan la derivación particular con los distintos puntos de con- sumo.</w:t>
      </w:r>
    </w:p>
    <w:p>
      <w:pPr>
        <w:pStyle w:val="ListParagraph"/>
        <w:numPr>
          <w:ilvl w:val="0"/>
          <w:numId w:val="224"/>
        </w:numPr>
        <w:tabs>
          <w:tab w:pos="913" w:val="left" w:leader="none"/>
        </w:tabs>
        <w:spacing w:line="240" w:lineRule="auto" w:before="0" w:after="0"/>
        <w:ind w:left="786" w:right="394" w:firstLine="0"/>
        <w:jc w:val="left"/>
        <w:rPr>
          <w:sz w:val="20"/>
        </w:rPr>
      </w:pPr>
      <w:r>
        <w:rPr>
          <w:sz w:val="20"/>
        </w:rPr>
        <w:t>puntos de consumo: todo aparato o equipo individual o colectivo que requiera suministro de agua fría para su utilización directa o para su posterior conversión en</w:t>
      </w:r>
      <w:r>
        <w:rPr>
          <w:spacing w:val="-7"/>
          <w:sz w:val="20"/>
        </w:rPr>
        <w:t> </w:t>
      </w:r>
      <w:r>
        <w:rPr>
          <w:sz w:val="20"/>
        </w:rPr>
        <w:t>ACS.</w:t>
      </w:r>
    </w:p>
    <w:p>
      <w:pPr>
        <w:pStyle w:val="BodyText"/>
      </w:pPr>
    </w:p>
    <w:p>
      <w:pPr>
        <w:pStyle w:val="BodyText"/>
        <w:ind w:left="218" w:right="393"/>
        <w:jc w:val="both"/>
      </w:pPr>
      <w:r>
        <w:rPr>
          <w:b/>
        </w:rPr>
        <w:t>Local húmedo: </w:t>
      </w:r>
      <w:r>
        <w:rPr/>
        <w:t>local en el que existen aparatos que consumen agua, alimentados por las derivaciones de aparato de la instalación interior particular.</w:t>
      </w:r>
    </w:p>
    <w:p>
      <w:pPr>
        <w:pStyle w:val="BodyText"/>
      </w:pPr>
    </w:p>
    <w:p>
      <w:pPr>
        <w:pStyle w:val="BodyText"/>
        <w:ind w:left="218" w:right="391"/>
        <w:jc w:val="both"/>
      </w:pPr>
      <w:r>
        <w:rPr>
          <w:b/>
        </w:rPr>
        <w:t>Llave de paso: </w:t>
      </w:r>
      <w:r>
        <w:rPr/>
        <w:t>llave colocada en el tubo de alimentación que pueda cortarse el paso del agua hacia el resto de la instalación interior.</w:t>
      </w:r>
    </w:p>
    <w:p>
      <w:pPr>
        <w:pStyle w:val="BodyText"/>
      </w:pPr>
    </w:p>
    <w:p>
      <w:pPr>
        <w:pStyle w:val="BodyText"/>
        <w:ind w:left="218" w:right="391"/>
        <w:jc w:val="both"/>
      </w:pPr>
      <w:r>
        <w:rPr>
          <w:b/>
        </w:rPr>
        <w:t>Llave de registro: </w:t>
      </w:r>
      <w:r>
        <w:rPr/>
        <w:t>llave colocada al final de la acometida para que pueda cerrarse el paso del agua ha- cia la instalación interior.</w:t>
      </w:r>
    </w:p>
    <w:p>
      <w:pPr>
        <w:pStyle w:val="BodyText"/>
      </w:pPr>
    </w:p>
    <w:p>
      <w:pPr>
        <w:pStyle w:val="BodyText"/>
        <w:ind w:left="218" w:right="388"/>
        <w:jc w:val="both"/>
      </w:pPr>
      <w:r>
        <w:rPr>
          <w:b/>
        </w:rPr>
        <w:t>Pasamuros: </w:t>
      </w:r>
      <w:r>
        <w:rPr/>
        <w:t>orificio que se practica en el muro de un cerramiento del edificio para el paso de una tube- ría, de modo que ésta quede suelta y permita la libre dilatación.</w:t>
      </w:r>
    </w:p>
    <w:p>
      <w:pPr>
        <w:pStyle w:val="BodyText"/>
      </w:pPr>
    </w:p>
    <w:p>
      <w:pPr>
        <w:pStyle w:val="BodyText"/>
        <w:ind w:left="218" w:right="391"/>
        <w:jc w:val="both"/>
      </w:pPr>
      <w:r>
        <w:rPr>
          <w:b/>
        </w:rPr>
        <w:t>Presión de prueba: </w:t>
      </w:r>
      <w:r>
        <w:rPr/>
        <w:t>presión manométrica a la que se somete la instalación durante la prueba de estan- queidad.</w:t>
      </w:r>
    </w:p>
    <w:p>
      <w:pPr>
        <w:pStyle w:val="BodyText"/>
      </w:pPr>
    </w:p>
    <w:p>
      <w:pPr>
        <w:pStyle w:val="BodyText"/>
        <w:ind w:left="218" w:right="391"/>
        <w:jc w:val="both"/>
      </w:pPr>
      <w:r>
        <w:rPr>
          <w:b/>
        </w:rPr>
        <w:t>Presión de servicio: </w:t>
      </w:r>
      <w:r>
        <w:rPr/>
        <w:t>presión manométrica del suministro de agua a la instalación en régimen estaciona- rio.</w:t>
      </w:r>
    </w:p>
    <w:p>
      <w:pPr>
        <w:pStyle w:val="BodyText"/>
      </w:pPr>
    </w:p>
    <w:p>
      <w:pPr>
        <w:pStyle w:val="BodyText"/>
        <w:ind w:left="218" w:right="394"/>
        <w:jc w:val="both"/>
      </w:pPr>
      <w:r>
        <w:rPr>
          <w:b/>
        </w:rPr>
        <w:t>Presión de trabajo: </w:t>
      </w:r>
      <w:r>
        <w:rPr/>
        <w:t>valor de la presión manométrica interna máxima para la que se ha diseñado el tubo, considerando un uso continuado de 50 años.</w:t>
      </w:r>
    </w:p>
    <w:p>
      <w:pPr>
        <w:pStyle w:val="BodyText"/>
      </w:pPr>
    </w:p>
    <w:p>
      <w:pPr>
        <w:pStyle w:val="BodyText"/>
        <w:ind w:left="218"/>
        <w:jc w:val="both"/>
      </w:pPr>
      <w:r>
        <w:rPr>
          <w:b/>
        </w:rPr>
        <w:t>Presión nominal: </w:t>
      </w:r>
      <w:r>
        <w:rPr/>
        <w:t>número convencional que coincide con la presión máxima de trabajo a 20 ºC.</w:t>
      </w:r>
    </w:p>
    <w:p>
      <w:pPr>
        <w:pStyle w:val="BodyText"/>
      </w:pPr>
    </w:p>
    <w:p>
      <w:pPr>
        <w:spacing w:before="0"/>
        <w:ind w:left="218" w:right="391" w:firstLine="0"/>
        <w:jc w:val="both"/>
        <w:rPr>
          <w:sz w:val="20"/>
        </w:rPr>
      </w:pPr>
      <w:r>
        <w:rPr>
          <w:b/>
          <w:sz w:val="20"/>
        </w:rPr>
        <w:t>Prueba de resistencia mecánica y estanqueidad: </w:t>
      </w:r>
      <w:r>
        <w:rPr>
          <w:sz w:val="20"/>
        </w:rPr>
        <w:t>prueba que consiste en someter a presión una red de tuberías con el fin de detectar roturas en la instalación y falta de</w:t>
      </w:r>
      <w:r>
        <w:rPr>
          <w:spacing w:val="-8"/>
          <w:sz w:val="20"/>
        </w:rPr>
        <w:t> </w:t>
      </w:r>
      <w:r>
        <w:rPr>
          <w:sz w:val="20"/>
        </w:rPr>
        <w:t>estanqueidad.</w:t>
      </w:r>
    </w:p>
    <w:p>
      <w:pPr>
        <w:pStyle w:val="BodyText"/>
      </w:pPr>
    </w:p>
    <w:p>
      <w:pPr>
        <w:pStyle w:val="BodyText"/>
        <w:ind w:left="218"/>
        <w:jc w:val="both"/>
      </w:pPr>
      <w:r>
        <w:rPr>
          <w:b/>
        </w:rPr>
        <w:t>Purgado: </w:t>
      </w:r>
      <w:r>
        <w:rPr/>
        <w:t>consiste en eliminar o evacuar el aire de las tuberías de la instalación.</w:t>
      </w:r>
    </w:p>
    <w:p>
      <w:pPr>
        <w:pStyle w:val="BodyText"/>
      </w:pPr>
    </w:p>
    <w:p>
      <w:pPr>
        <w:pStyle w:val="BodyText"/>
        <w:ind w:left="218" w:right="392"/>
        <w:jc w:val="both"/>
      </w:pPr>
      <w:r>
        <w:rPr>
          <w:b/>
        </w:rPr>
        <w:t>Tubo de alimentación: </w:t>
      </w:r>
      <w:r>
        <w:rPr/>
        <w:t>Tubería que enlaza la llave de corte general y los sistemas de control y regula- ción de la presión o el distribuidor principal.</w:t>
      </w:r>
    </w:p>
    <w:p>
      <w:pPr>
        <w:pStyle w:val="BodyText"/>
      </w:pPr>
    </w:p>
    <w:p>
      <w:pPr>
        <w:pStyle w:val="BodyText"/>
        <w:ind w:left="218" w:right="393"/>
        <w:jc w:val="both"/>
      </w:pPr>
      <w:r>
        <w:rPr>
          <w:b/>
        </w:rPr>
        <w:t>Válvula de retención: </w:t>
      </w:r>
      <w:r>
        <w:rPr/>
        <w:t>dispositivo que impide automáticamente el paso de un fluido en sentido contrario al normal funcionamiento de la misma.</w:t>
      </w:r>
    </w:p>
    <w:p>
      <w:pPr>
        <w:pStyle w:val="BodyText"/>
      </w:pPr>
    </w:p>
    <w:p>
      <w:pPr>
        <w:pStyle w:val="BodyText"/>
        <w:ind w:left="218" w:right="391"/>
        <w:jc w:val="both"/>
      </w:pPr>
      <w:r>
        <w:rPr>
          <w:b/>
        </w:rPr>
        <w:t>Válvula de seguridad: </w:t>
      </w:r>
      <w:r>
        <w:rPr/>
        <w:t>dispositivo que se abre automáticamente cuando la presión del circuito sube por encima del valor de tarado, descargando el exceso de presión a la atmósfera. Su escape será recondu- cido a desagüe.</w:t>
      </w:r>
    </w:p>
    <w:p>
      <w:pPr>
        <w:spacing w:after="0"/>
        <w:jc w:val="both"/>
        <w:sectPr>
          <w:pgSz w:w="11910" w:h="16840"/>
          <w:pgMar w:header="908" w:footer="654" w:top="1320" w:bottom="840" w:left="1200" w:right="740"/>
        </w:sectPr>
      </w:pPr>
    </w:p>
    <w:p>
      <w:pPr>
        <w:pStyle w:val="BodyText"/>
      </w:pPr>
    </w:p>
    <w:p>
      <w:pPr>
        <w:pStyle w:val="BodyText"/>
        <w:spacing w:before="11"/>
        <w:rPr>
          <w:sz w:val="21"/>
        </w:rPr>
      </w:pPr>
    </w:p>
    <w:p>
      <w:pPr>
        <w:pStyle w:val="Heading2"/>
        <w:spacing w:before="90"/>
      </w:pPr>
      <w:r>
        <w:rPr/>
        <w:t>Apéndice B. Notaciones y unidades</w:t>
      </w:r>
    </w:p>
    <w:p>
      <w:pPr>
        <w:pStyle w:val="BodyText"/>
        <w:rPr>
          <w:b/>
          <w:sz w:val="39"/>
        </w:rPr>
      </w:pPr>
    </w:p>
    <w:p>
      <w:pPr>
        <w:pStyle w:val="BodyText"/>
        <w:ind w:left="672" w:right="390" w:hanging="454"/>
        <w:jc w:val="both"/>
      </w:pPr>
      <w:r>
        <w:rPr/>
        <w:t>1   Se utilizará el sistema de unidades de medida SI (Sistema Internacional) de acuerdo con lo dispues- to en el Real Decreto 1317/1989, de 20 de octubre, por el que se establecen las Unidades Legales de Medida.</w:t>
      </w:r>
    </w:p>
    <w:p>
      <w:pPr>
        <w:pStyle w:val="BodyText"/>
        <w:spacing w:before="3"/>
        <w:rPr>
          <w:sz w:val="25"/>
        </w:rPr>
      </w:pPr>
    </w:p>
    <w:p>
      <w:pPr>
        <w:pStyle w:val="BodyText"/>
        <w:tabs>
          <w:tab w:pos="1920" w:val="left" w:leader="none"/>
        </w:tabs>
        <w:spacing w:line="230" w:lineRule="exact"/>
        <w:ind w:left="698"/>
      </w:pPr>
      <w:r>
        <w:rPr/>
        <w:t>Longitud</w:t>
        <w:tab/>
        <w:t>metro (m)</w:t>
      </w:r>
    </w:p>
    <w:p>
      <w:pPr>
        <w:pStyle w:val="BodyText"/>
        <w:tabs>
          <w:tab w:pos="1920" w:val="left" w:leader="none"/>
        </w:tabs>
        <w:spacing w:line="230" w:lineRule="exact"/>
        <w:ind w:left="698"/>
      </w:pPr>
      <w:r>
        <w:rPr/>
        <w:t>Masa</w:t>
        <w:tab/>
        <w:t>kilogramo</w:t>
      </w:r>
      <w:r>
        <w:rPr>
          <w:spacing w:val="-1"/>
        </w:rPr>
        <w:t> </w:t>
      </w:r>
      <w:r>
        <w:rPr/>
        <w:t>(kg)</w:t>
      </w:r>
    </w:p>
    <w:p>
      <w:pPr>
        <w:pStyle w:val="BodyText"/>
        <w:tabs>
          <w:tab w:pos="1920" w:val="left" w:leader="none"/>
        </w:tabs>
        <w:spacing w:before="1"/>
        <w:ind w:left="698"/>
      </w:pPr>
      <w:r>
        <w:rPr/>
        <w:t>Tiempo</w:t>
        <w:tab/>
        <w:t>segundo (s)</w:t>
      </w:r>
    </w:p>
    <w:p>
      <w:pPr>
        <w:pStyle w:val="BodyText"/>
        <w:tabs>
          <w:tab w:pos="1920" w:val="left" w:leader="none"/>
        </w:tabs>
        <w:spacing w:line="480" w:lineRule="auto"/>
        <w:ind w:left="698" w:right="7032"/>
      </w:pPr>
      <w:r>
        <w:rPr/>
        <w:t>Fuerza</w:t>
        <w:tab/>
        <w:t>Newton </w:t>
      </w:r>
      <w:r>
        <w:rPr>
          <w:spacing w:val="-7"/>
        </w:rPr>
        <w:t>(N) </w:t>
      </w:r>
      <w:r>
        <w:rPr/>
        <w:t>Unidad</w:t>
      </w:r>
      <w:r>
        <w:rPr>
          <w:spacing w:val="-1"/>
        </w:rPr>
        <w:t> </w:t>
      </w:r>
      <w:r>
        <w:rPr/>
        <w:t>derivada</w:t>
      </w:r>
    </w:p>
    <w:p>
      <w:pPr>
        <w:pStyle w:val="BodyText"/>
        <w:tabs>
          <w:tab w:pos="1920" w:val="left" w:leader="none"/>
        </w:tabs>
        <w:spacing w:line="229" w:lineRule="exact"/>
        <w:ind w:left="698"/>
      </w:pPr>
      <w:r>
        <w:rPr/>
        <w:t>Presión</w:t>
        <w:tab/>
        <w:t>Pascal (Pa) = N /</w:t>
      </w:r>
      <w:r>
        <w:rPr>
          <w:spacing w:val="-3"/>
        </w:rPr>
        <w:t> </w:t>
      </w:r>
      <w:r>
        <w:rPr/>
        <w:t>m</w:t>
      </w:r>
      <w:r>
        <w:rPr>
          <w:vertAlign w:val="superscript"/>
        </w:rPr>
        <w:t>2</w:t>
      </w:r>
    </w:p>
    <w:p>
      <w:pPr>
        <w:spacing w:before="229" w:after="4"/>
        <w:ind w:left="1180" w:right="1355" w:firstLine="0"/>
        <w:jc w:val="center"/>
        <w:rPr>
          <w:b/>
          <w:sz w:val="18"/>
        </w:rPr>
      </w:pPr>
      <w:r>
        <w:rPr>
          <w:b/>
          <w:sz w:val="18"/>
        </w:rPr>
        <w:t>Tabla B.1 Relaciones con otras unidades usuales</w:t>
      </w:r>
    </w:p>
    <w:tbl>
      <w:tblPr>
        <w:tblW w:w="0" w:type="auto"/>
        <w:jc w:val="left"/>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6"/>
        <w:gridCol w:w="2300"/>
        <w:gridCol w:w="2661"/>
      </w:tblGrid>
      <w:tr>
        <w:trPr>
          <w:trHeight w:val="222" w:hRule="atLeast"/>
        </w:trPr>
        <w:tc>
          <w:tcPr>
            <w:tcW w:w="3926" w:type="dxa"/>
            <w:tcBorders>
              <w:top w:val="single" w:sz="4" w:space="0" w:color="000000"/>
              <w:bottom w:val="single" w:sz="4" w:space="0" w:color="000000"/>
            </w:tcBorders>
          </w:tcPr>
          <w:p>
            <w:pPr>
              <w:pStyle w:val="TableParagraph"/>
              <w:spacing w:line="210" w:lineRule="exact"/>
              <w:ind w:left="76"/>
              <w:jc w:val="left"/>
              <w:rPr>
                <w:sz w:val="20"/>
              </w:rPr>
            </w:pPr>
            <w:r>
              <w:rPr>
                <w:sz w:val="20"/>
              </w:rPr>
              <w:t>Kilogramo-fuerza (kgf)</w:t>
            </w:r>
          </w:p>
        </w:tc>
        <w:tc>
          <w:tcPr>
            <w:tcW w:w="2300" w:type="dxa"/>
            <w:tcBorders>
              <w:top w:val="single" w:sz="4" w:space="0" w:color="000000"/>
              <w:bottom w:val="single" w:sz="4" w:space="0" w:color="000000"/>
            </w:tcBorders>
          </w:tcPr>
          <w:p>
            <w:pPr>
              <w:pStyle w:val="TableParagraph"/>
              <w:spacing w:line="210" w:lineRule="exact"/>
              <w:ind w:left="715" w:right="715"/>
              <w:rPr>
                <w:sz w:val="20"/>
              </w:rPr>
            </w:pPr>
            <w:r>
              <w:rPr>
                <w:sz w:val="20"/>
              </w:rPr>
              <w:t>1 kgf</w:t>
            </w:r>
          </w:p>
        </w:tc>
        <w:tc>
          <w:tcPr>
            <w:tcW w:w="2661" w:type="dxa"/>
            <w:tcBorders>
              <w:top w:val="single" w:sz="4" w:space="0" w:color="000000"/>
              <w:bottom w:val="single" w:sz="4" w:space="0" w:color="000000"/>
            </w:tcBorders>
          </w:tcPr>
          <w:p>
            <w:pPr>
              <w:pStyle w:val="TableParagraph"/>
              <w:spacing w:line="210" w:lineRule="exact"/>
              <w:ind w:left="715" w:right="376"/>
              <w:rPr>
                <w:sz w:val="20"/>
              </w:rPr>
            </w:pPr>
            <w:r>
              <w:rPr>
                <w:sz w:val="20"/>
              </w:rPr>
              <w:t>9,80665 N</w:t>
            </w:r>
          </w:p>
        </w:tc>
      </w:tr>
      <w:tr>
        <w:trPr>
          <w:trHeight w:val="230" w:hRule="atLeast"/>
        </w:trPr>
        <w:tc>
          <w:tcPr>
            <w:tcW w:w="3926" w:type="dxa"/>
            <w:tcBorders>
              <w:top w:val="single" w:sz="4" w:space="0" w:color="000000"/>
              <w:bottom w:val="single" w:sz="4" w:space="0" w:color="000000"/>
            </w:tcBorders>
          </w:tcPr>
          <w:p>
            <w:pPr>
              <w:pStyle w:val="TableParagraph"/>
              <w:spacing w:line="210" w:lineRule="exact"/>
              <w:ind w:left="76"/>
              <w:jc w:val="left"/>
              <w:rPr>
                <w:sz w:val="20"/>
              </w:rPr>
            </w:pPr>
            <w:r>
              <w:rPr>
                <w:sz w:val="20"/>
              </w:rPr>
              <w:t>Megapascal (MPa)</w:t>
            </w:r>
          </w:p>
        </w:tc>
        <w:tc>
          <w:tcPr>
            <w:tcW w:w="2300" w:type="dxa"/>
            <w:tcBorders>
              <w:top w:val="single" w:sz="4" w:space="0" w:color="000000"/>
              <w:bottom w:val="single" w:sz="4" w:space="0" w:color="000000"/>
            </w:tcBorders>
          </w:tcPr>
          <w:p>
            <w:pPr>
              <w:pStyle w:val="TableParagraph"/>
              <w:spacing w:line="210" w:lineRule="exact"/>
              <w:ind w:left="714" w:right="715"/>
              <w:rPr>
                <w:sz w:val="20"/>
              </w:rPr>
            </w:pPr>
            <w:r>
              <w:rPr>
                <w:sz w:val="20"/>
              </w:rPr>
              <w:t>1 MPa</w:t>
            </w:r>
          </w:p>
        </w:tc>
        <w:tc>
          <w:tcPr>
            <w:tcW w:w="2661" w:type="dxa"/>
            <w:tcBorders>
              <w:top w:val="single" w:sz="4" w:space="0" w:color="000000"/>
              <w:bottom w:val="single" w:sz="4" w:space="0" w:color="000000"/>
            </w:tcBorders>
          </w:tcPr>
          <w:p>
            <w:pPr>
              <w:pStyle w:val="TableParagraph"/>
              <w:spacing w:line="210" w:lineRule="exact"/>
              <w:ind w:left="714" w:right="376"/>
              <w:rPr>
                <w:sz w:val="20"/>
              </w:rPr>
            </w:pPr>
            <w:r>
              <w:rPr>
                <w:sz w:val="20"/>
              </w:rPr>
              <w:t>1000 N / m</w:t>
            </w:r>
            <w:r>
              <w:rPr>
                <w:sz w:val="20"/>
                <w:vertAlign w:val="superscript"/>
              </w:rPr>
              <w:t>2</w:t>
            </w:r>
          </w:p>
        </w:tc>
      </w:tr>
      <w:tr>
        <w:trPr>
          <w:trHeight w:val="230" w:hRule="atLeast"/>
        </w:trPr>
        <w:tc>
          <w:tcPr>
            <w:tcW w:w="3926" w:type="dxa"/>
            <w:tcBorders>
              <w:top w:val="single" w:sz="4" w:space="0" w:color="000000"/>
              <w:bottom w:val="single" w:sz="4" w:space="0" w:color="000000"/>
            </w:tcBorders>
          </w:tcPr>
          <w:p>
            <w:pPr>
              <w:pStyle w:val="TableParagraph"/>
              <w:spacing w:line="210" w:lineRule="exact"/>
              <w:ind w:left="76"/>
              <w:jc w:val="left"/>
              <w:rPr>
                <w:sz w:val="20"/>
              </w:rPr>
            </w:pPr>
            <w:r>
              <w:rPr>
                <w:sz w:val="20"/>
              </w:rPr>
              <w:t>Atmósfera (atm)</w:t>
            </w:r>
          </w:p>
        </w:tc>
        <w:tc>
          <w:tcPr>
            <w:tcW w:w="2300" w:type="dxa"/>
            <w:tcBorders>
              <w:top w:val="single" w:sz="4" w:space="0" w:color="000000"/>
              <w:bottom w:val="single" w:sz="4" w:space="0" w:color="000000"/>
            </w:tcBorders>
          </w:tcPr>
          <w:p>
            <w:pPr>
              <w:pStyle w:val="TableParagraph"/>
              <w:spacing w:line="210" w:lineRule="exact"/>
              <w:ind w:left="715" w:right="715"/>
              <w:rPr>
                <w:sz w:val="20"/>
              </w:rPr>
            </w:pPr>
            <w:r>
              <w:rPr>
                <w:sz w:val="20"/>
              </w:rPr>
              <w:t>1 atm</w:t>
            </w:r>
          </w:p>
        </w:tc>
        <w:tc>
          <w:tcPr>
            <w:tcW w:w="2661" w:type="dxa"/>
            <w:tcBorders>
              <w:top w:val="single" w:sz="4" w:space="0" w:color="000000"/>
              <w:bottom w:val="single" w:sz="4" w:space="0" w:color="000000"/>
            </w:tcBorders>
          </w:tcPr>
          <w:p>
            <w:pPr>
              <w:pStyle w:val="TableParagraph"/>
              <w:spacing w:line="210" w:lineRule="exact"/>
              <w:ind w:left="715" w:right="376"/>
              <w:rPr>
                <w:sz w:val="20"/>
              </w:rPr>
            </w:pPr>
            <w:r>
              <w:rPr>
                <w:sz w:val="20"/>
              </w:rPr>
              <w:t>1,01325 x 10</w:t>
            </w:r>
            <w:r>
              <w:rPr>
                <w:sz w:val="20"/>
                <w:vertAlign w:val="superscript"/>
              </w:rPr>
              <w:t>5</w:t>
            </w:r>
            <w:r>
              <w:rPr>
                <w:sz w:val="20"/>
                <w:vertAlign w:val="baseline"/>
              </w:rPr>
              <w:t> Pa</w:t>
            </w:r>
          </w:p>
        </w:tc>
      </w:tr>
      <w:tr>
        <w:trPr>
          <w:trHeight w:val="230" w:hRule="atLeast"/>
        </w:trPr>
        <w:tc>
          <w:tcPr>
            <w:tcW w:w="3926" w:type="dxa"/>
            <w:tcBorders>
              <w:top w:val="single" w:sz="4" w:space="0" w:color="000000"/>
              <w:bottom w:val="single" w:sz="4" w:space="0" w:color="000000"/>
            </w:tcBorders>
          </w:tcPr>
          <w:p>
            <w:pPr>
              <w:pStyle w:val="TableParagraph"/>
              <w:spacing w:line="210" w:lineRule="exact"/>
              <w:ind w:left="76"/>
              <w:jc w:val="left"/>
              <w:rPr>
                <w:sz w:val="20"/>
              </w:rPr>
            </w:pPr>
            <w:r>
              <w:rPr>
                <w:sz w:val="20"/>
              </w:rPr>
              <w:t>Bar (bar)</w:t>
            </w:r>
          </w:p>
        </w:tc>
        <w:tc>
          <w:tcPr>
            <w:tcW w:w="2300" w:type="dxa"/>
            <w:tcBorders>
              <w:top w:val="single" w:sz="4" w:space="0" w:color="000000"/>
              <w:bottom w:val="single" w:sz="4" w:space="0" w:color="000000"/>
            </w:tcBorders>
          </w:tcPr>
          <w:p>
            <w:pPr>
              <w:pStyle w:val="TableParagraph"/>
              <w:spacing w:line="210" w:lineRule="exact"/>
              <w:ind w:left="715" w:right="715"/>
              <w:rPr>
                <w:sz w:val="20"/>
              </w:rPr>
            </w:pPr>
            <w:r>
              <w:rPr>
                <w:sz w:val="20"/>
              </w:rPr>
              <w:t>1 bar</w:t>
            </w:r>
          </w:p>
        </w:tc>
        <w:tc>
          <w:tcPr>
            <w:tcW w:w="2661" w:type="dxa"/>
            <w:tcBorders>
              <w:top w:val="single" w:sz="4" w:space="0" w:color="000000"/>
              <w:bottom w:val="single" w:sz="4" w:space="0" w:color="000000"/>
            </w:tcBorders>
          </w:tcPr>
          <w:p>
            <w:pPr>
              <w:pStyle w:val="TableParagraph"/>
              <w:spacing w:line="210" w:lineRule="exact"/>
              <w:ind w:left="715" w:right="376"/>
              <w:rPr>
                <w:sz w:val="20"/>
              </w:rPr>
            </w:pPr>
            <w:r>
              <w:rPr>
                <w:sz w:val="20"/>
              </w:rPr>
              <w:t>10</w:t>
            </w:r>
            <w:r>
              <w:rPr>
                <w:sz w:val="20"/>
                <w:vertAlign w:val="superscript"/>
              </w:rPr>
              <w:t>5</w:t>
            </w:r>
            <w:r>
              <w:rPr>
                <w:sz w:val="20"/>
                <w:vertAlign w:val="baseline"/>
              </w:rPr>
              <w:t> Pa</w:t>
            </w:r>
          </w:p>
        </w:tc>
      </w:tr>
      <w:tr>
        <w:trPr>
          <w:trHeight w:val="230" w:hRule="atLeast"/>
        </w:trPr>
        <w:tc>
          <w:tcPr>
            <w:tcW w:w="3926" w:type="dxa"/>
            <w:tcBorders>
              <w:top w:val="single" w:sz="4" w:space="0" w:color="000000"/>
              <w:bottom w:val="single" w:sz="4" w:space="0" w:color="000000"/>
            </w:tcBorders>
          </w:tcPr>
          <w:p>
            <w:pPr>
              <w:pStyle w:val="TableParagraph"/>
              <w:spacing w:line="210" w:lineRule="exact"/>
              <w:ind w:left="76"/>
              <w:jc w:val="left"/>
              <w:rPr>
                <w:sz w:val="20"/>
              </w:rPr>
            </w:pPr>
            <w:r>
              <w:rPr>
                <w:sz w:val="20"/>
              </w:rPr>
              <w:t>Metro de columna de agua (m.c.a.)</w:t>
            </w:r>
          </w:p>
        </w:tc>
        <w:tc>
          <w:tcPr>
            <w:tcW w:w="2300" w:type="dxa"/>
            <w:tcBorders>
              <w:top w:val="single" w:sz="4" w:space="0" w:color="000000"/>
              <w:bottom w:val="single" w:sz="4" w:space="0" w:color="000000"/>
            </w:tcBorders>
          </w:tcPr>
          <w:p>
            <w:pPr>
              <w:pStyle w:val="TableParagraph"/>
              <w:spacing w:line="210" w:lineRule="exact"/>
              <w:ind w:left="715" w:right="715"/>
              <w:rPr>
                <w:sz w:val="20"/>
              </w:rPr>
            </w:pPr>
            <w:r>
              <w:rPr>
                <w:sz w:val="20"/>
              </w:rPr>
              <w:t>1 m.c.a.</w:t>
            </w:r>
          </w:p>
        </w:tc>
        <w:tc>
          <w:tcPr>
            <w:tcW w:w="2661" w:type="dxa"/>
            <w:tcBorders>
              <w:top w:val="single" w:sz="4" w:space="0" w:color="000000"/>
              <w:bottom w:val="single" w:sz="4" w:space="0" w:color="000000"/>
            </w:tcBorders>
          </w:tcPr>
          <w:p>
            <w:pPr>
              <w:pStyle w:val="TableParagraph"/>
              <w:spacing w:line="210" w:lineRule="exact"/>
              <w:ind w:left="715" w:right="376"/>
              <w:rPr>
                <w:sz w:val="20"/>
              </w:rPr>
            </w:pPr>
            <w:r>
              <w:rPr>
                <w:sz w:val="20"/>
              </w:rPr>
              <w:t>9,80665 x 10</w:t>
            </w:r>
            <w:r>
              <w:rPr>
                <w:sz w:val="20"/>
                <w:vertAlign w:val="superscript"/>
              </w:rPr>
              <w:t>3</w:t>
            </w:r>
            <w:r>
              <w:rPr>
                <w:sz w:val="20"/>
                <w:vertAlign w:val="baseline"/>
              </w:rPr>
              <w:t> Pa</w:t>
            </w:r>
          </w:p>
        </w:tc>
      </w:tr>
      <w:tr>
        <w:trPr>
          <w:trHeight w:val="237" w:hRule="atLeast"/>
        </w:trPr>
        <w:tc>
          <w:tcPr>
            <w:tcW w:w="3926" w:type="dxa"/>
            <w:tcBorders>
              <w:top w:val="single" w:sz="4" w:space="0" w:color="000000"/>
              <w:bottom w:val="single" w:sz="4" w:space="0" w:color="000000"/>
            </w:tcBorders>
          </w:tcPr>
          <w:p>
            <w:pPr>
              <w:pStyle w:val="TableParagraph"/>
              <w:spacing w:line="210" w:lineRule="exact"/>
              <w:ind w:left="76"/>
              <w:jc w:val="left"/>
              <w:rPr>
                <w:sz w:val="20"/>
              </w:rPr>
            </w:pPr>
            <w:r>
              <w:rPr>
                <w:sz w:val="20"/>
              </w:rPr>
              <w:t>kgf/cm</w:t>
            </w:r>
            <w:r>
              <w:rPr>
                <w:sz w:val="20"/>
                <w:vertAlign w:val="superscript"/>
              </w:rPr>
              <w:t>2</w:t>
            </w:r>
          </w:p>
        </w:tc>
        <w:tc>
          <w:tcPr>
            <w:tcW w:w="2300" w:type="dxa"/>
            <w:tcBorders>
              <w:top w:val="single" w:sz="4" w:space="0" w:color="000000"/>
              <w:bottom w:val="single" w:sz="4" w:space="0" w:color="000000"/>
            </w:tcBorders>
          </w:tcPr>
          <w:p>
            <w:pPr>
              <w:pStyle w:val="TableParagraph"/>
              <w:spacing w:line="210" w:lineRule="exact"/>
              <w:ind w:left="715" w:right="715"/>
              <w:rPr>
                <w:sz w:val="20"/>
              </w:rPr>
            </w:pPr>
            <w:r>
              <w:rPr>
                <w:sz w:val="20"/>
              </w:rPr>
              <w:t>1 kgf/cm</w:t>
            </w:r>
            <w:r>
              <w:rPr>
                <w:sz w:val="20"/>
                <w:vertAlign w:val="superscript"/>
              </w:rPr>
              <w:t>2</w:t>
            </w:r>
          </w:p>
        </w:tc>
        <w:tc>
          <w:tcPr>
            <w:tcW w:w="2661" w:type="dxa"/>
            <w:tcBorders>
              <w:top w:val="single" w:sz="4" w:space="0" w:color="000000"/>
              <w:bottom w:val="single" w:sz="4" w:space="0" w:color="000000"/>
            </w:tcBorders>
          </w:tcPr>
          <w:p>
            <w:pPr>
              <w:pStyle w:val="TableParagraph"/>
              <w:spacing w:line="210" w:lineRule="exact"/>
              <w:ind w:left="715" w:right="376"/>
              <w:rPr>
                <w:sz w:val="20"/>
              </w:rPr>
            </w:pPr>
            <w:r>
              <w:rPr>
                <w:sz w:val="20"/>
              </w:rPr>
              <w:t>9,80665 x 10</w:t>
            </w:r>
            <w:r>
              <w:rPr>
                <w:sz w:val="20"/>
                <w:vertAlign w:val="superscript"/>
              </w:rPr>
              <w:t>4</w:t>
            </w:r>
            <w:r>
              <w:rPr>
                <w:sz w:val="20"/>
                <w:vertAlign w:val="baseline"/>
              </w:rPr>
              <w:t> Pa</w:t>
            </w:r>
          </w:p>
        </w:tc>
      </w:tr>
    </w:tbl>
    <w:p>
      <w:pPr>
        <w:pStyle w:val="BodyText"/>
        <w:rPr>
          <w:b/>
          <w:sz w:val="25"/>
        </w:rPr>
      </w:pPr>
    </w:p>
    <w:p>
      <w:pPr>
        <w:spacing w:before="0"/>
        <w:ind w:left="1182" w:right="1128" w:firstLine="0"/>
        <w:jc w:val="center"/>
        <w:rPr>
          <w:sz w:val="16"/>
        </w:rPr>
      </w:pPr>
      <w:r>
        <w:rPr/>
        <w:pict>
          <v:line style="position:absolute;mso-position-horizontal-relative:page;mso-position-vertical-relative:paragraph;z-index:251998208" from="143.240005pt,-2.876101pt" to="143.240005pt,12.303899pt" stroked="true" strokeweight=".48pt" strokecolor="#000000">
            <v:stroke dashstyle="solid"/>
            <w10:wrap type="none"/>
          </v:line>
        </w:pict>
      </w:r>
      <w:r>
        <w:rPr>
          <w:sz w:val="16"/>
        </w:rPr>
        <w:t>Actualmente el RD 2023/2009 es por el que se establecen las unidades legales de medida.</w:t>
      </w:r>
    </w:p>
    <w:p>
      <w:pPr>
        <w:spacing w:after="0"/>
        <w:jc w:val="center"/>
        <w:rPr>
          <w:sz w:val="16"/>
        </w:rPr>
        <w:sectPr>
          <w:pgSz w:w="11910" w:h="16840"/>
          <w:pgMar w:header="908" w:footer="654" w:top="1320" w:bottom="840" w:left="1200" w:right="740"/>
        </w:sectPr>
      </w:pPr>
    </w:p>
    <w:p>
      <w:pPr>
        <w:pStyle w:val="BodyText"/>
      </w:pPr>
    </w:p>
    <w:p>
      <w:pPr>
        <w:pStyle w:val="BodyText"/>
        <w:spacing w:before="11"/>
        <w:rPr>
          <w:sz w:val="21"/>
        </w:rPr>
      </w:pPr>
    </w:p>
    <w:p>
      <w:pPr>
        <w:pStyle w:val="Heading2"/>
        <w:spacing w:before="90"/>
      </w:pPr>
      <w:r>
        <w:rPr/>
        <w:t>Apéndice C. Normas de referencia</w:t>
      </w:r>
    </w:p>
    <w:p>
      <w:pPr>
        <w:pStyle w:val="BodyText"/>
        <w:spacing w:before="9"/>
        <w:rPr>
          <w:b/>
          <w:sz w:val="33"/>
        </w:rPr>
      </w:pPr>
    </w:p>
    <w:p>
      <w:pPr>
        <w:pStyle w:val="BodyText"/>
        <w:tabs>
          <w:tab w:pos="2486" w:val="left" w:leader="none"/>
        </w:tabs>
        <w:ind w:left="2484" w:right="398" w:hanging="2266"/>
      </w:pPr>
      <w:r>
        <w:rPr>
          <w:b/>
        </w:rPr>
        <w:t>UNE</w:t>
      </w:r>
      <w:r>
        <w:rPr>
          <w:b/>
          <w:spacing w:val="-1"/>
        </w:rPr>
        <w:t> </w:t>
      </w:r>
      <w:r>
        <w:rPr>
          <w:b/>
        </w:rPr>
        <w:t>EN 200:2008</w:t>
        <w:tab/>
        <w:tab/>
      </w:r>
      <w:r>
        <w:rPr/>
        <w:t>“Grifería sanitaria. Grifos simples y mezcladores para sistemas de suministro de agua de tipo 1 y tipo 2. Especificaciones técnicas</w:t>
      </w:r>
      <w:r>
        <w:rPr>
          <w:spacing w:val="-5"/>
        </w:rPr>
        <w:t> </w:t>
      </w:r>
      <w:r>
        <w:rPr/>
        <w:t>generales.”</w:t>
      </w:r>
    </w:p>
    <w:p>
      <w:pPr>
        <w:pStyle w:val="BodyText"/>
      </w:pPr>
    </w:p>
    <w:p>
      <w:pPr>
        <w:tabs>
          <w:tab w:pos="2486" w:val="left" w:leader="none"/>
        </w:tabs>
        <w:spacing w:before="0"/>
        <w:ind w:left="218" w:right="0" w:firstLine="0"/>
        <w:jc w:val="left"/>
        <w:rPr>
          <w:sz w:val="20"/>
        </w:rPr>
      </w:pPr>
      <w:r>
        <w:rPr>
          <w:b/>
          <w:sz w:val="20"/>
        </w:rPr>
        <w:t>UNE</w:t>
      </w:r>
      <w:r>
        <w:rPr>
          <w:b/>
          <w:spacing w:val="-2"/>
          <w:sz w:val="20"/>
        </w:rPr>
        <w:t> </w:t>
      </w:r>
      <w:r>
        <w:rPr>
          <w:b/>
          <w:sz w:val="20"/>
        </w:rPr>
        <w:t>EN 274-1:2002</w:t>
        <w:tab/>
      </w:r>
      <w:r>
        <w:rPr>
          <w:sz w:val="20"/>
        </w:rPr>
        <w:t>“Accesorios de desagüe para aparatos sanitarios. Parte 1:</w:t>
      </w:r>
      <w:r>
        <w:rPr>
          <w:spacing w:val="-7"/>
          <w:sz w:val="20"/>
        </w:rPr>
        <w:t> </w:t>
      </w:r>
      <w:r>
        <w:rPr>
          <w:sz w:val="20"/>
        </w:rPr>
        <w:t>Requisitos”.</w:t>
      </w:r>
    </w:p>
    <w:p>
      <w:pPr>
        <w:pStyle w:val="BodyText"/>
      </w:pPr>
    </w:p>
    <w:p>
      <w:pPr>
        <w:pStyle w:val="BodyText"/>
        <w:tabs>
          <w:tab w:pos="2486" w:val="left" w:leader="none"/>
        </w:tabs>
        <w:ind w:left="218"/>
      </w:pPr>
      <w:r>
        <w:rPr>
          <w:b/>
        </w:rPr>
        <w:t>UNE</w:t>
      </w:r>
      <w:r>
        <w:rPr>
          <w:b/>
          <w:spacing w:val="-2"/>
        </w:rPr>
        <w:t> </w:t>
      </w:r>
      <w:r>
        <w:rPr>
          <w:b/>
        </w:rPr>
        <w:t>EN 274-2:2002</w:t>
        <w:tab/>
      </w:r>
      <w:r>
        <w:rPr/>
        <w:t>“Accesorios de desagüe para aparatos sanitarios. Parte 2: Métodos de</w:t>
      </w:r>
      <w:r>
        <w:rPr>
          <w:spacing w:val="-18"/>
        </w:rPr>
        <w:t> </w:t>
      </w:r>
      <w:r>
        <w:rPr/>
        <w:t>ensayo”.</w:t>
      </w:r>
    </w:p>
    <w:p>
      <w:pPr>
        <w:pStyle w:val="BodyText"/>
        <w:spacing w:before="1"/>
      </w:pPr>
    </w:p>
    <w:p>
      <w:pPr>
        <w:pStyle w:val="BodyText"/>
        <w:tabs>
          <w:tab w:pos="2486" w:val="left" w:leader="none"/>
        </w:tabs>
        <w:ind w:left="218"/>
      </w:pPr>
      <w:r>
        <w:rPr>
          <w:b/>
        </w:rPr>
        <w:t>UNE</w:t>
      </w:r>
      <w:r>
        <w:rPr>
          <w:b/>
          <w:spacing w:val="-2"/>
        </w:rPr>
        <w:t> </w:t>
      </w:r>
      <w:r>
        <w:rPr>
          <w:b/>
        </w:rPr>
        <w:t>EN 274-3:2002</w:t>
        <w:tab/>
      </w:r>
      <w:r>
        <w:rPr/>
        <w:t>“Accesorios de desagüe para aparatos sanitarios. Parte 3: Control de</w:t>
      </w:r>
      <w:r>
        <w:rPr>
          <w:spacing w:val="-10"/>
        </w:rPr>
        <w:t> </w:t>
      </w:r>
      <w:r>
        <w:rPr/>
        <w:t>calidad”.</w:t>
      </w:r>
    </w:p>
    <w:p>
      <w:pPr>
        <w:pStyle w:val="BodyText"/>
        <w:spacing w:before="11"/>
        <w:rPr>
          <w:sz w:val="19"/>
        </w:rPr>
      </w:pPr>
    </w:p>
    <w:p>
      <w:pPr>
        <w:pStyle w:val="BodyText"/>
        <w:tabs>
          <w:tab w:pos="2484" w:val="left" w:leader="none"/>
        </w:tabs>
        <w:ind w:left="2484" w:right="398" w:hanging="2266"/>
      </w:pPr>
      <w:r>
        <w:rPr>
          <w:b/>
        </w:rPr>
        <w:t>UNE</w:t>
      </w:r>
      <w:r>
        <w:rPr>
          <w:b/>
          <w:spacing w:val="-1"/>
        </w:rPr>
        <w:t> </w:t>
      </w:r>
      <w:r>
        <w:rPr>
          <w:b/>
        </w:rPr>
        <w:t>EN 545:2002</w:t>
        <w:tab/>
      </w:r>
      <w:r>
        <w:rPr/>
        <w:t>“Tubos, racores y accesorios en fundición dúctil y sus uniones para canaliza- ciones de agua. Requisitos y métodos de</w:t>
      </w:r>
      <w:r>
        <w:rPr>
          <w:spacing w:val="-3"/>
        </w:rPr>
        <w:t> </w:t>
      </w:r>
      <w:r>
        <w:rPr/>
        <w:t>ensayo”.</w:t>
      </w:r>
    </w:p>
    <w:p>
      <w:pPr>
        <w:pStyle w:val="BodyText"/>
      </w:pPr>
    </w:p>
    <w:p>
      <w:pPr>
        <w:pStyle w:val="BodyText"/>
        <w:tabs>
          <w:tab w:pos="2484" w:val="left" w:leader="none"/>
        </w:tabs>
        <w:ind w:left="2484" w:right="398" w:hanging="2266"/>
      </w:pPr>
      <w:r>
        <w:rPr>
          <w:b/>
        </w:rPr>
        <w:t>UNE</w:t>
      </w:r>
      <w:r>
        <w:rPr>
          <w:b/>
          <w:spacing w:val="-2"/>
        </w:rPr>
        <w:t> </w:t>
      </w:r>
      <w:r>
        <w:rPr>
          <w:b/>
        </w:rPr>
        <w:t>EN 806-1:2001</w:t>
        <w:tab/>
      </w:r>
      <w:r>
        <w:rPr/>
        <w:t>“Especificaciones para instalaciones de conducción de agua destinada al con- sumo humano en el interior de los edificios. Parte 1:</w:t>
      </w:r>
      <w:r>
        <w:rPr>
          <w:spacing w:val="-4"/>
        </w:rPr>
        <w:t> </w:t>
      </w:r>
      <w:r>
        <w:rPr/>
        <w:t>Generalidades”.</w:t>
      </w:r>
    </w:p>
    <w:p>
      <w:pPr>
        <w:pStyle w:val="BodyText"/>
      </w:pPr>
    </w:p>
    <w:p>
      <w:pPr>
        <w:tabs>
          <w:tab w:pos="2486" w:val="left" w:leader="none"/>
        </w:tabs>
        <w:spacing w:before="0"/>
        <w:ind w:left="218" w:right="0" w:firstLine="0"/>
        <w:jc w:val="left"/>
        <w:rPr>
          <w:sz w:val="20"/>
        </w:rPr>
      </w:pPr>
      <w:r>
        <w:rPr>
          <w:b/>
          <w:sz w:val="20"/>
        </w:rPr>
        <w:t>UNE</w:t>
      </w:r>
      <w:r>
        <w:rPr>
          <w:b/>
          <w:spacing w:val="-1"/>
          <w:sz w:val="20"/>
        </w:rPr>
        <w:t> </w:t>
      </w:r>
      <w:r>
        <w:rPr>
          <w:b/>
          <w:sz w:val="20"/>
        </w:rPr>
        <w:t>EN 816:1997</w:t>
        <w:tab/>
      </w:r>
      <w:r>
        <w:rPr>
          <w:sz w:val="20"/>
        </w:rPr>
        <w:t>“Grifería sanitaria. Grifos de cierre automático PN</w:t>
      </w:r>
      <w:r>
        <w:rPr>
          <w:spacing w:val="-3"/>
          <w:sz w:val="20"/>
        </w:rPr>
        <w:t> </w:t>
      </w:r>
      <w:r>
        <w:rPr>
          <w:sz w:val="20"/>
        </w:rPr>
        <w:t>10“.</w:t>
      </w:r>
    </w:p>
    <w:p>
      <w:pPr>
        <w:pStyle w:val="BodyText"/>
        <w:spacing w:before="11"/>
        <w:rPr>
          <w:sz w:val="19"/>
        </w:rPr>
      </w:pPr>
    </w:p>
    <w:p>
      <w:pPr>
        <w:pStyle w:val="BodyText"/>
        <w:tabs>
          <w:tab w:pos="2484" w:val="left" w:leader="none"/>
        </w:tabs>
        <w:ind w:left="2484" w:right="398" w:hanging="2266"/>
      </w:pPr>
      <w:r>
        <w:rPr>
          <w:b/>
        </w:rPr>
        <w:t>UNE EN</w:t>
      </w:r>
      <w:r>
        <w:rPr>
          <w:b/>
          <w:spacing w:val="-2"/>
        </w:rPr>
        <w:t> </w:t>
      </w:r>
      <w:r>
        <w:rPr>
          <w:b/>
        </w:rPr>
        <w:t>1</w:t>
      </w:r>
      <w:r>
        <w:rPr>
          <w:b/>
          <w:spacing w:val="-1"/>
        </w:rPr>
        <w:t> </w:t>
      </w:r>
      <w:r>
        <w:rPr>
          <w:b/>
        </w:rPr>
        <w:t>057:1996</w:t>
        <w:tab/>
      </w:r>
      <w:r>
        <w:rPr/>
        <w:t>“Cobre y aleaciones de cobre. Tubos redondos de cobre, sin soldadura, para agua y gas en aplicaciones sanitarias y de</w:t>
      </w:r>
      <w:r>
        <w:rPr>
          <w:spacing w:val="-4"/>
        </w:rPr>
        <w:t> </w:t>
      </w:r>
      <w:r>
        <w:rPr/>
        <w:t>calefacción”.</w:t>
      </w:r>
    </w:p>
    <w:p>
      <w:pPr>
        <w:pStyle w:val="BodyText"/>
      </w:pPr>
    </w:p>
    <w:p>
      <w:pPr>
        <w:tabs>
          <w:tab w:pos="2486" w:val="left" w:leader="none"/>
        </w:tabs>
        <w:spacing w:before="0"/>
        <w:ind w:left="218" w:right="0" w:firstLine="0"/>
        <w:jc w:val="left"/>
        <w:rPr>
          <w:sz w:val="20"/>
        </w:rPr>
      </w:pPr>
      <w:r>
        <w:rPr>
          <w:b/>
          <w:sz w:val="20"/>
        </w:rPr>
        <w:t>UNE EN</w:t>
      </w:r>
      <w:r>
        <w:rPr>
          <w:b/>
          <w:spacing w:val="-2"/>
          <w:sz w:val="20"/>
        </w:rPr>
        <w:t> </w:t>
      </w:r>
      <w:r>
        <w:rPr>
          <w:b/>
          <w:sz w:val="20"/>
        </w:rPr>
        <w:t>1</w:t>
      </w:r>
      <w:r>
        <w:rPr>
          <w:b/>
          <w:spacing w:val="-1"/>
          <w:sz w:val="20"/>
        </w:rPr>
        <w:t> </w:t>
      </w:r>
      <w:r>
        <w:rPr>
          <w:b/>
          <w:sz w:val="20"/>
        </w:rPr>
        <w:t>112:1997</w:t>
        <w:tab/>
      </w:r>
      <w:r>
        <w:rPr>
          <w:sz w:val="20"/>
        </w:rPr>
        <w:t>“Duchas para griferías sanitarias (PN 10)</w:t>
      </w:r>
      <w:r>
        <w:rPr>
          <w:spacing w:val="-4"/>
          <w:sz w:val="20"/>
        </w:rPr>
        <w:t> </w:t>
      </w:r>
      <w:r>
        <w:rPr>
          <w:sz w:val="20"/>
        </w:rPr>
        <w:t>”.</w:t>
      </w:r>
    </w:p>
    <w:p>
      <w:pPr>
        <w:pStyle w:val="BodyText"/>
      </w:pPr>
    </w:p>
    <w:p>
      <w:pPr>
        <w:tabs>
          <w:tab w:pos="2486" w:val="left" w:leader="none"/>
        </w:tabs>
        <w:spacing w:before="0"/>
        <w:ind w:left="218" w:right="0" w:firstLine="0"/>
        <w:jc w:val="left"/>
        <w:rPr>
          <w:sz w:val="20"/>
        </w:rPr>
      </w:pPr>
      <w:r>
        <w:rPr>
          <w:b/>
          <w:sz w:val="20"/>
        </w:rPr>
        <w:t>UNE EN</w:t>
      </w:r>
      <w:r>
        <w:rPr>
          <w:b/>
          <w:spacing w:val="-2"/>
          <w:sz w:val="20"/>
        </w:rPr>
        <w:t> </w:t>
      </w:r>
      <w:r>
        <w:rPr>
          <w:b/>
          <w:sz w:val="20"/>
        </w:rPr>
        <w:t>1</w:t>
      </w:r>
      <w:r>
        <w:rPr>
          <w:b/>
          <w:spacing w:val="-1"/>
          <w:sz w:val="20"/>
        </w:rPr>
        <w:t> </w:t>
      </w:r>
      <w:r>
        <w:rPr>
          <w:b/>
          <w:sz w:val="20"/>
        </w:rPr>
        <w:t>113:1997</w:t>
        <w:tab/>
      </w:r>
      <w:r>
        <w:rPr>
          <w:sz w:val="20"/>
        </w:rPr>
        <w:t>“Flexibles de ducha para griferías sanitarias (PN 10)</w:t>
      </w:r>
      <w:r>
        <w:rPr>
          <w:spacing w:val="-4"/>
          <w:sz w:val="20"/>
        </w:rPr>
        <w:t> </w:t>
      </w:r>
      <w:r>
        <w:rPr>
          <w:sz w:val="20"/>
        </w:rPr>
        <w:t>”.</w:t>
      </w:r>
    </w:p>
    <w:p>
      <w:pPr>
        <w:pStyle w:val="BodyText"/>
        <w:spacing w:before="1"/>
      </w:pPr>
    </w:p>
    <w:p>
      <w:pPr>
        <w:pStyle w:val="BodyText"/>
        <w:tabs>
          <w:tab w:pos="2484" w:val="left" w:leader="none"/>
        </w:tabs>
        <w:ind w:left="2484" w:right="398" w:hanging="2266"/>
      </w:pPr>
      <w:r>
        <w:rPr>
          <w:b/>
        </w:rPr>
        <w:t>UNE EN</w:t>
      </w:r>
      <w:r>
        <w:rPr>
          <w:b/>
          <w:spacing w:val="-2"/>
        </w:rPr>
        <w:t> </w:t>
      </w:r>
      <w:r>
        <w:rPr>
          <w:b/>
        </w:rPr>
        <w:t>1</w:t>
      </w:r>
      <w:r>
        <w:rPr>
          <w:b/>
          <w:spacing w:val="-1"/>
        </w:rPr>
        <w:t> </w:t>
      </w:r>
      <w:r>
        <w:rPr>
          <w:b/>
        </w:rPr>
        <w:t>254-1:1999</w:t>
        <w:tab/>
      </w:r>
      <w:r>
        <w:rPr/>
        <w:t>“Cobre y aleaciones de cobre. Accesorios. Parte 1: Accesorios para soldeo o soldeo fuerte por capilaridad para tuberías de</w:t>
      </w:r>
      <w:r>
        <w:rPr>
          <w:spacing w:val="-6"/>
        </w:rPr>
        <w:t> </w:t>
      </w:r>
      <w:r>
        <w:rPr/>
        <w:t>cobre”.</w:t>
      </w:r>
    </w:p>
    <w:p>
      <w:pPr>
        <w:pStyle w:val="BodyText"/>
      </w:pPr>
    </w:p>
    <w:p>
      <w:pPr>
        <w:pStyle w:val="BodyText"/>
        <w:tabs>
          <w:tab w:pos="2484" w:val="left" w:leader="none"/>
        </w:tabs>
        <w:ind w:left="2484" w:right="398" w:hanging="2266"/>
      </w:pPr>
      <w:r>
        <w:rPr>
          <w:b/>
        </w:rPr>
        <w:t>UNE EN</w:t>
      </w:r>
      <w:r>
        <w:rPr>
          <w:b/>
          <w:spacing w:val="-2"/>
        </w:rPr>
        <w:t> </w:t>
      </w:r>
      <w:r>
        <w:rPr>
          <w:b/>
        </w:rPr>
        <w:t>1</w:t>
      </w:r>
      <w:r>
        <w:rPr>
          <w:b/>
          <w:spacing w:val="-1"/>
        </w:rPr>
        <w:t> </w:t>
      </w:r>
      <w:r>
        <w:rPr>
          <w:b/>
        </w:rPr>
        <w:t>254-2:1999</w:t>
        <w:tab/>
      </w:r>
      <w:r>
        <w:rPr/>
        <w:t>“Cobre y aleaciones de cobre. Accesorios. Parte 2: Accesorios de compresión para tuberías de</w:t>
      </w:r>
      <w:r>
        <w:rPr>
          <w:spacing w:val="-3"/>
        </w:rPr>
        <w:t> </w:t>
      </w:r>
      <w:r>
        <w:rPr/>
        <w:t>cobre”.</w:t>
      </w:r>
    </w:p>
    <w:p>
      <w:pPr>
        <w:pStyle w:val="BodyText"/>
        <w:spacing w:before="10"/>
        <w:rPr>
          <w:sz w:val="19"/>
        </w:rPr>
      </w:pPr>
    </w:p>
    <w:p>
      <w:pPr>
        <w:pStyle w:val="BodyText"/>
        <w:tabs>
          <w:tab w:pos="2484" w:val="left" w:leader="none"/>
        </w:tabs>
        <w:ind w:left="2484" w:right="398" w:hanging="2266"/>
      </w:pPr>
      <w:r>
        <w:rPr>
          <w:b/>
        </w:rPr>
        <w:t>UNE EN</w:t>
      </w:r>
      <w:r>
        <w:rPr>
          <w:b/>
          <w:spacing w:val="-3"/>
        </w:rPr>
        <w:t> </w:t>
      </w:r>
      <w:r>
        <w:rPr>
          <w:b/>
        </w:rPr>
        <w:t>1</w:t>
      </w:r>
      <w:r>
        <w:rPr>
          <w:b/>
          <w:spacing w:val="-1"/>
        </w:rPr>
        <w:t> </w:t>
      </w:r>
      <w:r>
        <w:rPr>
          <w:b/>
        </w:rPr>
        <w:t>254-3:1999</w:t>
        <w:tab/>
      </w:r>
      <w:r>
        <w:rPr/>
        <w:t>Cobre y aleaciones de cobre. Accesorios. Parte 3: Accesorios de compresión para tuberías de</w:t>
      </w:r>
      <w:r>
        <w:rPr>
          <w:spacing w:val="-3"/>
        </w:rPr>
        <w:t> </w:t>
      </w:r>
      <w:r>
        <w:rPr/>
        <w:t>plástico”.</w:t>
      </w:r>
    </w:p>
    <w:p>
      <w:pPr>
        <w:pStyle w:val="BodyText"/>
      </w:pPr>
    </w:p>
    <w:p>
      <w:pPr>
        <w:pStyle w:val="BodyText"/>
        <w:tabs>
          <w:tab w:pos="2484" w:val="left" w:leader="none"/>
        </w:tabs>
        <w:spacing w:before="1"/>
        <w:ind w:left="2484" w:right="398" w:hanging="2266"/>
      </w:pPr>
      <w:r>
        <w:rPr>
          <w:b/>
        </w:rPr>
        <w:t>UNE EN</w:t>
      </w:r>
      <w:r>
        <w:rPr>
          <w:b/>
          <w:spacing w:val="-2"/>
        </w:rPr>
        <w:t> </w:t>
      </w:r>
      <w:r>
        <w:rPr>
          <w:b/>
        </w:rPr>
        <w:t>1</w:t>
      </w:r>
      <w:r>
        <w:rPr>
          <w:b/>
          <w:spacing w:val="-1"/>
        </w:rPr>
        <w:t> </w:t>
      </w:r>
      <w:r>
        <w:rPr>
          <w:b/>
        </w:rPr>
        <w:t>254-4:1999</w:t>
        <w:tab/>
      </w:r>
      <w:r>
        <w:rPr/>
        <w:t>“Cobre y aleaciones de cobre. Accesorios. Parte 4: Accesorios para soldar por capilaridad o de compresión para montar con otros tipos de</w:t>
      </w:r>
      <w:r>
        <w:rPr>
          <w:spacing w:val="-6"/>
        </w:rPr>
        <w:t> </w:t>
      </w:r>
      <w:r>
        <w:rPr/>
        <w:t>conexiones“.</w:t>
      </w:r>
    </w:p>
    <w:p>
      <w:pPr>
        <w:pStyle w:val="BodyText"/>
        <w:spacing w:before="11"/>
        <w:rPr>
          <w:sz w:val="19"/>
        </w:rPr>
      </w:pPr>
    </w:p>
    <w:p>
      <w:pPr>
        <w:pStyle w:val="BodyText"/>
        <w:tabs>
          <w:tab w:pos="2484" w:val="left" w:leader="none"/>
        </w:tabs>
        <w:ind w:left="2484" w:right="398" w:hanging="2266"/>
      </w:pPr>
      <w:r>
        <w:rPr>
          <w:b/>
        </w:rPr>
        <w:t>UNE EN</w:t>
      </w:r>
      <w:r>
        <w:rPr>
          <w:b/>
          <w:spacing w:val="-2"/>
        </w:rPr>
        <w:t> </w:t>
      </w:r>
      <w:r>
        <w:rPr>
          <w:b/>
        </w:rPr>
        <w:t>1</w:t>
      </w:r>
      <w:r>
        <w:rPr>
          <w:b/>
          <w:spacing w:val="-1"/>
        </w:rPr>
        <w:t> </w:t>
      </w:r>
      <w:r>
        <w:rPr>
          <w:b/>
        </w:rPr>
        <w:t>254-5:1999</w:t>
        <w:tab/>
      </w:r>
      <w:r>
        <w:rPr/>
        <w:t>“Cobre y aleaciones de cobre. Accesorios. Parte 5: Accesorios de embocadura corta para soldar por capilaridad con soldeo fuerte para tuberías de</w:t>
      </w:r>
      <w:r>
        <w:rPr>
          <w:spacing w:val="-9"/>
        </w:rPr>
        <w:t> </w:t>
      </w:r>
      <w:r>
        <w:rPr/>
        <w:t>cobre”.</w:t>
      </w:r>
    </w:p>
    <w:p>
      <w:pPr>
        <w:pStyle w:val="BodyText"/>
      </w:pPr>
    </w:p>
    <w:p>
      <w:pPr>
        <w:tabs>
          <w:tab w:pos="2484" w:val="left" w:leader="none"/>
        </w:tabs>
        <w:spacing w:before="0"/>
        <w:ind w:left="218" w:right="0" w:firstLine="0"/>
        <w:jc w:val="left"/>
        <w:rPr>
          <w:sz w:val="20"/>
        </w:rPr>
      </w:pPr>
      <w:r>
        <w:rPr>
          <w:b/>
          <w:sz w:val="20"/>
        </w:rPr>
        <w:t>UNE EN</w:t>
      </w:r>
      <w:r>
        <w:rPr>
          <w:b/>
          <w:spacing w:val="-2"/>
          <w:sz w:val="20"/>
        </w:rPr>
        <w:t> </w:t>
      </w:r>
      <w:r>
        <w:rPr>
          <w:b/>
          <w:sz w:val="20"/>
        </w:rPr>
        <w:t>1</w:t>
      </w:r>
      <w:r>
        <w:rPr>
          <w:b/>
          <w:spacing w:val="-1"/>
          <w:sz w:val="20"/>
        </w:rPr>
        <w:t> </w:t>
      </w:r>
      <w:r>
        <w:rPr>
          <w:b/>
          <w:sz w:val="20"/>
        </w:rPr>
        <w:t>452-1:2000</w:t>
        <w:tab/>
      </w:r>
      <w:r>
        <w:rPr>
          <w:sz w:val="20"/>
        </w:rPr>
        <w:t>“Sistemas</w:t>
      </w:r>
      <w:r>
        <w:rPr>
          <w:spacing w:val="34"/>
          <w:sz w:val="20"/>
        </w:rPr>
        <w:t> </w:t>
      </w:r>
      <w:r>
        <w:rPr>
          <w:sz w:val="20"/>
        </w:rPr>
        <w:t>de</w:t>
      </w:r>
      <w:r>
        <w:rPr>
          <w:spacing w:val="35"/>
          <w:sz w:val="20"/>
        </w:rPr>
        <w:t> </w:t>
      </w:r>
      <w:r>
        <w:rPr>
          <w:sz w:val="20"/>
        </w:rPr>
        <w:t>canalización</w:t>
      </w:r>
      <w:r>
        <w:rPr>
          <w:spacing w:val="33"/>
          <w:sz w:val="20"/>
        </w:rPr>
        <w:t> </w:t>
      </w:r>
      <w:r>
        <w:rPr>
          <w:sz w:val="20"/>
        </w:rPr>
        <w:t>en</w:t>
      </w:r>
      <w:r>
        <w:rPr>
          <w:spacing w:val="36"/>
          <w:sz w:val="20"/>
        </w:rPr>
        <w:t> </w:t>
      </w:r>
      <w:r>
        <w:rPr>
          <w:sz w:val="20"/>
        </w:rPr>
        <w:t>materiales</w:t>
      </w:r>
      <w:r>
        <w:rPr>
          <w:spacing w:val="35"/>
          <w:sz w:val="20"/>
        </w:rPr>
        <w:t> </w:t>
      </w:r>
      <w:r>
        <w:rPr>
          <w:sz w:val="20"/>
        </w:rPr>
        <w:t>plásticos</w:t>
      </w:r>
      <w:r>
        <w:rPr>
          <w:spacing w:val="33"/>
          <w:sz w:val="20"/>
        </w:rPr>
        <w:t> </w:t>
      </w:r>
      <w:r>
        <w:rPr>
          <w:sz w:val="20"/>
        </w:rPr>
        <w:t>para</w:t>
      </w:r>
      <w:r>
        <w:rPr>
          <w:spacing w:val="34"/>
          <w:sz w:val="20"/>
        </w:rPr>
        <w:t> </w:t>
      </w:r>
      <w:r>
        <w:rPr>
          <w:sz w:val="20"/>
        </w:rPr>
        <w:t>conducción</w:t>
      </w:r>
      <w:r>
        <w:rPr>
          <w:spacing w:val="35"/>
          <w:sz w:val="20"/>
        </w:rPr>
        <w:t> </w:t>
      </w:r>
      <w:r>
        <w:rPr>
          <w:sz w:val="20"/>
        </w:rPr>
        <w:t>de</w:t>
      </w:r>
      <w:r>
        <w:rPr>
          <w:spacing w:val="34"/>
          <w:sz w:val="20"/>
        </w:rPr>
        <w:t> </w:t>
      </w:r>
      <w:r>
        <w:rPr>
          <w:sz w:val="20"/>
        </w:rPr>
        <w:t>agua.</w:t>
      </w:r>
    </w:p>
    <w:p>
      <w:pPr>
        <w:pStyle w:val="BodyText"/>
        <w:spacing w:before="1"/>
        <w:ind w:left="2484"/>
      </w:pPr>
      <w:r>
        <w:rPr/>
        <w:t>Poli (cloruro de vinilo) no plastificado (PVC – U). Parte 1: Generalidades”.</w:t>
      </w:r>
    </w:p>
    <w:p>
      <w:pPr>
        <w:pStyle w:val="BodyText"/>
        <w:spacing w:before="10"/>
        <w:rPr>
          <w:sz w:val="19"/>
        </w:rPr>
      </w:pPr>
    </w:p>
    <w:p>
      <w:pPr>
        <w:tabs>
          <w:tab w:pos="2484" w:val="left" w:leader="none"/>
        </w:tabs>
        <w:spacing w:before="1"/>
        <w:ind w:left="218" w:right="0" w:firstLine="0"/>
        <w:jc w:val="left"/>
        <w:rPr>
          <w:sz w:val="20"/>
        </w:rPr>
      </w:pPr>
      <w:r>
        <w:rPr>
          <w:b/>
          <w:sz w:val="20"/>
        </w:rPr>
        <w:t>UNE EN</w:t>
      </w:r>
      <w:r>
        <w:rPr>
          <w:b/>
          <w:spacing w:val="-2"/>
          <w:sz w:val="20"/>
        </w:rPr>
        <w:t> </w:t>
      </w:r>
      <w:r>
        <w:rPr>
          <w:b/>
          <w:sz w:val="20"/>
        </w:rPr>
        <w:t>1</w:t>
      </w:r>
      <w:r>
        <w:rPr>
          <w:b/>
          <w:spacing w:val="-1"/>
          <w:sz w:val="20"/>
        </w:rPr>
        <w:t> </w:t>
      </w:r>
      <w:r>
        <w:rPr>
          <w:b/>
          <w:sz w:val="20"/>
        </w:rPr>
        <w:t>452-2:2000</w:t>
        <w:tab/>
      </w:r>
      <w:r>
        <w:rPr>
          <w:sz w:val="20"/>
        </w:rPr>
        <w:t>“Sistemas</w:t>
      </w:r>
      <w:r>
        <w:rPr>
          <w:spacing w:val="34"/>
          <w:sz w:val="20"/>
        </w:rPr>
        <w:t> </w:t>
      </w:r>
      <w:r>
        <w:rPr>
          <w:sz w:val="20"/>
        </w:rPr>
        <w:t>de</w:t>
      </w:r>
      <w:r>
        <w:rPr>
          <w:spacing w:val="35"/>
          <w:sz w:val="20"/>
        </w:rPr>
        <w:t> </w:t>
      </w:r>
      <w:r>
        <w:rPr>
          <w:sz w:val="20"/>
        </w:rPr>
        <w:t>canalización</w:t>
      </w:r>
      <w:r>
        <w:rPr>
          <w:spacing w:val="34"/>
          <w:sz w:val="20"/>
        </w:rPr>
        <w:t> </w:t>
      </w:r>
      <w:r>
        <w:rPr>
          <w:sz w:val="20"/>
        </w:rPr>
        <w:t>de</w:t>
      </w:r>
      <w:r>
        <w:rPr>
          <w:spacing w:val="35"/>
          <w:sz w:val="20"/>
        </w:rPr>
        <w:t> </w:t>
      </w:r>
      <w:r>
        <w:rPr>
          <w:sz w:val="20"/>
        </w:rPr>
        <w:t>materiales</w:t>
      </w:r>
      <w:r>
        <w:rPr>
          <w:spacing w:val="36"/>
          <w:sz w:val="20"/>
        </w:rPr>
        <w:t> </w:t>
      </w:r>
      <w:r>
        <w:rPr>
          <w:sz w:val="20"/>
        </w:rPr>
        <w:t>plásticos</w:t>
      </w:r>
      <w:r>
        <w:rPr>
          <w:spacing w:val="33"/>
          <w:sz w:val="20"/>
        </w:rPr>
        <w:t> </w:t>
      </w:r>
      <w:r>
        <w:rPr>
          <w:sz w:val="20"/>
        </w:rPr>
        <w:t>para</w:t>
      </w:r>
      <w:r>
        <w:rPr>
          <w:spacing w:val="33"/>
          <w:sz w:val="20"/>
        </w:rPr>
        <w:t> </w:t>
      </w:r>
      <w:r>
        <w:rPr>
          <w:sz w:val="20"/>
        </w:rPr>
        <w:t>conducción</w:t>
      </w:r>
      <w:r>
        <w:rPr>
          <w:spacing w:val="35"/>
          <w:sz w:val="20"/>
        </w:rPr>
        <w:t> </w:t>
      </w:r>
      <w:r>
        <w:rPr>
          <w:sz w:val="20"/>
        </w:rPr>
        <w:t>de</w:t>
      </w:r>
      <w:r>
        <w:rPr>
          <w:spacing w:val="35"/>
          <w:sz w:val="20"/>
        </w:rPr>
        <w:t> </w:t>
      </w:r>
      <w:r>
        <w:rPr>
          <w:sz w:val="20"/>
        </w:rPr>
        <w:t>agua.</w:t>
      </w:r>
    </w:p>
    <w:p>
      <w:pPr>
        <w:pStyle w:val="BodyText"/>
        <w:ind w:left="2484"/>
      </w:pPr>
      <w:r>
        <w:rPr/>
        <w:t>Poli (cloruro de vinilo) no plastificado (PVC – U). Parte 2: Tubos”.</w:t>
      </w:r>
    </w:p>
    <w:p>
      <w:pPr>
        <w:pStyle w:val="BodyText"/>
      </w:pPr>
    </w:p>
    <w:p>
      <w:pPr>
        <w:tabs>
          <w:tab w:pos="2484" w:val="left" w:leader="none"/>
        </w:tabs>
        <w:spacing w:before="0"/>
        <w:ind w:left="218" w:right="0" w:firstLine="0"/>
        <w:jc w:val="left"/>
        <w:rPr>
          <w:sz w:val="20"/>
        </w:rPr>
      </w:pPr>
      <w:r>
        <w:rPr>
          <w:b/>
          <w:sz w:val="20"/>
        </w:rPr>
        <w:t>UNE EN</w:t>
      </w:r>
      <w:r>
        <w:rPr>
          <w:b/>
          <w:spacing w:val="-2"/>
          <w:sz w:val="20"/>
        </w:rPr>
        <w:t> </w:t>
      </w:r>
      <w:r>
        <w:rPr>
          <w:b/>
          <w:sz w:val="20"/>
        </w:rPr>
        <w:t>1</w:t>
      </w:r>
      <w:r>
        <w:rPr>
          <w:b/>
          <w:spacing w:val="-1"/>
          <w:sz w:val="20"/>
        </w:rPr>
        <w:t> </w:t>
      </w:r>
      <w:r>
        <w:rPr>
          <w:b/>
          <w:sz w:val="20"/>
        </w:rPr>
        <w:t>452-3:2000</w:t>
        <w:tab/>
      </w:r>
      <w:r>
        <w:rPr>
          <w:sz w:val="20"/>
        </w:rPr>
        <w:t>“Sistemas</w:t>
      </w:r>
      <w:r>
        <w:rPr>
          <w:spacing w:val="34"/>
          <w:sz w:val="20"/>
        </w:rPr>
        <w:t> </w:t>
      </w:r>
      <w:r>
        <w:rPr>
          <w:sz w:val="20"/>
        </w:rPr>
        <w:t>de</w:t>
      </w:r>
      <w:r>
        <w:rPr>
          <w:spacing w:val="35"/>
          <w:sz w:val="20"/>
        </w:rPr>
        <w:t> </w:t>
      </w:r>
      <w:r>
        <w:rPr>
          <w:sz w:val="20"/>
        </w:rPr>
        <w:t>canalización</w:t>
      </w:r>
      <w:r>
        <w:rPr>
          <w:spacing w:val="34"/>
          <w:sz w:val="20"/>
        </w:rPr>
        <w:t> </w:t>
      </w:r>
      <w:r>
        <w:rPr>
          <w:sz w:val="20"/>
        </w:rPr>
        <w:t>de</w:t>
      </w:r>
      <w:r>
        <w:rPr>
          <w:spacing w:val="35"/>
          <w:sz w:val="20"/>
        </w:rPr>
        <w:t> </w:t>
      </w:r>
      <w:r>
        <w:rPr>
          <w:sz w:val="20"/>
        </w:rPr>
        <w:t>materiales</w:t>
      </w:r>
      <w:r>
        <w:rPr>
          <w:spacing w:val="36"/>
          <w:sz w:val="20"/>
        </w:rPr>
        <w:t> </w:t>
      </w:r>
      <w:r>
        <w:rPr>
          <w:sz w:val="20"/>
        </w:rPr>
        <w:t>plásticos</w:t>
      </w:r>
      <w:r>
        <w:rPr>
          <w:spacing w:val="33"/>
          <w:sz w:val="20"/>
        </w:rPr>
        <w:t> </w:t>
      </w:r>
      <w:r>
        <w:rPr>
          <w:sz w:val="20"/>
        </w:rPr>
        <w:t>para</w:t>
      </w:r>
      <w:r>
        <w:rPr>
          <w:spacing w:val="33"/>
          <w:sz w:val="20"/>
        </w:rPr>
        <w:t> </w:t>
      </w:r>
      <w:r>
        <w:rPr>
          <w:sz w:val="20"/>
        </w:rPr>
        <w:t>conducción</w:t>
      </w:r>
      <w:r>
        <w:rPr>
          <w:spacing w:val="35"/>
          <w:sz w:val="20"/>
        </w:rPr>
        <w:t> </w:t>
      </w:r>
      <w:r>
        <w:rPr>
          <w:sz w:val="20"/>
        </w:rPr>
        <w:t>de</w:t>
      </w:r>
      <w:r>
        <w:rPr>
          <w:spacing w:val="35"/>
          <w:sz w:val="20"/>
        </w:rPr>
        <w:t> </w:t>
      </w:r>
      <w:r>
        <w:rPr>
          <w:sz w:val="20"/>
        </w:rPr>
        <w:t>agua.</w:t>
      </w:r>
    </w:p>
    <w:p>
      <w:pPr>
        <w:pStyle w:val="BodyText"/>
        <w:ind w:left="2484"/>
      </w:pPr>
      <w:r>
        <w:rPr/>
        <w:t>Poli (cloruro de vinilo) no plastificado (PVC – U). Parte 3: Accesorios”.</w:t>
      </w:r>
    </w:p>
    <w:p>
      <w:pPr>
        <w:spacing w:line="230" w:lineRule="exact" w:before="1"/>
        <w:ind w:left="218" w:right="0" w:firstLine="0"/>
        <w:jc w:val="left"/>
        <w:rPr>
          <w:sz w:val="20"/>
        </w:rPr>
      </w:pPr>
      <w:r>
        <w:rPr>
          <w:b/>
          <w:sz w:val="20"/>
        </w:rPr>
        <w:t>UNE EN 12 201-1:2003 </w:t>
      </w:r>
      <w:r>
        <w:rPr>
          <w:sz w:val="20"/>
        </w:rPr>
        <w:t>“Sistemas de canalización en materiales plásticos para conducción de agua.</w:t>
      </w:r>
    </w:p>
    <w:p>
      <w:pPr>
        <w:pStyle w:val="BodyText"/>
        <w:spacing w:line="230" w:lineRule="exact"/>
        <w:ind w:left="2486"/>
      </w:pPr>
      <w:r>
        <w:rPr/>
        <w:t>Polietileno (PE). Parte 1: Generalidades”.</w:t>
      </w:r>
    </w:p>
    <w:p>
      <w:pPr>
        <w:pStyle w:val="BodyText"/>
        <w:spacing w:before="11"/>
        <w:rPr>
          <w:sz w:val="19"/>
        </w:rPr>
      </w:pPr>
    </w:p>
    <w:p>
      <w:pPr>
        <w:spacing w:before="0"/>
        <w:ind w:left="218" w:right="0" w:firstLine="0"/>
        <w:jc w:val="left"/>
        <w:rPr>
          <w:sz w:val="20"/>
        </w:rPr>
      </w:pPr>
      <w:r>
        <w:rPr>
          <w:b/>
          <w:sz w:val="20"/>
        </w:rPr>
        <w:t>UNE EN 12 201-2:2003 </w:t>
      </w:r>
      <w:r>
        <w:rPr>
          <w:sz w:val="20"/>
        </w:rPr>
        <w:t>“Sistemas de canalización en materiales plásticos para conducción de agua.</w:t>
      </w:r>
    </w:p>
    <w:p>
      <w:pPr>
        <w:pStyle w:val="BodyText"/>
        <w:spacing w:before="1"/>
        <w:ind w:left="2486"/>
      </w:pPr>
      <w:r>
        <w:rPr/>
        <w:t>Polietileno (PE). Parte 2: Tubos.”</w:t>
      </w:r>
    </w:p>
    <w:p>
      <w:pPr>
        <w:pStyle w:val="BodyText"/>
        <w:spacing w:before="10"/>
        <w:rPr>
          <w:sz w:val="19"/>
        </w:rPr>
      </w:pPr>
    </w:p>
    <w:p>
      <w:pPr>
        <w:spacing w:before="1"/>
        <w:ind w:left="218" w:right="0" w:firstLine="0"/>
        <w:jc w:val="left"/>
        <w:rPr>
          <w:sz w:val="20"/>
        </w:rPr>
      </w:pPr>
      <w:r>
        <w:rPr>
          <w:b/>
          <w:sz w:val="20"/>
        </w:rPr>
        <w:t>UNE EN 12 201-3:2003 </w:t>
      </w:r>
      <w:r>
        <w:rPr>
          <w:sz w:val="20"/>
        </w:rPr>
        <w:t>“Sistemas de canalización en materiales plásticos para conducción de agua.</w:t>
      </w:r>
    </w:p>
    <w:p>
      <w:pPr>
        <w:pStyle w:val="BodyText"/>
        <w:ind w:left="2486"/>
      </w:pPr>
      <w:r>
        <w:rPr/>
        <w:t>Polietileno (PE). Parte 3: Accesorios”.</w:t>
      </w:r>
    </w:p>
    <w:p>
      <w:pPr>
        <w:spacing w:after="0"/>
        <w:sectPr>
          <w:footerReference w:type="default" r:id="rId145"/>
          <w:pgSz w:w="11910" w:h="16840"/>
          <w:pgMar w:footer="654" w:header="908" w:top="1320" w:bottom="840" w:left="1200" w:right="740"/>
        </w:sectPr>
      </w:pPr>
    </w:p>
    <w:p>
      <w:pPr>
        <w:pStyle w:val="BodyText"/>
        <w:spacing w:before="8"/>
        <w:rPr>
          <w:sz w:val="19"/>
        </w:rPr>
      </w:pPr>
    </w:p>
    <w:p>
      <w:pPr>
        <w:spacing w:before="94"/>
        <w:ind w:left="218" w:right="0" w:firstLine="0"/>
        <w:jc w:val="left"/>
        <w:rPr>
          <w:sz w:val="20"/>
        </w:rPr>
      </w:pPr>
      <w:r>
        <w:rPr>
          <w:b/>
          <w:sz w:val="20"/>
        </w:rPr>
        <w:t>UNE EN 12 201-4:2003 </w:t>
      </w:r>
      <w:r>
        <w:rPr>
          <w:sz w:val="20"/>
        </w:rPr>
        <w:t>“Sistemas de canalización en materiales plásticos para conducción de agua.</w:t>
      </w:r>
    </w:p>
    <w:p>
      <w:pPr>
        <w:pStyle w:val="BodyText"/>
        <w:ind w:left="2486"/>
      </w:pPr>
      <w:r>
        <w:rPr/>
        <w:t>Polietileno (PE). Parte 4: Válvulas”.</w:t>
      </w:r>
    </w:p>
    <w:p>
      <w:pPr>
        <w:pStyle w:val="BodyText"/>
        <w:rPr>
          <w:sz w:val="22"/>
        </w:rPr>
      </w:pPr>
    </w:p>
    <w:p>
      <w:pPr>
        <w:pStyle w:val="BodyText"/>
        <w:rPr>
          <w:sz w:val="18"/>
        </w:rPr>
      </w:pPr>
    </w:p>
    <w:p>
      <w:pPr>
        <w:pStyle w:val="BodyText"/>
        <w:spacing w:before="1"/>
        <w:ind w:left="2484" w:right="391" w:hanging="2266"/>
        <w:jc w:val="both"/>
      </w:pPr>
      <w:r>
        <w:rPr>
          <w:b/>
        </w:rPr>
        <w:t>UNE EN ISO 3 822-2:1996 </w:t>
      </w:r>
      <w:r>
        <w:rPr/>
        <w:t>“Acústica. Medición en laboratorio del ruido emitido por la grifería y los equipamientos hidráulicos utilizados en las instalaciones de abastecimiento de agua. Parte 2: Condiciones de montaje y de funcionamiento de las instalacio- nes de abastecimiento de agua y de la grifería. (ISO 3822-2:1995) ”.</w:t>
      </w:r>
    </w:p>
    <w:p>
      <w:pPr>
        <w:pStyle w:val="BodyText"/>
        <w:spacing w:before="11"/>
        <w:rPr>
          <w:sz w:val="19"/>
        </w:rPr>
      </w:pPr>
    </w:p>
    <w:p>
      <w:pPr>
        <w:pStyle w:val="BodyText"/>
        <w:ind w:left="2484" w:right="389" w:hanging="2266"/>
        <w:jc w:val="both"/>
      </w:pPr>
      <w:r>
        <w:rPr>
          <w:b/>
        </w:rPr>
        <w:t>UNE EN ISO 3 822-3:1997 </w:t>
      </w:r>
      <w:r>
        <w:rPr/>
        <w:t>“Acústica. Medición en laboratorio del ruido emitido por la grifería y los equipamientos hidráulicos utilizados en las instalaciones de abastecimiento de agua. Parte 3: Condiciones de montaje y de funcionamiento de las griferías y de los equipamientos hidráulicos en línea. (ISO 3822-3:1997)</w:t>
      </w:r>
      <w:r>
        <w:rPr>
          <w:spacing w:val="-3"/>
        </w:rPr>
        <w:t> </w:t>
      </w:r>
      <w:r>
        <w:rPr/>
        <w:t>”.</w:t>
      </w:r>
    </w:p>
    <w:p>
      <w:pPr>
        <w:pStyle w:val="BodyText"/>
        <w:spacing w:before="11"/>
        <w:rPr>
          <w:sz w:val="19"/>
        </w:rPr>
      </w:pPr>
    </w:p>
    <w:p>
      <w:pPr>
        <w:pStyle w:val="BodyText"/>
        <w:ind w:left="2484" w:right="388" w:hanging="2266"/>
        <w:jc w:val="both"/>
      </w:pPr>
      <w:r>
        <w:rPr>
          <w:b/>
        </w:rPr>
        <w:t>UNE EN ISO 3 822-4:1997 </w:t>
      </w:r>
      <w:r>
        <w:rPr/>
        <w:t>“Acústica. Medición en laboratorio del ruido emitido por la grifería y los equipamientos hidráulicos utilizados en las instalaciones de abastecimiento de agua. Parte 4: Condiciones de montaje y de funcionamiento de los equipamien- tos especiales. (ISO 3822-4:1997) ”.</w:t>
      </w:r>
    </w:p>
    <w:p>
      <w:pPr>
        <w:pStyle w:val="BodyText"/>
        <w:spacing w:before="196"/>
        <w:ind w:left="2484" w:right="388" w:hanging="2266"/>
        <w:jc w:val="both"/>
      </w:pPr>
      <w:r>
        <w:rPr>
          <w:b/>
        </w:rPr>
        <w:t>UNE EN ISO 12 241:1999 </w:t>
      </w:r>
      <w:r>
        <w:rPr/>
        <w:t>“Aislamiento térmico para equipos de edificación e instalaciones  indus- triales. Método de</w:t>
      </w:r>
      <w:r>
        <w:rPr>
          <w:spacing w:val="-2"/>
        </w:rPr>
        <w:t> </w:t>
      </w:r>
      <w:r>
        <w:rPr/>
        <w:t>cálculo”.</w:t>
      </w:r>
    </w:p>
    <w:p>
      <w:pPr>
        <w:pStyle w:val="BodyText"/>
        <w:ind w:left="2484" w:right="393" w:hanging="2266"/>
        <w:jc w:val="both"/>
      </w:pPr>
      <w:r>
        <w:rPr>
          <w:b/>
        </w:rPr>
        <w:t>UNE EN ISO 15874-1:2004 </w:t>
      </w:r>
      <w:r>
        <w:rPr/>
        <w:t>“Sistemas de canalización en materiales plásticos para instalaciones de agua caliente y fría. Polipropileno (PP). Parte 1:</w:t>
      </w:r>
      <w:r>
        <w:rPr>
          <w:spacing w:val="-9"/>
        </w:rPr>
        <w:t> </w:t>
      </w:r>
      <w:r>
        <w:rPr/>
        <w:t>Generalidades”.</w:t>
      </w:r>
    </w:p>
    <w:p>
      <w:pPr>
        <w:pStyle w:val="BodyText"/>
      </w:pPr>
    </w:p>
    <w:p>
      <w:pPr>
        <w:pStyle w:val="BodyText"/>
        <w:ind w:left="2484" w:right="393" w:hanging="2266"/>
        <w:jc w:val="both"/>
      </w:pPr>
      <w:r>
        <w:rPr>
          <w:b/>
        </w:rPr>
        <w:t>UNE EN ISO 15874-2:2004 </w:t>
      </w:r>
      <w:r>
        <w:rPr/>
        <w:t>“Sistemas de canalización en materiales plásticos para instalaciones de agua caliente y fría. Polipropileno (PP). Parte 2:</w:t>
      </w:r>
      <w:r>
        <w:rPr>
          <w:spacing w:val="-10"/>
        </w:rPr>
        <w:t> </w:t>
      </w:r>
      <w:r>
        <w:rPr/>
        <w:t>Tubos”.</w:t>
      </w:r>
    </w:p>
    <w:p>
      <w:pPr>
        <w:pStyle w:val="BodyText"/>
        <w:spacing w:before="2"/>
        <w:rPr>
          <w:sz w:val="25"/>
        </w:rPr>
      </w:pPr>
    </w:p>
    <w:p>
      <w:pPr>
        <w:pStyle w:val="BodyText"/>
        <w:ind w:left="2484" w:right="393" w:hanging="2266"/>
        <w:jc w:val="both"/>
      </w:pPr>
      <w:r>
        <w:rPr>
          <w:b/>
        </w:rPr>
        <w:t>UNE EN ISO 15874-3:2004 </w:t>
      </w:r>
      <w:r>
        <w:rPr/>
        <w:t>“Sistemas de canalización en materiales plásticos para instalaciones de agua caliente y fría. Polipropileno (PP). Parte 3:</w:t>
      </w:r>
      <w:r>
        <w:rPr>
          <w:spacing w:val="-8"/>
        </w:rPr>
        <w:t> </w:t>
      </w:r>
      <w:r>
        <w:rPr/>
        <w:t>Accesorios”.</w:t>
      </w:r>
    </w:p>
    <w:p>
      <w:pPr>
        <w:pStyle w:val="BodyText"/>
        <w:spacing w:before="3"/>
        <w:rPr>
          <w:sz w:val="25"/>
        </w:rPr>
      </w:pPr>
    </w:p>
    <w:p>
      <w:pPr>
        <w:pStyle w:val="BodyText"/>
        <w:ind w:left="2484" w:right="393" w:hanging="2266"/>
        <w:jc w:val="both"/>
      </w:pPr>
      <w:r>
        <w:rPr>
          <w:b/>
        </w:rPr>
        <w:t>UNE EN ISO 15875-1:2004 </w:t>
      </w:r>
      <w:r>
        <w:rPr/>
        <w:t>“Sistemas de canalización en materiales plásticos para instalaciones de agua caliente y fría. Polietileno reticulado (PE-X). Parte 1:</w:t>
      </w:r>
      <w:r>
        <w:rPr>
          <w:spacing w:val="-9"/>
        </w:rPr>
        <w:t> </w:t>
      </w:r>
      <w:r>
        <w:rPr/>
        <w:t>Generalidades”.</w:t>
      </w:r>
    </w:p>
    <w:p>
      <w:pPr>
        <w:pStyle w:val="BodyText"/>
      </w:pPr>
    </w:p>
    <w:p>
      <w:pPr>
        <w:pStyle w:val="BodyText"/>
        <w:ind w:left="2484" w:right="392" w:hanging="2266"/>
        <w:jc w:val="both"/>
      </w:pPr>
      <w:r>
        <w:rPr>
          <w:b/>
        </w:rPr>
        <w:t>UNE EN ISO 15875-2:2004 </w:t>
      </w:r>
      <w:r>
        <w:rPr/>
        <w:t>“Sistemas de canalización en materiales plásticos para instalaciones de agua caliente y fría. Polietileno reticulado (PE-X). Parte 2:</w:t>
      </w:r>
      <w:r>
        <w:rPr>
          <w:spacing w:val="-9"/>
        </w:rPr>
        <w:t> </w:t>
      </w:r>
      <w:r>
        <w:rPr/>
        <w:t>Tubos”.</w:t>
      </w:r>
    </w:p>
    <w:p>
      <w:pPr>
        <w:pStyle w:val="BodyText"/>
      </w:pPr>
    </w:p>
    <w:p>
      <w:pPr>
        <w:pStyle w:val="BodyText"/>
        <w:ind w:left="2484" w:right="393" w:hanging="2266"/>
        <w:jc w:val="both"/>
      </w:pPr>
      <w:r>
        <w:rPr>
          <w:b/>
        </w:rPr>
        <w:t>UNE EN ISO 15875-3:2004 </w:t>
      </w:r>
      <w:r>
        <w:rPr/>
        <w:t>“Sistemas de canalización en materiales plásticos para instalaciones de agua caliente y fría. Polietileno reticulado (PE-X). Parte 3:</w:t>
      </w:r>
      <w:r>
        <w:rPr>
          <w:spacing w:val="-10"/>
        </w:rPr>
        <w:t> </w:t>
      </w:r>
      <w:r>
        <w:rPr/>
        <w:t>Accesorios”.</w:t>
      </w:r>
    </w:p>
    <w:p>
      <w:pPr>
        <w:pStyle w:val="BodyText"/>
      </w:pPr>
    </w:p>
    <w:p>
      <w:pPr>
        <w:pStyle w:val="BodyText"/>
        <w:spacing w:before="1"/>
        <w:ind w:left="2484" w:right="393" w:hanging="2266"/>
        <w:jc w:val="both"/>
      </w:pPr>
      <w:r>
        <w:rPr>
          <w:b/>
        </w:rPr>
        <w:t>UNE EN ISO 15876-1:2004 </w:t>
      </w:r>
      <w:r>
        <w:rPr/>
        <w:t>“Sistemas de canalización en materiales plásticos para instalaciones de agua caliente y fría. Polibutileno (PB). Parte 1:</w:t>
      </w:r>
      <w:r>
        <w:rPr>
          <w:spacing w:val="-8"/>
        </w:rPr>
        <w:t> </w:t>
      </w:r>
      <w:r>
        <w:rPr/>
        <w:t>Generalidades”.</w:t>
      </w:r>
    </w:p>
    <w:p>
      <w:pPr>
        <w:pStyle w:val="BodyText"/>
        <w:spacing w:before="11"/>
        <w:rPr>
          <w:sz w:val="19"/>
        </w:rPr>
      </w:pPr>
    </w:p>
    <w:p>
      <w:pPr>
        <w:pStyle w:val="BodyText"/>
        <w:ind w:left="2484" w:right="393" w:hanging="2266"/>
        <w:jc w:val="both"/>
      </w:pPr>
      <w:r>
        <w:rPr>
          <w:b/>
        </w:rPr>
        <w:t>UNE EN ISO 15876-2:2004 </w:t>
      </w:r>
      <w:r>
        <w:rPr/>
        <w:t>“Sistemas de canalización de materiales plásticos para instalaciones de agua caliente y fría. Polibutileno (PB). Parte 2:</w:t>
      </w:r>
      <w:r>
        <w:rPr>
          <w:spacing w:val="-8"/>
        </w:rPr>
        <w:t> </w:t>
      </w:r>
      <w:r>
        <w:rPr/>
        <w:t>Tubos”.</w:t>
      </w:r>
    </w:p>
    <w:p>
      <w:pPr>
        <w:pStyle w:val="BodyText"/>
      </w:pPr>
    </w:p>
    <w:p>
      <w:pPr>
        <w:pStyle w:val="BodyText"/>
        <w:ind w:left="2484" w:right="393" w:hanging="2266"/>
        <w:jc w:val="both"/>
      </w:pPr>
      <w:r>
        <w:rPr>
          <w:b/>
        </w:rPr>
        <w:t>UNE EN ISO 15876-3:2004 </w:t>
      </w:r>
      <w:r>
        <w:rPr/>
        <w:t>“Sistemas de canalización de materiales plásticos para instalaciones de agua caliente y fría. Polibutileno (PB). Parte 3:</w:t>
      </w:r>
      <w:r>
        <w:rPr>
          <w:spacing w:val="-9"/>
        </w:rPr>
        <w:t> </w:t>
      </w:r>
      <w:r>
        <w:rPr/>
        <w:t>Accesorios“.</w:t>
      </w:r>
    </w:p>
    <w:p>
      <w:pPr>
        <w:pStyle w:val="BodyText"/>
      </w:pPr>
    </w:p>
    <w:p>
      <w:pPr>
        <w:pStyle w:val="BodyText"/>
        <w:tabs>
          <w:tab w:pos="3054" w:val="left" w:leader="none"/>
        </w:tabs>
        <w:ind w:left="2486" w:right="398" w:hanging="2269"/>
      </w:pPr>
      <w:r>
        <w:rPr>
          <w:b/>
        </w:rPr>
        <w:t>UNE EN</w:t>
      </w:r>
      <w:r>
        <w:rPr>
          <w:b/>
          <w:spacing w:val="-1"/>
        </w:rPr>
        <w:t> </w:t>
      </w:r>
      <w:r>
        <w:rPr>
          <w:b/>
        </w:rPr>
        <w:t>ISO</w:t>
      </w:r>
      <w:r>
        <w:rPr>
          <w:b/>
          <w:spacing w:val="-2"/>
        </w:rPr>
        <w:t> </w:t>
      </w:r>
      <w:r>
        <w:rPr>
          <w:b/>
        </w:rPr>
        <w:t>15877-1:2004</w:t>
        <w:tab/>
      </w:r>
      <w:r>
        <w:rPr/>
        <w:t>“Sistemas de canalización en materiales plásticos para instalaciones de agua caliente y fría. Poli(cloruro de vinilo) clorado (PVC-C). Parte 1: Generalidades”.</w:t>
      </w:r>
    </w:p>
    <w:p>
      <w:pPr>
        <w:pStyle w:val="BodyText"/>
      </w:pPr>
    </w:p>
    <w:p>
      <w:pPr>
        <w:pStyle w:val="BodyText"/>
        <w:ind w:left="2486" w:right="727" w:hanging="2269"/>
      </w:pPr>
      <w:r>
        <w:rPr>
          <w:b/>
        </w:rPr>
        <w:t>UNE EN ISO 15877-2:2004 </w:t>
      </w:r>
      <w:r>
        <w:rPr/>
        <w:t>“Sistemas de canalización en materiales plásticos para instalaciones de agua caliente y fría. Poli(cloruro de vinilo) clorado (PVC-C). Parte 2: Tubos.”</w:t>
      </w:r>
    </w:p>
    <w:p>
      <w:pPr>
        <w:pStyle w:val="BodyText"/>
      </w:pPr>
    </w:p>
    <w:p>
      <w:pPr>
        <w:pStyle w:val="BodyText"/>
        <w:ind w:left="2486" w:right="861" w:hanging="2269"/>
      </w:pPr>
      <w:r>
        <w:rPr>
          <w:b/>
        </w:rPr>
        <w:t>UNE EN ISO 15877-3:2004 </w:t>
      </w:r>
      <w:r>
        <w:rPr/>
        <w:t>“Sistemas de canalización en materiales plásticos para instalaciones de agua caliente y fría. Poli(cloruro de vinilo) clorado (PVC-C). Parte 3: Accesorios”</w:t>
      </w:r>
    </w:p>
    <w:p>
      <w:pPr>
        <w:spacing w:after="0"/>
        <w:sectPr>
          <w:footerReference w:type="default" r:id="rId146"/>
          <w:pgSz w:w="11910" w:h="16840"/>
          <w:pgMar w:footer="642" w:header="908" w:top="1320" w:bottom="840" w:left="1200" w:right="740"/>
          <w:pgNumType w:start="121"/>
        </w:sectPr>
      </w:pPr>
    </w:p>
    <w:p>
      <w:pPr>
        <w:pStyle w:val="BodyText"/>
        <w:tabs>
          <w:tab w:pos="2486" w:val="left" w:leader="none"/>
        </w:tabs>
        <w:spacing w:before="91"/>
        <w:ind w:left="218"/>
      </w:pPr>
      <w:r>
        <w:rPr>
          <w:b/>
        </w:rPr>
        <w:t>UNE</w:t>
      </w:r>
      <w:r>
        <w:rPr>
          <w:b/>
          <w:spacing w:val="-2"/>
        </w:rPr>
        <w:t> </w:t>
      </w:r>
      <w:r>
        <w:rPr>
          <w:b/>
        </w:rPr>
        <w:t>19 040:1993</w:t>
        <w:tab/>
      </w:r>
      <w:r>
        <w:rPr/>
        <w:t>“Tubos roscables de acero de uso general. Medidas y masas. Serie</w:t>
      </w:r>
      <w:r>
        <w:rPr>
          <w:spacing w:val="-8"/>
        </w:rPr>
        <w:t> </w:t>
      </w:r>
      <w:r>
        <w:rPr/>
        <w:t>normal”.</w:t>
      </w:r>
    </w:p>
    <w:p>
      <w:pPr>
        <w:pStyle w:val="BodyText"/>
      </w:pPr>
    </w:p>
    <w:p>
      <w:pPr>
        <w:pStyle w:val="BodyText"/>
        <w:tabs>
          <w:tab w:pos="2486" w:val="left" w:leader="none"/>
        </w:tabs>
        <w:ind w:left="218"/>
      </w:pPr>
      <w:r>
        <w:rPr>
          <w:b/>
        </w:rPr>
        <w:t>UNE</w:t>
      </w:r>
      <w:r>
        <w:rPr>
          <w:b/>
          <w:spacing w:val="-2"/>
        </w:rPr>
        <w:t> </w:t>
      </w:r>
      <w:r>
        <w:rPr>
          <w:b/>
        </w:rPr>
        <w:t>19 041:1993</w:t>
        <w:tab/>
      </w:r>
      <w:r>
        <w:rPr/>
        <w:t>“Tubos roscables de acero de uso general. Medidas y masas. Serie</w:t>
      </w:r>
      <w:r>
        <w:rPr>
          <w:spacing w:val="-8"/>
        </w:rPr>
        <w:t> </w:t>
      </w:r>
      <w:r>
        <w:rPr/>
        <w:t>reforzada”.</w:t>
      </w:r>
    </w:p>
    <w:p>
      <w:pPr>
        <w:pStyle w:val="BodyText"/>
        <w:spacing w:before="11"/>
        <w:rPr>
          <w:sz w:val="19"/>
        </w:rPr>
      </w:pPr>
    </w:p>
    <w:p>
      <w:pPr>
        <w:pStyle w:val="BodyText"/>
        <w:tabs>
          <w:tab w:pos="2484" w:val="left" w:leader="none"/>
        </w:tabs>
        <w:ind w:left="2484" w:right="394" w:hanging="2266"/>
        <w:jc w:val="both"/>
      </w:pPr>
      <w:r>
        <w:rPr>
          <w:b/>
        </w:rPr>
        <w:t>UNE</w:t>
      </w:r>
      <w:r>
        <w:rPr>
          <w:b/>
          <w:spacing w:val="-2"/>
        </w:rPr>
        <w:t> </w:t>
      </w:r>
      <w:r>
        <w:rPr>
          <w:b/>
        </w:rPr>
        <w:t>19 047:1996</w:t>
        <w:tab/>
      </w:r>
      <w:r>
        <w:rPr/>
        <w:t>“Tubos de acero soldados y galvanizados para instalaciones interiores de agua fría y</w:t>
      </w:r>
      <w:r>
        <w:rPr>
          <w:spacing w:val="-3"/>
        </w:rPr>
        <w:t> </w:t>
      </w:r>
      <w:r>
        <w:rPr/>
        <w:t>caliente”.</w:t>
      </w:r>
    </w:p>
    <w:p>
      <w:pPr>
        <w:pStyle w:val="BodyText"/>
      </w:pPr>
    </w:p>
    <w:p>
      <w:pPr>
        <w:pStyle w:val="BodyText"/>
        <w:tabs>
          <w:tab w:pos="2484" w:val="left" w:leader="none"/>
        </w:tabs>
        <w:ind w:left="218"/>
      </w:pPr>
      <w:r>
        <w:rPr>
          <w:b/>
        </w:rPr>
        <w:t>UNE</w:t>
      </w:r>
      <w:r>
        <w:rPr>
          <w:b/>
          <w:spacing w:val="-2"/>
        </w:rPr>
        <w:t> </w:t>
      </w:r>
      <w:r>
        <w:rPr>
          <w:b/>
        </w:rPr>
        <w:t>19 049-1:1997</w:t>
        <w:tab/>
      </w:r>
      <w:r>
        <w:rPr/>
        <w:t>“Tubos de acero inoxidable para instalaciones interiores de agua fría y</w:t>
      </w:r>
      <w:r>
        <w:rPr>
          <w:spacing w:val="37"/>
        </w:rPr>
        <w:t> </w:t>
      </w:r>
      <w:r>
        <w:rPr/>
        <w:t>caliente.</w:t>
      </w:r>
    </w:p>
    <w:p>
      <w:pPr>
        <w:pStyle w:val="BodyText"/>
        <w:spacing w:before="1"/>
        <w:ind w:left="2484"/>
      </w:pPr>
      <w:r>
        <w:rPr/>
        <w:t>Parte 1: Tubos”.</w:t>
      </w:r>
    </w:p>
    <w:p>
      <w:pPr>
        <w:pStyle w:val="BodyText"/>
        <w:spacing w:before="11"/>
        <w:rPr>
          <w:sz w:val="19"/>
        </w:rPr>
      </w:pPr>
    </w:p>
    <w:p>
      <w:pPr>
        <w:tabs>
          <w:tab w:pos="2486" w:val="left" w:leader="none"/>
        </w:tabs>
        <w:spacing w:before="0"/>
        <w:ind w:left="218" w:right="0" w:firstLine="0"/>
        <w:jc w:val="left"/>
        <w:rPr>
          <w:sz w:val="20"/>
        </w:rPr>
      </w:pPr>
      <w:r>
        <w:rPr>
          <w:b/>
          <w:sz w:val="20"/>
        </w:rPr>
        <w:t>UNE</w:t>
      </w:r>
      <w:r>
        <w:rPr>
          <w:b/>
          <w:spacing w:val="-2"/>
          <w:sz w:val="20"/>
        </w:rPr>
        <w:t> </w:t>
      </w:r>
      <w:r>
        <w:rPr>
          <w:b/>
          <w:sz w:val="20"/>
        </w:rPr>
        <w:t>19 702:2002</w:t>
        <w:tab/>
      </w:r>
      <w:r>
        <w:rPr>
          <w:sz w:val="20"/>
        </w:rPr>
        <w:t>“Grifería sanitaria de alimentación.</w:t>
      </w:r>
      <w:r>
        <w:rPr>
          <w:spacing w:val="-3"/>
          <w:sz w:val="20"/>
        </w:rPr>
        <w:t> </w:t>
      </w:r>
      <w:r>
        <w:rPr>
          <w:sz w:val="20"/>
        </w:rPr>
        <w:t>Terminología“.</w:t>
      </w:r>
    </w:p>
    <w:p>
      <w:pPr>
        <w:pStyle w:val="BodyText"/>
        <w:spacing w:before="11"/>
        <w:rPr>
          <w:sz w:val="19"/>
        </w:rPr>
      </w:pPr>
    </w:p>
    <w:p>
      <w:pPr>
        <w:tabs>
          <w:tab w:pos="2486" w:val="left" w:leader="none"/>
        </w:tabs>
        <w:spacing w:before="0"/>
        <w:ind w:left="218" w:right="0" w:firstLine="0"/>
        <w:jc w:val="left"/>
        <w:rPr>
          <w:sz w:val="20"/>
        </w:rPr>
      </w:pPr>
      <w:r>
        <w:rPr>
          <w:b/>
          <w:sz w:val="20"/>
        </w:rPr>
        <w:t>UNE</w:t>
      </w:r>
      <w:r>
        <w:rPr>
          <w:b/>
          <w:spacing w:val="-2"/>
          <w:sz w:val="20"/>
        </w:rPr>
        <w:t> </w:t>
      </w:r>
      <w:r>
        <w:rPr>
          <w:b/>
          <w:sz w:val="20"/>
        </w:rPr>
        <w:t>19 703:2003</w:t>
        <w:tab/>
      </w:r>
      <w:r>
        <w:rPr>
          <w:sz w:val="20"/>
        </w:rPr>
        <w:t>“Grifería sanitaria. Especificaciones</w:t>
      </w:r>
      <w:r>
        <w:rPr>
          <w:spacing w:val="-2"/>
          <w:sz w:val="20"/>
        </w:rPr>
        <w:t> </w:t>
      </w:r>
      <w:r>
        <w:rPr>
          <w:sz w:val="20"/>
        </w:rPr>
        <w:t>técnicas“.</w:t>
      </w:r>
    </w:p>
    <w:p>
      <w:pPr>
        <w:pStyle w:val="BodyText"/>
        <w:spacing w:before="1"/>
      </w:pPr>
    </w:p>
    <w:p>
      <w:pPr>
        <w:pStyle w:val="BodyText"/>
        <w:tabs>
          <w:tab w:pos="2484" w:val="left" w:leader="none"/>
        </w:tabs>
        <w:ind w:left="2484" w:right="392" w:hanging="2266"/>
        <w:jc w:val="both"/>
      </w:pPr>
      <w:r>
        <w:rPr>
          <w:b/>
        </w:rPr>
        <w:t>UNE</w:t>
      </w:r>
      <w:r>
        <w:rPr>
          <w:b/>
          <w:spacing w:val="-2"/>
        </w:rPr>
        <w:t> </w:t>
      </w:r>
      <w:r>
        <w:rPr>
          <w:b/>
        </w:rPr>
        <w:t>19 707:1991</w:t>
        <w:tab/>
      </w:r>
      <w:r>
        <w:rPr/>
        <w:t>“Grifería sanitaria. Especificaciones técnicas generales para grifos simples </w:t>
      </w:r>
      <w:r>
        <w:rPr>
          <w:spacing w:val="-12"/>
        </w:rPr>
        <w:t>y </w:t>
      </w:r>
      <w:r>
        <w:rPr/>
        <w:t>mezcladores (dimensión nominal 1/2). PN 10. Presión dinámica mínima de 0,05 Mpa (0,5 bar)</w:t>
      </w:r>
      <w:r>
        <w:rPr>
          <w:spacing w:val="-2"/>
        </w:rPr>
        <w:t> </w:t>
      </w:r>
      <w:r>
        <w:rPr/>
        <w:t>”.</w:t>
      </w:r>
    </w:p>
    <w:p>
      <w:pPr>
        <w:pStyle w:val="BodyText"/>
        <w:spacing w:before="10"/>
        <w:rPr>
          <w:sz w:val="19"/>
        </w:rPr>
      </w:pPr>
    </w:p>
    <w:p>
      <w:pPr>
        <w:pStyle w:val="BodyText"/>
        <w:tabs>
          <w:tab w:pos="2484" w:val="left" w:leader="none"/>
        </w:tabs>
        <w:spacing w:before="1"/>
        <w:ind w:left="2484" w:right="391" w:hanging="2266"/>
        <w:jc w:val="both"/>
      </w:pPr>
      <w:r>
        <w:rPr>
          <w:b/>
        </w:rPr>
        <w:t>UNE</w:t>
      </w:r>
      <w:r>
        <w:rPr>
          <w:b/>
          <w:spacing w:val="-2"/>
        </w:rPr>
        <w:t> </w:t>
      </w:r>
      <w:r>
        <w:rPr>
          <w:b/>
        </w:rPr>
        <w:t>53 131:1990</w:t>
        <w:tab/>
      </w:r>
      <w:r>
        <w:rPr/>
        <w:t>“Plásticos. Tubos de polietileno para conducciones de agua a presión. Caracte- rísticas y métodos de</w:t>
      </w:r>
      <w:r>
        <w:rPr>
          <w:spacing w:val="-3"/>
        </w:rPr>
        <w:t> </w:t>
      </w:r>
      <w:r>
        <w:rPr/>
        <w:t>ensayo”.</w:t>
      </w:r>
    </w:p>
    <w:p>
      <w:pPr>
        <w:pStyle w:val="BodyText"/>
        <w:spacing w:before="11"/>
        <w:rPr>
          <w:sz w:val="19"/>
        </w:rPr>
      </w:pPr>
    </w:p>
    <w:p>
      <w:pPr>
        <w:pStyle w:val="BodyText"/>
        <w:ind w:left="2484" w:right="393" w:hanging="2266"/>
        <w:jc w:val="both"/>
      </w:pPr>
      <w:r>
        <w:rPr>
          <w:b/>
        </w:rPr>
        <w:t>UNE 53 323:2001 EX </w:t>
      </w:r>
      <w:r>
        <w:rPr/>
        <w:t>“Sistemas de canalización enterrados de materiales plásticos para aplicaciones con y sin presión. Plásticos termoestables reforzados con fibra de vidrio (PRFV) basados en resinas de poliéster insaturado (UP) ”.</w:t>
      </w:r>
    </w:p>
    <w:p>
      <w:pPr>
        <w:pStyle w:val="BodyText"/>
      </w:pPr>
    </w:p>
    <w:p>
      <w:pPr>
        <w:tabs>
          <w:tab w:pos="2486" w:val="left" w:leader="none"/>
        </w:tabs>
        <w:spacing w:before="1"/>
        <w:ind w:left="218" w:right="0" w:firstLine="0"/>
        <w:jc w:val="left"/>
        <w:rPr>
          <w:sz w:val="20"/>
        </w:rPr>
      </w:pPr>
      <w:r>
        <w:rPr>
          <w:b/>
          <w:sz w:val="20"/>
        </w:rPr>
        <w:t>UNE</w:t>
      </w:r>
      <w:r>
        <w:rPr>
          <w:b/>
          <w:spacing w:val="-2"/>
          <w:sz w:val="20"/>
        </w:rPr>
        <w:t> </w:t>
      </w:r>
      <w:r>
        <w:rPr>
          <w:b/>
          <w:sz w:val="20"/>
        </w:rPr>
        <w:t>100 151:1988</w:t>
        <w:tab/>
      </w:r>
      <w:r>
        <w:rPr>
          <w:sz w:val="20"/>
        </w:rPr>
        <w:t>“Climatización. Pruebas de estanquidad de redes de</w:t>
      </w:r>
      <w:r>
        <w:rPr>
          <w:spacing w:val="-2"/>
          <w:sz w:val="20"/>
        </w:rPr>
        <w:t> </w:t>
      </w:r>
      <w:r>
        <w:rPr>
          <w:sz w:val="20"/>
        </w:rPr>
        <w:t>tuberías”.</w:t>
      </w:r>
    </w:p>
    <w:p>
      <w:pPr>
        <w:pStyle w:val="BodyText"/>
        <w:spacing w:before="11"/>
        <w:rPr>
          <w:sz w:val="19"/>
        </w:rPr>
      </w:pPr>
    </w:p>
    <w:p>
      <w:pPr>
        <w:tabs>
          <w:tab w:pos="2486" w:val="left" w:leader="none"/>
        </w:tabs>
        <w:spacing w:before="0"/>
        <w:ind w:left="218" w:right="0" w:firstLine="0"/>
        <w:jc w:val="left"/>
        <w:rPr>
          <w:sz w:val="20"/>
        </w:rPr>
      </w:pPr>
      <w:r>
        <w:rPr>
          <w:b/>
          <w:sz w:val="20"/>
        </w:rPr>
        <w:t>UNE</w:t>
      </w:r>
      <w:r>
        <w:rPr>
          <w:b/>
          <w:spacing w:val="-2"/>
          <w:sz w:val="20"/>
        </w:rPr>
        <w:t> </w:t>
      </w:r>
      <w:r>
        <w:rPr>
          <w:b/>
          <w:sz w:val="20"/>
        </w:rPr>
        <w:t>100 156:1989</w:t>
        <w:tab/>
      </w:r>
      <w:r>
        <w:rPr>
          <w:sz w:val="20"/>
        </w:rPr>
        <w:t>“Climatización. Dilatadores. Criterios de</w:t>
      </w:r>
      <w:r>
        <w:rPr>
          <w:spacing w:val="-2"/>
          <w:sz w:val="20"/>
        </w:rPr>
        <w:t> </w:t>
      </w:r>
      <w:r>
        <w:rPr>
          <w:sz w:val="20"/>
        </w:rPr>
        <w:t>diseño”.</w:t>
      </w:r>
    </w:p>
    <w:p>
      <w:pPr>
        <w:pStyle w:val="BodyText"/>
        <w:spacing w:before="1"/>
      </w:pPr>
    </w:p>
    <w:p>
      <w:pPr>
        <w:tabs>
          <w:tab w:pos="2486" w:val="left" w:leader="none"/>
        </w:tabs>
        <w:spacing w:before="0"/>
        <w:ind w:left="218" w:right="0" w:firstLine="0"/>
        <w:jc w:val="left"/>
        <w:rPr>
          <w:sz w:val="20"/>
        </w:rPr>
      </w:pPr>
      <w:r>
        <w:rPr>
          <w:b/>
          <w:sz w:val="20"/>
        </w:rPr>
        <w:t>UNE 100</w:t>
      </w:r>
      <w:r>
        <w:rPr>
          <w:b/>
          <w:spacing w:val="-2"/>
          <w:sz w:val="20"/>
        </w:rPr>
        <w:t> </w:t>
      </w:r>
      <w:r>
        <w:rPr>
          <w:b/>
          <w:sz w:val="20"/>
        </w:rPr>
        <w:t>171:1989 IN</w:t>
        <w:tab/>
      </w:r>
      <w:r>
        <w:rPr>
          <w:sz w:val="20"/>
        </w:rPr>
        <w:t>“Climatización. Aislamiento térmico. Materiales y</w:t>
      </w:r>
      <w:r>
        <w:rPr>
          <w:spacing w:val="-4"/>
          <w:sz w:val="20"/>
        </w:rPr>
        <w:t> </w:t>
      </w:r>
      <w:r>
        <w:rPr>
          <w:sz w:val="20"/>
        </w:rPr>
        <w:t>colocación”.</w:t>
      </w:r>
    </w:p>
    <w:p>
      <w:pPr>
        <w:spacing w:after="0"/>
        <w:jc w:val="left"/>
        <w:rPr>
          <w:sz w:val="20"/>
        </w:rPr>
        <w:sectPr>
          <w:pgSz w:w="11910" w:h="16840"/>
          <w:pgMar w:header="908" w:footer="642" w:top="1320" w:bottom="840" w:left="1200" w:right="740"/>
        </w:sectPr>
      </w:pPr>
    </w:p>
    <w:p>
      <w:pPr>
        <w:pStyle w:val="BodyText"/>
      </w:pPr>
    </w:p>
    <w:p>
      <w:pPr>
        <w:pStyle w:val="BodyText"/>
        <w:spacing w:before="11"/>
        <w:rPr>
          <w:sz w:val="21"/>
        </w:rPr>
      </w:pPr>
    </w:p>
    <w:p>
      <w:pPr>
        <w:pStyle w:val="Heading2"/>
        <w:spacing w:before="90"/>
      </w:pPr>
      <w:r>
        <w:rPr/>
        <w:t>Apéndice D. Simbología</w:t>
      </w:r>
    </w:p>
    <w:p>
      <w:pPr>
        <w:pStyle w:val="BodyText"/>
        <w:rPr>
          <w:b/>
        </w:rPr>
      </w:pPr>
    </w:p>
    <w:p>
      <w:pPr>
        <w:pStyle w:val="BodyText"/>
        <w:rPr>
          <w:b/>
          <w:sz w:val="12"/>
        </w:rPr>
      </w:pPr>
      <w:r>
        <w:rPr/>
        <w:drawing>
          <wp:anchor distT="0" distB="0" distL="0" distR="0" allowOverlap="1" layoutInCell="1" locked="0" behindDoc="0" simplePos="0" relativeHeight="333">
            <wp:simplePos x="0" y="0"/>
            <wp:positionH relativeFrom="page">
              <wp:posOffset>1287981</wp:posOffset>
            </wp:positionH>
            <wp:positionV relativeFrom="paragraph">
              <wp:posOffset>112511</wp:posOffset>
            </wp:positionV>
            <wp:extent cx="2544606" cy="6226111"/>
            <wp:effectExtent l="0" t="0" r="0" b="0"/>
            <wp:wrapTopAndBottom/>
            <wp:docPr id="77" name="image134.png"/>
            <wp:cNvGraphicFramePr>
              <a:graphicFrameLocks noChangeAspect="1"/>
            </wp:cNvGraphicFramePr>
            <a:graphic>
              <a:graphicData uri="http://schemas.openxmlformats.org/drawingml/2006/picture">
                <pic:pic>
                  <pic:nvPicPr>
                    <pic:cNvPr id="78" name="image134.png"/>
                    <pic:cNvPicPr/>
                  </pic:nvPicPr>
                  <pic:blipFill>
                    <a:blip r:embed="rId147" cstate="print"/>
                    <a:stretch>
                      <a:fillRect/>
                    </a:stretch>
                  </pic:blipFill>
                  <pic:spPr>
                    <a:xfrm>
                      <a:off x="0" y="0"/>
                      <a:ext cx="2544606" cy="6226111"/>
                    </a:xfrm>
                    <a:prstGeom prst="rect">
                      <a:avLst/>
                    </a:prstGeom>
                  </pic:spPr>
                </pic:pic>
              </a:graphicData>
            </a:graphic>
          </wp:anchor>
        </w:drawing>
      </w:r>
      <w:r>
        <w:rPr/>
        <w:drawing>
          <wp:anchor distT="0" distB="0" distL="0" distR="0" allowOverlap="1" layoutInCell="1" locked="0" behindDoc="0" simplePos="0" relativeHeight="334">
            <wp:simplePos x="0" y="0"/>
            <wp:positionH relativeFrom="page">
              <wp:posOffset>3965325</wp:posOffset>
            </wp:positionH>
            <wp:positionV relativeFrom="paragraph">
              <wp:posOffset>112511</wp:posOffset>
            </wp:positionV>
            <wp:extent cx="2547459" cy="6226111"/>
            <wp:effectExtent l="0" t="0" r="0" b="0"/>
            <wp:wrapTopAndBottom/>
            <wp:docPr id="79" name="image135.png"/>
            <wp:cNvGraphicFramePr>
              <a:graphicFrameLocks noChangeAspect="1"/>
            </wp:cNvGraphicFramePr>
            <a:graphic>
              <a:graphicData uri="http://schemas.openxmlformats.org/drawingml/2006/picture">
                <pic:pic>
                  <pic:nvPicPr>
                    <pic:cNvPr id="80" name="image135.png"/>
                    <pic:cNvPicPr/>
                  </pic:nvPicPr>
                  <pic:blipFill>
                    <a:blip r:embed="rId148" cstate="print"/>
                    <a:stretch>
                      <a:fillRect/>
                    </a:stretch>
                  </pic:blipFill>
                  <pic:spPr>
                    <a:xfrm>
                      <a:off x="0" y="0"/>
                      <a:ext cx="2547459" cy="6226111"/>
                    </a:xfrm>
                    <a:prstGeom prst="rect">
                      <a:avLst/>
                    </a:prstGeom>
                  </pic:spPr>
                </pic:pic>
              </a:graphicData>
            </a:graphic>
          </wp:anchor>
        </w:drawing>
      </w:r>
    </w:p>
    <w:p>
      <w:pPr>
        <w:spacing w:after="0"/>
        <w:rPr>
          <w:sz w:val="12"/>
        </w:rPr>
        <w:sectPr>
          <w:pgSz w:w="11910" w:h="16840"/>
          <w:pgMar w:header="908" w:footer="642" w:top="1320" w:bottom="840" w:left="1200" w:right="740"/>
        </w:sectPr>
      </w:pPr>
    </w:p>
    <w:p>
      <w:pPr>
        <w:spacing w:before="93"/>
        <w:ind w:left="218" w:right="6111" w:firstLine="0"/>
        <w:jc w:val="left"/>
        <w:rPr>
          <w:b/>
          <w:sz w:val="32"/>
        </w:rPr>
      </w:pPr>
      <w:bookmarkStart w:name="DB HS5 2017 con comentarios jun 2018" w:id="5"/>
      <w:bookmarkEnd w:id="5"/>
      <w:r>
        <w:rPr/>
      </w:r>
      <w:r>
        <w:rPr>
          <w:b/>
          <w:sz w:val="32"/>
        </w:rPr>
        <w:t>Sección HS 5 Evacuación de</w:t>
      </w:r>
      <w:r>
        <w:rPr>
          <w:b/>
          <w:spacing w:val="1"/>
          <w:sz w:val="32"/>
        </w:rPr>
        <w:t> </w:t>
      </w:r>
      <w:r>
        <w:rPr>
          <w:b/>
          <w:spacing w:val="-4"/>
          <w:sz w:val="32"/>
        </w:rPr>
        <w:t>aguas</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8"/>
        <w:rPr>
          <w:b/>
          <w:sz w:val="53"/>
        </w:rPr>
      </w:pPr>
    </w:p>
    <w:p>
      <w:pPr>
        <w:pStyle w:val="ListParagraph"/>
        <w:numPr>
          <w:ilvl w:val="0"/>
          <w:numId w:val="225"/>
        </w:numPr>
        <w:tabs>
          <w:tab w:pos="786" w:val="left" w:leader="none"/>
          <w:tab w:pos="787" w:val="left" w:leader="none"/>
        </w:tabs>
        <w:spacing w:line="240" w:lineRule="auto" w:before="1" w:after="0"/>
        <w:ind w:left="786" w:right="0" w:hanging="569"/>
        <w:jc w:val="left"/>
        <w:rPr>
          <w:b/>
          <w:sz w:val="28"/>
        </w:rPr>
      </w:pPr>
      <w:r>
        <w:rPr>
          <w:b/>
          <w:sz w:val="28"/>
        </w:rPr>
        <w:t>Generalidades</w:t>
      </w:r>
    </w:p>
    <w:p>
      <w:pPr>
        <w:pStyle w:val="BodyText"/>
        <w:spacing w:before="3"/>
        <w:rPr>
          <w:b/>
          <w:sz w:val="24"/>
        </w:rPr>
      </w:pPr>
    </w:p>
    <w:p>
      <w:pPr>
        <w:pStyle w:val="Heading3"/>
        <w:numPr>
          <w:ilvl w:val="1"/>
          <w:numId w:val="225"/>
        </w:numPr>
        <w:tabs>
          <w:tab w:pos="786" w:val="left" w:leader="none"/>
          <w:tab w:pos="787" w:val="left" w:leader="none"/>
        </w:tabs>
        <w:spacing w:line="240" w:lineRule="auto" w:before="0" w:after="0"/>
        <w:ind w:left="786" w:right="0" w:hanging="569"/>
        <w:jc w:val="left"/>
      </w:pPr>
      <w:r>
        <w:rPr/>
        <w:t>Ámbito de</w:t>
      </w:r>
      <w:r>
        <w:rPr>
          <w:spacing w:val="-1"/>
        </w:rPr>
        <w:t> </w:t>
      </w:r>
      <w:r>
        <w:rPr/>
        <w:t>aplicación</w:t>
      </w:r>
    </w:p>
    <w:p>
      <w:pPr>
        <w:pStyle w:val="BodyText"/>
        <w:tabs>
          <w:tab w:pos="672" w:val="left" w:leader="none"/>
        </w:tabs>
        <w:spacing w:before="99"/>
        <w:ind w:left="672" w:right="552" w:hanging="454"/>
      </w:pPr>
      <w:r>
        <w:rPr/>
        <w:t>1</w:t>
        <w:tab/>
        <w:t>Esta Sección se aplica a la instalación de evacuación de </w:t>
      </w:r>
      <w:r>
        <w:rPr>
          <w:i/>
        </w:rPr>
        <w:t>aguas residuales </w:t>
      </w:r>
      <w:r>
        <w:rPr/>
        <w:t>y </w:t>
      </w:r>
      <w:r>
        <w:rPr>
          <w:i/>
        </w:rPr>
        <w:t>pluviales </w:t>
      </w:r>
      <w:r>
        <w:rPr/>
        <w:t>en los edifi- cios incluidos en el ámbito de aplicación general del CTE. Las ampliaciones, modificaciones, refor- mas o rehabilitaciones de las instalaciones existentes se consideran incluidas cuando se amplía el número o la capacidad de los aparatos receptores existentes en la</w:t>
      </w:r>
      <w:r>
        <w:rPr>
          <w:spacing w:val="-5"/>
        </w:rPr>
        <w:t> </w:t>
      </w:r>
      <w:r>
        <w:rPr/>
        <w:t>instalación.</w:t>
      </w:r>
    </w:p>
    <w:p>
      <w:pPr>
        <w:pStyle w:val="BodyText"/>
        <w:spacing w:before="5"/>
        <w:rPr>
          <w:sz w:val="24"/>
        </w:rPr>
      </w:pPr>
    </w:p>
    <w:p>
      <w:pPr>
        <w:pStyle w:val="Heading3"/>
        <w:numPr>
          <w:ilvl w:val="1"/>
          <w:numId w:val="225"/>
        </w:numPr>
        <w:tabs>
          <w:tab w:pos="786" w:val="left" w:leader="none"/>
          <w:tab w:pos="787" w:val="left" w:leader="none"/>
        </w:tabs>
        <w:spacing w:line="240" w:lineRule="auto" w:before="0" w:after="0"/>
        <w:ind w:left="786" w:right="0" w:hanging="569"/>
        <w:jc w:val="left"/>
      </w:pPr>
      <w:r>
        <w:rPr/>
        <w:t>Procedimiento de</w:t>
      </w:r>
      <w:r>
        <w:rPr>
          <w:spacing w:val="-1"/>
        </w:rPr>
        <w:t> </w:t>
      </w:r>
      <w:r>
        <w:rPr/>
        <w:t>verificación</w:t>
      </w:r>
    </w:p>
    <w:p>
      <w:pPr>
        <w:pStyle w:val="ListParagraph"/>
        <w:numPr>
          <w:ilvl w:val="0"/>
          <w:numId w:val="226"/>
        </w:numPr>
        <w:tabs>
          <w:tab w:pos="672" w:val="left" w:leader="none"/>
          <w:tab w:pos="673" w:val="left" w:leader="none"/>
        </w:tabs>
        <w:spacing w:line="240" w:lineRule="auto" w:before="99" w:after="0"/>
        <w:ind w:left="672" w:right="708" w:hanging="454"/>
        <w:jc w:val="left"/>
        <w:rPr>
          <w:sz w:val="20"/>
        </w:rPr>
      </w:pPr>
      <w:r>
        <w:rPr>
          <w:sz w:val="20"/>
        </w:rPr>
        <w:t>Para la aplicación de esta sección debe seguirse la secuencia de verificaciones que se expone a continuación.</w:t>
      </w:r>
    </w:p>
    <w:p>
      <w:pPr>
        <w:pStyle w:val="ListParagraph"/>
        <w:numPr>
          <w:ilvl w:val="1"/>
          <w:numId w:val="226"/>
        </w:numPr>
        <w:tabs>
          <w:tab w:pos="1125" w:val="left" w:leader="none"/>
          <w:tab w:pos="1126" w:val="left" w:leader="none"/>
        </w:tabs>
        <w:spacing w:line="240" w:lineRule="auto" w:before="59" w:after="0"/>
        <w:ind w:left="1126" w:right="0" w:hanging="454"/>
        <w:jc w:val="left"/>
        <w:rPr>
          <w:sz w:val="20"/>
        </w:rPr>
      </w:pPr>
      <w:r>
        <w:rPr>
          <w:sz w:val="20"/>
        </w:rPr>
        <w:t>Cumplimiento de las condiciones de diseño del apartado</w:t>
      </w:r>
      <w:r>
        <w:rPr>
          <w:spacing w:val="-5"/>
          <w:sz w:val="20"/>
        </w:rPr>
        <w:t> </w:t>
      </w:r>
      <w:r>
        <w:rPr>
          <w:sz w:val="20"/>
        </w:rPr>
        <w:t>3.</w:t>
      </w:r>
    </w:p>
    <w:p>
      <w:pPr>
        <w:pStyle w:val="ListParagraph"/>
        <w:numPr>
          <w:ilvl w:val="1"/>
          <w:numId w:val="226"/>
        </w:numPr>
        <w:tabs>
          <w:tab w:pos="1125" w:val="left" w:leader="none"/>
          <w:tab w:pos="1126" w:val="left" w:leader="none"/>
        </w:tabs>
        <w:spacing w:line="240" w:lineRule="auto" w:before="61" w:after="0"/>
        <w:ind w:left="1126" w:right="0" w:hanging="454"/>
        <w:jc w:val="left"/>
        <w:rPr>
          <w:sz w:val="20"/>
        </w:rPr>
      </w:pPr>
      <w:r>
        <w:rPr>
          <w:sz w:val="20"/>
        </w:rPr>
        <w:t>Cumplimiento de las condiciones de dimensionado del apartado</w:t>
      </w:r>
      <w:r>
        <w:rPr>
          <w:spacing w:val="-4"/>
          <w:sz w:val="20"/>
        </w:rPr>
        <w:t> </w:t>
      </w:r>
      <w:r>
        <w:rPr>
          <w:sz w:val="20"/>
        </w:rPr>
        <w:t>4.</w:t>
      </w:r>
    </w:p>
    <w:p>
      <w:pPr>
        <w:pStyle w:val="ListParagraph"/>
        <w:numPr>
          <w:ilvl w:val="1"/>
          <w:numId w:val="226"/>
        </w:numPr>
        <w:tabs>
          <w:tab w:pos="1125" w:val="left" w:leader="none"/>
          <w:tab w:pos="1126" w:val="left" w:leader="none"/>
        </w:tabs>
        <w:spacing w:line="240" w:lineRule="auto" w:before="61" w:after="0"/>
        <w:ind w:left="1126" w:right="0" w:hanging="454"/>
        <w:jc w:val="left"/>
        <w:rPr>
          <w:sz w:val="20"/>
        </w:rPr>
      </w:pPr>
      <w:r>
        <w:rPr>
          <w:sz w:val="20"/>
        </w:rPr>
        <w:t>Cumplimiento de las condiciones de ejecución del apartado</w:t>
      </w:r>
      <w:r>
        <w:rPr>
          <w:spacing w:val="-4"/>
          <w:sz w:val="20"/>
        </w:rPr>
        <w:t> </w:t>
      </w:r>
      <w:r>
        <w:rPr>
          <w:sz w:val="20"/>
        </w:rPr>
        <w:t>5.</w:t>
      </w:r>
    </w:p>
    <w:p>
      <w:pPr>
        <w:pStyle w:val="ListParagraph"/>
        <w:numPr>
          <w:ilvl w:val="1"/>
          <w:numId w:val="226"/>
        </w:numPr>
        <w:tabs>
          <w:tab w:pos="1125" w:val="left" w:leader="none"/>
          <w:tab w:pos="1126" w:val="left" w:leader="none"/>
        </w:tabs>
        <w:spacing w:line="240" w:lineRule="auto" w:before="59" w:after="0"/>
        <w:ind w:left="1126" w:right="0" w:hanging="454"/>
        <w:jc w:val="left"/>
        <w:rPr>
          <w:sz w:val="20"/>
        </w:rPr>
      </w:pPr>
      <w:r>
        <w:rPr>
          <w:sz w:val="20"/>
        </w:rPr>
        <w:t>Cumplimiento de las condiciones de los productos de construcción del apartado</w:t>
      </w:r>
      <w:r>
        <w:rPr>
          <w:spacing w:val="-10"/>
          <w:sz w:val="20"/>
        </w:rPr>
        <w:t> </w:t>
      </w:r>
      <w:r>
        <w:rPr>
          <w:sz w:val="20"/>
        </w:rPr>
        <w:t>6.</w:t>
      </w:r>
    </w:p>
    <w:p>
      <w:pPr>
        <w:pStyle w:val="ListParagraph"/>
        <w:numPr>
          <w:ilvl w:val="1"/>
          <w:numId w:val="226"/>
        </w:numPr>
        <w:tabs>
          <w:tab w:pos="1125" w:val="left" w:leader="none"/>
          <w:tab w:pos="1126" w:val="left" w:leader="none"/>
        </w:tabs>
        <w:spacing w:line="240" w:lineRule="auto" w:before="60" w:after="0"/>
        <w:ind w:left="1126" w:right="0" w:hanging="454"/>
        <w:jc w:val="left"/>
        <w:rPr>
          <w:sz w:val="20"/>
        </w:rPr>
      </w:pPr>
      <w:r>
        <w:rPr>
          <w:sz w:val="20"/>
        </w:rPr>
        <w:t>Cumplimiento de las condiciones de uso y mantenimiento del apartado</w:t>
      </w:r>
      <w:r>
        <w:rPr>
          <w:spacing w:val="-9"/>
          <w:sz w:val="20"/>
        </w:rPr>
        <w:t> </w:t>
      </w:r>
      <w:r>
        <w:rPr>
          <w:sz w:val="20"/>
        </w:rPr>
        <w:t>7.</w:t>
      </w:r>
    </w:p>
    <w:p>
      <w:pPr>
        <w:pStyle w:val="BodyText"/>
        <w:rPr>
          <w:sz w:val="22"/>
        </w:rPr>
      </w:pPr>
    </w:p>
    <w:p>
      <w:pPr>
        <w:pStyle w:val="BodyText"/>
        <w:spacing w:before="11"/>
        <w:rPr>
          <w:sz w:val="19"/>
        </w:rPr>
      </w:pPr>
    </w:p>
    <w:p>
      <w:pPr>
        <w:pStyle w:val="Heading2"/>
        <w:numPr>
          <w:ilvl w:val="0"/>
          <w:numId w:val="226"/>
        </w:numPr>
        <w:tabs>
          <w:tab w:pos="786" w:val="left" w:leader="none"/>
          <w:tab w:pos="787" w:val="left" w:leader="none"/>
        </w:tabs>
        <w:spacing w:line="240" w:lineRule="auto" w:before="0" w:after="0"/>
        <w:ind w:left="786" w:right="0" w:hanging="569"/>
        <w:jc w:val="left"/>
      </w:pPr>
      <w:r>
        <w:rPr/>
        <w:t>Caracterización y cuantificación de las</w:t>
      </w:r>
      <w:r>
        <w:rPr>
          <w:spacing w:val="-6"/>
        </w:rPr>
        <w:t> </w:t>
      </w:r>
      <w:r>
        <w:rPr/>
        <w:t>exigencias</w:t>
      </w:r>
    </w:p>
    <w:p>
      <w:pPr>
        <w:pStyle w:val="ListParagraph"/>
        <w:numPr>
          <w:ilvl w:val="0"/>
          <w:numId w:val="227"/>
        </w:numPr>
        <w:tabs>
          <w:tab w:pos="673" w:val="left" w:leader="none"/>
        </w:tabs>
        <w:spacing w:line="240" w:lineRule="auto" w:before="157" w:after="0"/>
        <w:ind w:left="672" w:right="752" w:hanging="454"/>
        <w:jc w:val="both"/>
        <w:rPr>
          <w:sz w:val="20"/>
        </w:rPr>
      </w:pPr>
      <w:r>
        <w:rPr>
          <w:sz w:val="20"/>
        </w:rPr>
        <w:t>Deben disponerse </w:t>
      </w:r>
      <w:r>
        <w:rPr>
          <w:i/>
          <w:sz w:val="20"/>
        </w:rPr>
        <w:t>cierres hidráulicos </w:t>
      </w:r>
      <w:r>
        <w:rPr>
          <w:sz w:val="20"/>
        </w:rPr>
        <w:t>en la instalación que impidan el paso del aire contenido en ella a los locales ocupados sin afectar al flujo de</w:t>
      </w:r>
      <w:r>
        <w:rPr>
          <w:spacing w:val="-6"/>
          <w:sz w:val="20"/>
        </w:rPr>
        <w:t> </w:t>
      </w:r>
      <w:r>
        <w:rPr>
          <w:sz w:val="20"/>
        </w:rPr>
        <w:t>residuos.</w:t>
      </w:r>
    </w:p>
    <w:p>
      <w:pPr>
        <w:pStyle w:val="ListParagraph"/>
        <w:numPr>
          <w:ilvl w:val="0"/>
          <w:numId w:val="227"/>
        </w:numPr>
        <w:tabs>
          <w:tab w:pos="673" w:val="left" w:leader="none"/>
        </w:tabs>
        <w:spacing w:line="240" w:lineRule="auto" w:before="60" w:after="0"/>
        <w:ind w:left="672" w:right="529" w:hanging="454"/>
        <w:jc w:val="both"/>
        <w:rPr>
          <w:sz w:val="20"/>
        </w:rPr>
      </w:pPr>
      <w:r>
        <w:rPr>
          <w:sz w:val="20"/>
        </w:rPr>
        <w:t>Las tuberías de la red de evacuación deben tener el trazado más sencillo posible, con unas distan- cias y pendientes que faciliten la evacuación de los residuos y ser autolimpiables. Debe evitarse la retención de aguas en su</w:t>
      </w:r>
      <w:r>
        <w:rPr>
          <w:spacing w:val="-3"/>
          <w:sz w:val="20"/>
        </w:rPr>
        <w:t> </w:t>
      </w:r>
      <w:r>
        <w:rPr>
          <w:sz w:val="20"/>
        </w:rPr>
        <w:t>interior.</w:t>
      </w:r>
    </w:p>
    <w:p>
      <w:pPr>
        <w:pStyle w:val="ListParagraph"/>
        <w:numPr>
          <w:ilvl w:val="0"/>
          <w:numId w:val="227"/>
        </w:numPr>
        <w:tabs>
          <w:tab w:pos="673" w:val="left" w:leader="none"/>
        </w:tabs>
        <w:spacing w:line="240" w:lineRule="auto" w:before="60" w:after="0"/>
        <w:ind w:left="672" w:right="440" w:hanging="454"/>
        <w:jc w:val="both"/>
        <w:rPr>
          <w:sz w:val="20"/>
        </w:rPr>
      </w:pPr>
      <w:r>
        <w:rPr>
          <w:sz w:val="20"/>
        </w:rPr>
        <w:t>Los diámetros de las tuberías deben ser los apropiados para transportar los caudales previsibles en condiciones</w:t>
      </w:r>
      <w:r>
        <w:rPr>
          <w:spacing w:val="-1"/>
          <w:sz w:val="20"/>
        </w:rPr>
        <w:t> </w:t>
      </w:r>
      <w:r>
        <w:rPr>
          <w:sz w:val="20"/>
        </w:rPr>
        <w:t>seguras.</w:t>
      </w:r>
    </w:p>
    <w:p>
      <w:pPr>
        <w:pStyle w:val="ListParagraph"/>
        <w:numPr>
          <w:ilvl w:val="0"/>
          <w:numId w:val="227"/>
        </w:numPr>
        <w:tabs>
          <w:tab w:pos="673" w:val="left" w:leader="none"/>
        </w:tabs>
        <w:spacing w:line="240" w:lineRule="auto" w:before="61" w:after="0"/>
        <w:ind w:left="672" w:right="598" w:hanging="454"/>
        <w:jc w:val="both"/>
        <w:rPr>
          <w:sz w:val="20"/>
        </w:rPr>
      </w:pPr>
      <w:r>
        <w:rPr>
          <w:sz w:val="20"/>
        </w:rPr>
        <w:t>Las redes de tuberías deben diseñarse de tal forma que sean accesibles para su mantenimiento y reparación, para lo cual deben disponerse a la vista o alojadas en huecos o patinillos registrables. En caso contrario deben contar con arquetas o</w:t>
      </w:r>
      <w:r>
        <w:rPr>
          <w:spacing w:val="-4"/>
          <w:sz w:val="20"/>
        </w:rPr>
        <w:t> </w:t>
      </w:r>
      <w:r>
        <w:rPr>
          <w:sz w:val="20"/>
        </w:rPr>
        <w:t>registros.</w:t>
      </w:r>
    </w:p>
    <w:p>
      <w:pPr>
        <w:pStyle w:val="ListParagraph"/>
        <w:numPr>
          <w:ilvl w:val="0"/>
          <w:numId w:val="227"/>
        </w:numPr>
        <w:tabs>
          <w:tab w:pos="673" w:val="left" w:leader="none"/>
        </w:tabs>
        <w:spacing w:line="240" w:lineRule="auto" w:before="60" w:after="0"/>
        <w:ind w:left="672" w:right="752" w:hanging="454"/>
        <w:jc w:val="both"/>
        <w:rPr>
          <w:sz w:val="20"/>
        </w:rPr>
      </w:pPr>
      <w:r>
        <w:rPr>
          <w:sz w:val="20"/>
        </w:rPr>
        <w:t>Se dispondrán sistemas de ventilación adecuados que permitan el funcionamiento de los </w:t>
      </w:r>
      <w:r>
        <w:rPr>
          <w:i/>
          <w:sz w:val="20"/>
        </w:rPr>
        <w:t>cierres </w:t>
      </w:r>
      <w:r>
        <w:rPr>
          <w:i/>
          <w:sz w:val="20"/>
        </w:rPr>
        <w:t>hidráulicos </w:t>
      </w:r>
      <w:r>
        <w:rPr>
          <w:sz w:val="20"/>
        </w:rPr>
        <w:t>y la evacuación de gases</w:t>
      </w:r>
      <w:r>
        <w:rPr>
          <w:spacing w:val="-6"/>
          <w:sz w:val="20"/>
        </w:rPr>
        <w:t> </w:t>
      </w:r>
      <w:r>
        <w:rPr>
          <w:sz w:val="20"/>
        </w:rPr>
        <w:t>mefíticos.</w:t>
      </w:r>
    </w:p>
    <w:p>
      <w:pPr>
        <w:pStyle w:val="ListParagraph"/>
        <w:numPr>
          <w:ilvl w:val="0"/>
          <w:numId w:val="227"/>
        </w:numPr>
        <w:tabs>
          <w:tab w:pos="673" w:val="left" w:leader="none"/>
        </w:tabs>
        <w:spacing w:line="240" w:lineRule="auto" w:before="60" w:after="0"/>
        <w:ind w:left="672" w:right="807" w:hanging="454"/>
        <w:jc w:val="both"/>
        <w:rPr>
          <w:sz w:val="20"/>
        </w:rPr>
      </w:pPr>
      <w:r>
        <w:rPr>
          <w:sz w:val="20"/>
        </w:rPr>
        <w:t>La instalación no debe utilizarse para la evacuación de otro tipo de residuos que no sean </w:t>
      </w:r>
      <w:r>
        <w:rPr>
          <w:i/>
          <w:sz w:val="20"/>
        </w:rPr>
        <w:t>aguas </w:t>
      </w:r>
      <w:r>
        <w:rPr>
          <w:i/>
          <w:sz w:val="20"/>
        </w:rPr>
        <w:t>residuales </w:t>
      </w:r>
      <w:r>
        <w:rPr>
          <w:sz w:val="20"/>
        </w:rPr>
        <w:t>o</w:t>
      </w:r>
      <w:r>
        <w:rPr>
          <w:spacing w:val="-3"/>
          <w:sz w:val="20"/>
        </w:rPr>
        <w:t> </w:t>
      </w:r>
      <w:r>
        <w:rPr>
          <w:i/>
          <w:sz w:val="20"/>
        </w:rPr>
        <w:t>pluviales</w:t>
      </w:r>
      <w:r>
        <w:rPr>
          <w:sz w:val="20"/>
        </w:rPr>
        <w:t>.</w:t>
      </w:r>
    </w:p>
    <w:p>
      <w:pPr>
        <w:pStyle w:val="BodyText"/>
        <w:spacing w:before="5"/>
        <w:rPr>
          <w:sz w:val="30"/>
        </w:rPr>
      </w:pPr>
    </w:p>
    <w:p>
      <w:pPr>
        <w:spacing w:before="0"/>
        <w:ind w:left="1778" w:right="0" w:firstLine="0"/>
        <w:jc w:val="left"/>
        <w:rPr>
          <w:b/>
          <w:sz w:val="16"/>
        </w:rPr>
      </w:pPr>
      <w:r>
        <w:rPr/>
        <w:pict>
          <v:group style="position:absolute;margin-left:143pt;margin-top:.123909pt;width:.5pt;height:33.6pt;mso-position-horizontal-relative:page;mso-position-vertical-relative:paragraph;z-index:252001280" coordorigin="2860,2" coordsize="10,672">
            <v:line style="position:absolute" from="2865,2" to="2865,246" stroked="true" strokeweight=".48pt" strokecolor="#000000">
              <v:stroke dashstyle="solid"/>
            </v:line>
            <v:line style="position:absolute" from="2865,246" to="2865,431" stroked="true" strokeweight=".48pt" strokecolor="#000000">
              <v:stroke dashstyle="solid"/>
            </v:line>
            <v:line style="position:absolute" from="2865,431" to="2865,674" stroked="true" strokeweight=".48pt" strokecolor="#000000">
              <v:stroke dashstyle="solid"/>
            </v:line>
            <w10:wrap type="none"/>
          </v:group>
        </w:pict>
      </w:r>
      <w:r>
        <w:rPr>
          <w:b/>
          <w:sz w:val="16"/>
        </w:rPr>
        <w:t>Trituradores de basura</w:t>
      </w:r>
    </w:p>
    <w:p>
      <w:pPr>
        <w:spacing w:before="60"/>
        <w:ind w:left="1778" w:right="0" w:firstLine="0"/>
        <w:jc w:val="left"/>
        <w:rPr>
          <w:sz w:val="16"/>
        </w:rPr>
      </w:pPr>
      <w:r>
        <w:rPr>
          <w:sz w:val="16"/>
        </w:rPr>
        <w:t>Los trituradores de basuras como regla general no podrán conectarse para su evacuación ni a la red de</w:t>
      </w:r>
    </w:p>
    <w:p>
      <w:pPr>
        <w:spacing w:before="1"/>
        <w:ind w:left="1778" w:right="0" w:firstLine="0"/>
        <w:jc w:val="left"/>
        <w:rPr>
          <w:sz w:val="16"/>
        </w:rPr>
      </w:pPr>
      <w:r>
        <w:rPr>
          <w:i/>
          <w:sz w:val="16"/>
        </w:rPr>
        <w:t>aguas pluviales </w:t>
      </w:r>
      <w:r>
        <w:rPr>
          <w:sz w:val="16"/>
        </w:rPr>
        <w:t>ni a la red de </w:t>
      </w:r>
      <w:r>
        <w:rPr>
          <w:i/>
          <w:sz w:val="16"/>
        </w:rPr>
        <w:t>aguas residuales</w:t>
      </w:r>
      <w:r>
        <w:rPr>
          <w:sz w:val="16"/>
        </w:rPr>
        <w:t>.</w:t>
      </w:r>
    </w:p>
    <w:p>
      <w:pPr>
        <w:spacing w:after="0"/>
        <w:jc w:val="left"/>
        <w:rPr>
          <w:sz w:val="16"/>
        </w:rPr>
        <w:sectPr>
          <w:headerReference w:type="default" r:id="rId149"/>
          <w:pgSz w:w="11910" w:h="16840"/>
          <w:pgMar w:header="714" w:footer="642" w:top="1320" w:bottom="840" w:left="1200" w:right="740"/>
        </w:sectPr>
      </w:pPr>
    </w:p>
    <w:p>
      <w:pPr>
        <w:pStyle w:val="BodyText"/>
      </w:pPr>
    </w:p>
    <w:p>
      <w:pPr>
        <w:pStyle w:val="BodyText"/>
        <w:spacing w:before="8"/>
        <w:rPr>
          <w:sz w:val="16"/>
        </w:rPr>
      </w:pPr>
    </w:p>
    <w:p>
      <w:pPr>
        <w:pStyle w:val="Heading2"/>
        <w:numPr>
          <w:ilvl w:val="0"/>
          <w:numId w:val="228"/>
        </w:numPr>
        <w:tabs>
          <w:tab w:pos="786" w:val="left" w:leader="none"/>
          <w:tab w:pos="787" w:val="left" w:leader="none"/>
        </w:tabs>
        <w:spacing w:line="240" w:lineRule="auto" w:before="91" w:after="0"/>
        <w:ind w:left="786" w:right="0" w:hanging="569"/>
        <w:jc w:val="left"/>
      </w:pPr>
      <w:r>
        <w:rPr/>
        <w:t>Diseño</w:t>
      </w:r>
    </w:p>
    <w:p>
      <w:pPr>
        <w:pStyle w:val="BodyText"/>
        <w:spacing w:before="4"/>
        <w:rPr>
          <w:b/>
          <w:sz w:val="24"/>
        </w:rPr>
      </w:pPr>
    </w:p>
    <w:p>
      <w:pPr>
        <w:pStyle w:val="Heading3"/>
        <w:numPr>
          <w:ilvl w:val="1"/>
          <w:numId w:val="228"/>
        </w:numPr>
        <w:tabs>
          <w:tab w:pos="786" w:val="left" w:leader="none"/>
          <w:tab w:pos="787" w:val="left" w:leader="none"/>
        </w:tabs>
        <w:spacing w:line="240" w:lineRule="auto" w:before="0" w:after="0"/>
        <w:ind w:left="786" w:right="0" w:hanging="569"/>
        <w:jc w:val="left"/>
      </w:pPr>
      <w:r>
        <w:rPr/>
        <w:t>Condiciones generales de la evacuación</w:t>
      </w:r>
    </w:p>
    <w:p>
      <w:pPr>
        <w:pStyle w:val="ListParagraph"/>
        <w:numPr>
          <w:ilvl w:val="0"/>
          <w:numId w:val="229"/>
        </w:numPr>
        <w:tabs>
          <w:tab w:pos="672" w:val="left" w:leader="none"/>
          <w:tab w:pos="673" w:val="left" w:leader="none"/>
        </w:tabs>
        <w:spacing w:line="240" w:lineRule="auto" w:before="99" w:after="0"/>
        <w:ind w:left="672" w:right="442" w:hanging="454"/>
        <w:jc w:val="left"/>
        <w:rPr>
          <w:sz w:val="20"/>
        </w:rPr>
      </w:pPr>
      <w:r>
        <w:rPr>
          <w:sz w:val="20"/>
        </w:rPr>
        <w:t>Los </w:t>
      </w:r>
      <w:r>
        <w:rPr>
          <w:i/>
          <w:sz w:val="20"/>
        </w:rPr>
        <w:t>colectores </w:t>
      </w:r>
      <w:r>
        <w:rPr>
          <w:sz w:val="20"/>
        </w:rPr>
        <w:t>del edificio deben desaguar, preferentemente por gravedad, en el pozo o arqueta general que constituye el punto de conexión entre la instalación de evacuación y la red de alcantari- llado público, a través de la correspondiente</w:t>
      </w:r>
      <w:r>
        <w:rPr>
          <w:spacing w:val="-6"/>
          <w:sz w:val="20"/>
        </w:rPr>
        <w:t> </w:t>
      </w:r>
      <w:r>
        <w:rPr>
          <w:i/>
          <w:sz w:val="20"/>
        </w:rPr>
        <w:t>acometida</w:t>
      </w:r>
      <w:r>
        <w:rPr>
          <w:sz w:val="20"/>
        </w:rPr>
        <w:t>.</w:t>
      </w:r>
    </w:p>
    <w:p>
      <w:pPr>
        <w:pStyle w:val="ListParagraph"/>
        <w:numPr>
          <w:ilvl w:val="0"/>
          <w:numId w:val="229"/>
        </w:numPr>
        <w:tabs>
          <w:tab w:pos="672" w:val="left" w:leader="none"/>
          <w:tab w:pos="673" w:val="left" w:leader="none"/>
        </w:tabs>
        <w:spacing w:line="240" w:lineRule="auto" w:before="60" w:after="0"/>
        <w:ind w:left="672" w:right="408" w:hanging="454"/>
        <w:jc w:val="left"/>
        <w:rPr>
          <w:sz w:val="20"/>
        </w:rPr>
      </w:pPr>
      <w:r>
        <w:rPr>
          <w:sz w:val="20"/>
        </w:rPr>
        <w:t>Cuando no exista red de alcantarillado público, deben utilizarse sistemas individualizados separa- dos, uno de evacuación de </w:t>
      </w:r>
      <w:r>
        <w:rPr>
          <w:i/>
          <w:sz w:val="20"/>
        </w:rPr>
        <w:t>aguas residuales </w:t>
      </w:r>
      <w:r>
        <w:rPr>
          <w:sz w:val="20"/>
        </w:rPr>
        <w:t>dotado de una estación depuradora particular y otro de evacuación de </w:t>
      </w:r>
      <w:r>
        <w:rPr>
          <w:i/>
          <w:sz w:val="20"/>
        </w:rPr>
        <w:t>aguas pluviales </w:t>
      </w:r>
      <w:r>
        <w:rPr>
          <w:sz w:val="20"/>
        </w:rPr>
        <w:t>al</w:t>
      </w:r>
      <w:r>
        <w:rPr>
          <w:spacing w:val="-2"/>
          <w:sz w:val="20"/>
        </w:rPr>
        <w:t> </w:t>
      </w:r>
      <w:r>
        <w:rPr>
          <w:sz w:val="20"/>
        </w:rPr>
        <w:t>terreno.</w:t>
      </w:r>
    </w:p>
    <w:p>
      <w:pPr>
        <w:pStyle w:val="ListParagraph"/>
        <w:numPr>
          <w:ilvl w:val="0"/>
          <w:numId w:val="229"/>
        </w:numPr>
        <w:tabs>
          <w:tab w:pos="672" w:val="left" w:leader="none"/>
          <w:tab w:pos="673" w:val="left" w:leader="none"/>
        </w:tabs>
        <w:spacing w:line="240" w:lineRule="auto" w:before="60" w:after="0"/>
        <w:ind w:left="672" w:right="597" w:hanging="454"/>
        <w:jc w:val="left"/>
        <w:rPr>
          <w:sz w:val="20"/>
        </w:rPr>
      </w:pPr>
      <w:r>
        <w:rPr>
          <w:sz w:val="20"/>
        </w:rPr>
        <w:t>Los residuos agresivos industriales requieren un tratamiento previo al vertido a la red de alcantari- llado o sistema de</w:t>
      </w:r>
      <w:r>
        <w:rPr>
          <w:spacing w:val="-1"/>
          <w:sz w:val="20"/>
        </w:rPr>
        <w:t> </w:t>
      </w:r>
      <w:r>
        <w:rPr>
          <w:sz w:val="20"/>
        </w:rPr>
        <w:t>depuración.</w:t>
      </w:r>
    </w:p>
    <w:p>
      <w:pPr>
        <w:pStyle w:val="ListParagraph"/>
        <w:numPr>
          <w:ilvl w:val="0"/>
          <w:numId w:val="229"/>
        </w:numPr>
        <w:tabs>
          <w:tab w:pos="672" w:val="left" w:leader="none"/>
          <w:tab w:pos="673" w:val="left" w:leader="none"/>
        </w:tabs>
        <w:spacing w:line="240" w:lineRule="auto" w:before="59" w:after="0"/>
        <w:ind w:left="672" w:right="453" w:hanging="454"/>
        <w:jc w:val="left"/>
        <w:rPr>
          <w:sz w:val="20"/>
        </w:rPr>
      </w:pPr>
      <w:r>
        <w:rPr>
          <w:sz w:val="20"/>
        </w:rPr>
        <w:t>Los residuos procedentes de cualquier actividad profesional ejercida en el interior de las viviendas distintos de los domésticos, requieren un tratamiento previo mediante dispositivos tales como depó- sitos de decantación, separadores o depósitos de</w:t>
      </w:r>
      <w:r>
        <w:rPr>
          <w:spacing w:val="-3"/>
          <w:sz w:val="20"/>
        </w:rPr>
        <w:t> </w:t>
      </w:r>
      <w:r>
        <w:rPr>
          <w:sz w:val="20"/>
        </w:rPr>
        <w:t>neutralización.</w:t>
      </w:r>
    </w:p>
    <w:p>
      <w:pPr>
        <w:pStyle w:val="BodyText"/>
        <w:spacing w:before="6"/>
        <w:rPr>
          <w:sz w:val="24"/>
        </w:rPr>
      </w:pPr>
    </w:p>
    <w:p>
      <w:pPr>
        <w:pStyle w:val="Heading3"/>
        <w:numPr>
          <w:ilvl w:val="1"/>
          <w:numId w:val="228"/>
        </w:numPr>
        <w:tabs>
          <w:tab w:pos="786" w:val="left" w:leader="none"/>
          <w:tab w:pos="787" w:val="left" w:leader="none"/>
        </w:tabs>
        <w:spacing w:line="240" w:lineRule="auto" w:before="0" w:after="0"/>
        <w:ind w:left="786" w:right="0" w:hanging="569"/>
        <w:jc w:val="left"/>
      </w:pPr>
      <w:r>
        <w:rPr/>
        <w:t>Configuraciones de los sistemas de</w:t>
      </w:r>
      <w:r>
        <w:rPr>
          <w:spacing w:val="-1"/>
        </w:rPr>
        <w:t> </w:t>
      </w:r>
      <w:r>
        <w:rPr/>
        <w:t>evacuación</w:t>
      </w:r>
    </w:p>
    <w:p>
      <w:pPr>
        <w:pStyle w:val="ListParagraph"/>
        <w:numPr>
          <w:ilvl w:val="0"/>
          <w:numId w:val="230"/>
        </w:numPr>
        <w:tabs>
          <w:tab w:pos="672" w:val="left" w:leader="none"/>
          <w:tab w:pos="673" w:val="left" w:leader="none"/>
        </w:tabs>
        <w:spacing w:line="240" w:lineRule="auto" w:before="98" w:after="0"/>
        <w:ind w:left="672" w:right="475" w:hanging="454"/>
        <w:jc w:val="left"/>
        <w:rPr>
          <w:sz w:val="20"/>
        </w:rPr>
      </w:pPr>
      <w:r>
        <w:rPr>
          <w:sz w:val="20"/>
        </w:rPr>
        <w:t>Cuando exista una única red de alcantarillado público debe disponerse un </w:t>
      </w:r>
      <w:r>
        <w:rPr>
          <w:i/>
          <w:sz w:val="20"/>
        </w:rPr>
        <w:t>sistema mixto </w:t>
      </w:r>
      <w:r>
        <w:rPr>
          <w:sz w:val="20"/>
        </w:rPr>
        <w:t>o un </w:t>
      </w:r>
      <w:r>
        <w:rPr>
          <w:i/>
          <w:sz w:val="20"/>
        </w:rPr>
        <w:t>sis- </w:t>
      </w:r>
      <w:r>
        <w:rPr>
          <w:i/>
          <w:sz w:val="20"/>
        </w:rPr>
        <w:t>tema separativo </w:t>
      </w:r>
      <w:r>
        <w:rPr>
          <w:sz w:val="20"/>
        </w:rPr>
        <w:t>con una conexión final de las </w:t>
      </w:r>
      <w:r>
        <w:rPr>
          <w:i/>
          <w:sz w:val="20"/>
        </w:rPr>
        <w:t>aguas pluviales </w:t>
      </w:r>
      <w:r>
        <w:rPr>
          <w:sz w:val="20"/>
        </w:rPr>
        <w:t>y las </w:t>
      </w:r>
      <w:r>
        <w:rPr>
          <w:i/>
          <w:sz w:val="20"/>
        </w:rPr>
        <w:t>residuales</w:t>
      </w:r>
      <w:r>
        <w:rPr>
          <w:sz w:val="20"/>
        </w:rPr>
        <w:t>, antes de su salida a la red exterior. La conexión entre la red de </w:t>
      </w:r>
      <w:r>
        <w:rPr>
          <w:i/>
          <w:sz w:val="20"/>
        </w:rPr>
        <w:t>pluviales </w:t>
      </w:r>
      <w:r>
        <w:rPr>
          <w:sz w:val="20"/>
        </w:rPr>
        <w:t>y la de </w:t>
      </w:r>
      <w:r>
        <w:rPr>
          <w:i/>
          <w:sz w:val="20"/>
        </w:rPr>
        <w:t>residuales </w:t>
      </w:r>
      <w:r>
        <w:rPr>
          <w:sz w:val="20"/>
        </w:rPr>
        <w:t>debe hacerse con interposi- ción de un </w:t>
      </w:r>
      <w:r>
        <w:rPr>
          <w:i/>
          <w:sz w:val="20"/>
        </w:rPr>
        <w:t>cierre hidráulico </w:t>
      </w:r>
      <w:r>
        <w:rPr>
          <w:sz w:val="20"/>
        </w:rPr>
        <w:t>que impida la transmisión de gases de una a otra y su salida por los puntos de captación tales como calderetas, rejillas o sumideros. Dicho cierre puede estar incorpo- rado a los puntos de captación de las aguas o ser un sifón final en la propia</w:t>
      </w:r>
      <w:r>
        <w:rPr>
          <w:spacing w:val="-9"/>
          <w:sz w:val="20"/>
        </w:rPr>
        <w:t> </w:t>
      </w:r>
      <w:r>
        <w:rPr>
          <w:sz w:val="20"/>
        </w:rPr>
        <w:t>conexión.</w:t>
      </w:r>
    </w:p>
    <w:p>
      <w:pPr>
        <w:pStyle w:val="ListParagraph"/>
        <w:numPr>
          <w:ilvl w:val="0"/>
          <w:numId w:val="230"/>
        </w:numPr>
        <w:tabs>
          <w:tab w:pos="672" w:val="left" w:leader="none"/>
          <w:tab w:pos="673" w:val="left" w:leader="none"/>
        </w:tabs>
        <w:spacing w:line="240" w:lineRule="auto" w:before="60" w:after="0"/>
        <w:ind w:left="672" w:right="394" w:hanging="454"/>
        <w:jc w:val="left"/>
        <w:rPr>
          <w:sz w:val="20"/>
        </w:rPr>
      </w:pPr>
      <w:r>
        <w:rPr>
          <w:sz w:val="20"/>
        </w:rPr>
        <w:t>Cuando existan dos redes de alcantarillado público, una de </w:t>
      </w:r>
      <w:r>
        <w:rPr>
          <w:i/>
          <w:sz w:val="20"/>
        </w:rPr>
        <w:t>aguas pluviales </w:t>
      </w:r>
      <w:r>
        <w:rPr>
          <w:sz w:val="20"/>
        </w:rPr>
        <w:t>y otra de </w:t>
      </w:r>
      <w:r>
        <w:rPr>
          <w:i/>
          <w:sz w:val="20"/>
        </w:rPr>
        <w:t>aguas residua- </w:t>
      </w:r>
      <w:r>
        <w:rPr>
          <w:i/>
          <w:sz w:val="20"/>
        </w:rPr>
        <w:t>les </w:t>
      </w:r>
      <w:r>
        <w:rPr>
          <w:sz w:val="20"/>
        </w:rPr>
        <w:t>debe disponerse un </w:t>
      </w:r>
      <w:r>
        <w:rPr>
          <w:i/>
          <w:sz w:val="20"/>
        </w:rPr>
        <w:t>sistema separativo </w:t>
      </w:r>
      <w:r>
        <w:rPr>
          <w:sz w:val="20"/>
        </w:rPr>
        <w:t>y cada red de canalizaciones debe conectarse de forma independiente con la exterior</w:t>
      </w:r>
      <w:r>
        <w:rPr>
          <w:spacing w:val="-2"/>
          <w:sz w:val="20"/>
        </w:rPr>
        <w:t> </w:t>
      </w:r>
      <w:r>
        <w:rPr>
          <w:sz w:val="20"/>
        </w:rPr>
        <w:t>correspondiente.</w:t>
      </w:r>
    </w:p>
    <w:p>
      <w:pPr>
        <w:pStyle w:val="BodyText"/>
        <w:spacing w:before="6"/>
        <w:rPr>
          <w:sz w:val="24"/>
        </w:rPr>
      </w:pPr>
    </w:p>
    <w:p>
      <w:pPr>
        <w:pStyle w:val="Heading3"/>
        <w:numPr>
          <w:ilvl w:val="1"/>
          <w:numId w:val="228"/>
        </w:numPr>
        <w:tabs>
          <w:tab w:pos="786" w:val="left" w:leader="none"/>
          <w:tab w:pos="787" w:val="left" w:leader="none"/>
        </w:tabs>
        <w:spacing w:line="240" w:lineRule="auto" w:before="0" w:after="0"/>
        <w:ind w:left="786" w:right="0" w:hanging="569"/>
        <w:jc w:val="left"/>
      </w:pPr>
      <w:r>
        <w:rPr/>
        <w:t>Elementos que componen las</w:t>
      </w:r>
      <w:r>
        <w:rPr>
          <w:spacing w:val="-2"/>
        </w:rPr>
        <w:t> </w:t>
      </w:r>
      <w:r>
        <w:rPr/>
        <w:t>instalaciones</w:t>
      </w:r>
    </w:p>
    <w:p>
      <w:pPr>
        <w:pStyle w:val="Heading5"/>
        <w:numPr>
          <w:ilvl w:val="2"/>
          <w:numId w:val="228"/>
        </w:numPr>
        <w:tabs>
          <w:tab w:pos="787" w:val="left" w:leader="none"/>
        </w:tabs>
        <w:spacing w:line="240" w:lineRule="auto" w:before="201" w:after="0"/>
        <w:ind w:left="786" w:right="0" w:hanging="569"/>
        <w:jc w:val="left"/>
      </w:pPr>
      <w:r>
        <w:rPr/>
        <w:t>Elementos en la red de</w:t>
      </w:r>
      <w:r>
        <w:rPr>
          <w:spacing w:val="-2"/>
        </w:rPr>
        <w:t> </w:t>
      </w:r>
      <w:r>
        <w:rPr/>
        <w:t>evacuación</w:t>
      </w:r>
    </w:p>
    <w:p>
      <w:pPr>
        <w:pStyle w:val="BodyText"/>
        <w:spacing w:before="2"/>
        <w:rPr>
          <w:b/>
          <w:sz w:val="17"/>
        </w:rPr>
      </w:pPr>
    </w:p>
    <w:p>
      <w:pPr>
        <w:pStyle w:val="Heading6"/>
        <w:numPr>
          <w:ilvl w:val="3"/>
          <w:numId w:val="228"/>
        </w:numPr>
        <w:tabs>
          <w:tab w:pos="1352" w:val="left" w:leader="none"/>
          <w:tab w:pos="1353" w:val="left" w:leader="none"/>
        </w:tabs>
        <w:spacing w:line="240" w:lineRule="auto" w:before="1" w:after="0"/>
        <w:ind w:left="1352" w:right="0" w:hanging="1135"/>
        <w:jc w:val="left"/>
        <w:rPr>
          <w:i/>
        </w:rPr>
      </w:pPr>
      <w:r>
        <w:rPr>
          <w:i/>
        </w:rPr>
        <w:t>Cierres hidráulicos</w:t>
      </w:r>
    </w:p>
    <w:p>
      <w:pPr>
        <w:pStyle w:val="ListParagraph"/>
        <w:numPr>
          <w:ilvl w:val="0"/>
          <w:numId w:val="231"/>
        </w:numPr>
        <w:tabs>
          <w:tab w:pos="672" w:val="left" w:leader="none"/>
          <w:tab w:pos="673" w:val="left" w:leader="none"/>
        </w:tabs>
        <w:spacing w:line="240" w:lineRule="auto" w:before="79" w:after="0"/>
        <w:ind w:left="672" w:right="0" w:hanging="455"/>
        <w:jc w:val="left"/>
        <w:rPr>
          <w:sz w:val="20"/>
        </w:rPr>
      </w:pPr>
      <w:r>
        <w:rPr>
          <w:sz w:val="20"/>
        </w:rPr>
        <w:t>Los </w:t>
      </w:r>
      <w:r>
        <w:rPr>
          <w:i/>
          <w:sz w:val="20"/>
        </w:rPr>
        <w:t>cierres hidráulicos </w:t>
      </w:r>
      <w:r>
        <w:rPr>
          <w:sz w:val="20"/>
        </w:rPr>
        <w:t>pueden</w:t>
      </w:r>
      <w:r>
        <w:rPr>
          <w:spacing w:val="-2"/>
          <w:sz w:val="20"/>
        </w:rPr>
        <w:t> </w:t>
      </w:r>
      <w:r>
        <w:rPr>
          <w:sz w:val="20"/>
        </w:rPr>
        <w:t>ser:</w:t>
      </w:r>
    </w:p>
    <w:p>
      <w:pPr>
        <w:pStyle w:val="ListParagraph"/>
        <w:numPr>
          <w:ilvl w:val="1"/>
          <w:numId w:val="231"/>
        </w:numPr>
        <w:tabs>
          <w:tab w:pos="1125" w:val="left" w:leader="none"/>
          <w:tab w:pos="1126" w:val="left" w:leader="none"/>
        </w:tabs>
        <w:spacing w:line="240" w:lineRule="auto" w:before="61" w:after="0"/>
        <w:ind w:left="1126" w:right="0" w:hanging="454"/>
        <w:jc w:val="left"/>
        <w:rPr>
          <w:sz w:val="20"/>
        </w:rPr>
      </w:pPr>
      <w:r>
        <w:rPr>
          <w:sz w:val="20"/>
        </w:rPr>
        <w:t>sifones individuales, propios de cada</w:t>
      </w:r>
      <w:r>
        <w:rPr>
          <w:spacing w:val="-4"/>
          <w:sz w:val="20"/>
        </w:rPr>
        <w:t> </w:t>
      </w:r>
      <w:r>
        <w:rPr>
          <w:sz w:val="20"/>
        </w:rPr>
        <w:t>aparato;</w:t>
      </w:r>
    </w:p>
    <w:p>
      <w:pPr>
        <w:pStyle w:val="ListParagraph"/>
        <w:numPr>
          <w:ilvl w:val="1"/>
          <w:numId w:val="231"/>
        </w:numPr>
        <w:tabs>
          <w:tab w:pos="1125" w:val="left" w:leader="none"/>
          <w:tab w:pos="1126" w:val="left" w:leader="none"/>
        </w:tabs>
        <w:spacing w:line="240" w:lineRule="auto" w:before="59" w:after="0"/>
        <w:ind w:left="1126" w:right="0" w:hanging="454"/>
        <w:jc w:val="left"/>
        <w:rPr>
          <w:sz w:val="20"/>
        </w:rPr>
      </w:pPr>
      <w:r>
        <w:rPr>
          <w:sz w:val="20"/>
        </w:rPr>
        <w:t>botes sifónicos, que pueden servir a varios</w:t>
      </w:r>
      <w:r>
        <w:rPr>
          <w:spacing w:val="-4"/>
          <w:sz w:val="20"/>
        </w:rPr>
        <w:t> </w:t>
      </w:r>
      <w:r>
        <w:rPr>
          <w:sz w:val="20"/>
        </w:rPr>
        <w:t>aparatos;</w:t>
      </w:r>
    </w:p>
    <w:p>
      <w:pPr>
        <w:pStyle w:val="ListParagraph"/>
        <w:numPr>
          <w:ilvl w:val="1"/>
          <w:numId w:val="231"/>
        </w:numPr>
        <w:tabs>
          <w:tab w:pos="1125" w:val="left" w:leader="none"/>
          <w:tab w:pos="1126" w:val="left" w:leader="none"/>
        </w:tabs>
        <w:spacing w:line="240" w:lineRule="auto" w:before="60" w:after="0"/>
        <w:ind w:left="1126" w:right="0" w:hanging="454"/>
        <w:jc w:val="left"/>
        <w:rPr>
          <w:sz w:val="20"/>
        </w:rPr>
      </w:pPr>
      <w:r>
        <w:rPr>
          <w:sz w:val="20"/>
        </w:rPr>
        <w:t>sumideros</w:t>
      </w:r>
      <w:r>
        <w:rPr>
          <w:spacing w:val="-2"/>
          <w:sz w:val="20"/>
        </w:rPr>
        <w:t> </w:t>
      </w:r>
      <w:r>
        <w:rPr>
          <w:sz w:val="20"/>
        </w:rPr>
        <w:t>sifónicos;</w:t>
      </w:r>
    </w:p>
    <w:p>
      <w:pPr>
        <w:pStyle w:val="ListParagraph"/>
        <w:numPr>
          <w:ilvl w:val="1"/>
          <w:numId w:val="231"/>
        </w:numPr>
        <w:tabs>
          <w:tab w:pos="1125" w:val="left" w:leader="none"/>
          <w:tab w:pos="1126" w:val="left" w:leader="none"/>
        </w:tabs>
        <w:spacing w:line="240" w:lineRule="auto" w:before="60" w:after="0"/>
        <w:ind w:left="1126" w:right="0" w:hanging="454"/>
        <w:jc w:val="left"/>
        <w:rPr>
          <w:i/>
          <w:sz w:val="20"/>
        </w:rPr>
      </w:pPr>
      <w:r>
        <w:rPr>
          <w:sz w:val="20"/>
        </w:rPr>
        <w:t>arquetas sifónicas, situadas en los encuentros de los conductos enterrados de </w:t>
      </w:r>
      <w:r>
        <w:rPr>
          <w:i/>
          <w:sz w:val="20"/>
        </w:rPr>
        <w:t>aguas</w:t>
      </w:r>
      <w:r>
        <w:rPr>
          <w:i/>
          <w:spacing w:val="-8"/>
          <w:sz w:val="20"/>
        </w:rPr>
        <w:t> </w:t>
      </w:r>
      <w:r>
        <w:rPr>
          <w:i/>
          <w:sz w:val="20"/>
        </w:rPr>
        <w:t>pluviales</w:t>
      </w:r>
    </w:p>
    <w:p>
      <w:pPr>
        <w:spacing w:before="0"/>
        <w:ind w:left="1126" w:right="0" w:firstLine="0"/>
        <w:jc w:val="left"/>
        <w:rPr>
          <w:sz w:val="20"/>
        </w:rPr>
      </w:pPr>
      <w:r>
        <w:rPr>
          <w:sz w:val="20"/>
        </w:rPr>
        <w:t>y </w:t>
      </w:r>
      <w:r>
        <w:rPr>
          <w:i/>
          <w:sz w:val="20"/>
        </w:rPr>
        <w:t>residuales</w:t>
      </w:r>
      <w:r>
        <w:rPr>
          <w:sz w:val="20"/>
        </w:rPr>
        <w:t>.</w:t>
      </w:r>
    </w:p>
    <w:p>
      <w:pPr>
        <w:pStyle w:val="ListParagraph"/>
        <w:numPr>
          <w:ilvl w:val="0"/>
          <w:numId w:val="231"/>
        </w:numPr>
        <w:tabs>
          <w:tab w:pos="672" w:val="left" w:leader="none"/>
          <w:tab w:pos="673" w:val="left" w:leader="none"/>
        </w:tabs>
        <w:spacing w:line="240" w:lineRule="auto" w:before="60" w:after="0"/>
        <w:ind w:left="672" w:right="0" w:hanging="455"/>
        <w:jc w:val="left"/>
        <w:rPr>
          <w:sz w:val="20"/>
        </w:rPr>
      </w:pPr>
      <w:r>
        <w:rPr>
          <w:sz w:val="20"/>
        </w:rPr>
        <w:t>Los </w:t>
      </w:r>
      <w:r>
        <w:rPr>
          <w:i/>
          <w:sz w:val="20"/>
        </w:rPr>
        <w:t>cierres hidráulicos </w:t>
      </w:r>
      <w:r>
        <w:rPr>
          <w:sz w:val="20"/>
        </w:rPr>
        <w:t>deben tener las siguientes</w:t>
      </w:r>
      <w:r>
        <w:rPr>
          <w:spacing w:val="-2"/>
          <w:sz w:val="20"/>
        </w:rPr>
        <w:t> </w:t>
      </w:r>
      <w:r>
        <w:rPr>
          <w:sz w:val="20"/>
        </w:rPr>
        <w:t>características:</w:t>
      </w:r>
    </w:p>
    <w:p>
      <w:pPr>
        <w:pStyle w:val="ListParagraph"/>
        <w:numPr>
          <w:ilvl w:val="1"/>
          <w:numId w:val="231"/>
        </w:numPr>
        <w:tabs>
          <w:tab w:pos="1125" w:val="left" w:leader="none"/>
          <w:tab w:pos="1126" w:val="left" w:leader="none"/>
        </w:tabs>
        <w:spacing w:line="240" w:lineRule="auto" w:before="60" w:after="0"/>
        <w:ind w:left="1126" w:right="767" w:hanging="454"/>
        <w:jc w:val="left"/>
        <w:rPr>
          <w:sz w:val="20"/>
        </w:rPr>
      </w:pPr>
      <w:r>
        <w:rPr>
          <w:sz w:val="20"/>
        </w:rPr>
        <w:t>deben ser autolimpiables, de tal forma que el agua que los atraviese arrastre los sólidos en suspensión.</w:t>
      </w:r>
    </w:p>
    <w:p>
      <w:pPr>
        <w:pStyle w:val="ListParagraph"/>
        <w:numPr>
          <w:ilvl w:val="1"/>
          <w:numId w:val="231"/>
        </w:numPr>
        <w:tabs>
          <w:tab w:pos="1125" w:val="left" w:leader="none"/>
          <w:tab w:pos="1126" w:val="left" w:leader="none"/>
        </w:tabs>
        <w:spacing w:line="240" w:lineRule="auto" w:before="60" w:after="0"/>
        <w:ind w:left="1126" w:right="0" w:hanging="454"/>
        <w:jc w:val="left"/>
        <w:rPr>
          <w:sz w:val="20"/>
        </w:rPr>
      </w:pPr>
      <w:r>
        <w:rPr>
          <w:sz w:val="20"/>
        </w:rPr>
        <w:t>sus superficies interiores no deben retener materias</w:t>
      </w:r>
      <w:r>
        <w:rPr>
          <w:spacing w:val="-2"/>
          <w:sz w:val="20"/>
        </w:rPr>
        <w:t> </w:t>
      </w:r>
      <w:r>
        <w:rPr>
          <w:sz w:val="20"/>
        </w:rPr>
        <w:t>sólidas;</w:t>
      </w:r>
    </w:p>
    <w:p>
      <w:pPr>
        <w:pStyle w:val="ListParagraph"/>
        <w:numPr>
          <w:ilvl w:val="1"/>
          <w:numId w:val="231"/>
        </w:numPr>
        <w:tabs>
          <w:tab w:pos="1125" w:val="left" w:leader="none"/>
          <w:tab w:pos="1126" w:val="left" w:leader="none"/>
        </w:tabs>
        <w:spacing w:line="240" w:lineRule="auto" w:before="60" w:after="0"/>
        <w:ind w:left="1126" w:right="0" w:hanging="454"/>
        <w:jc w:val="left"/>
        <w:rPr>
          <w:sz w:val="20"/>
        </w:rPr>
      </w:pPr>
      <w:r>
        <w:rPr>
          <w:sz w:val="20"/>
        </w:rPr>
        <w:t>no deben tener partes móviles que impidan su correcto</w:t>
      </w:r>
      <w:r>
        <w:rPr>
          <w:spacing w:val="-10"/>
          <w:sz w:val="20"/>
        </w:rPr>
        <w:t> </w:t>
      </w:r>
      <w:r>
        <w:rPr>
          <w:sz w:val="20"/>
        </w:rPr>
        <w:t>funcionamiento;</w:t>
      </w:r>
    </w:p>
    <w:p>
      <w:pPr>
        <w:pStyle w:val="ListParagraph"/>
        <w:numPr>
          <w:ilvl w:val="1"/>
          <w:numId w:val="231"/>
        </w:numPr>
        <w:tabs>
          <w:tab w:pos="1125" w:val="left" w:leader="none"/>
          <w:tab w:pos="1126" w:val="left" w:leader="none"/>
        </w:tabs>
        <w:spacing w:line="240" w:lineRule="auto" w:before="60" w:after="0"/>
        <w:ind w:left="1126" w:right="0" w:hanging="454"/>
        <w:jc w:val="left"/>
        <w:rPr>
          <w:sz w:val="20"/>
        </w:rPr>
      </w:pPr>
      <w:r>
        <w:rPr>
          <w:sz w:val="20"/>
        </w:rPr>
        <w:t>deben tener un registro de limpieza fácilmente accesible y</w:t>
      </w:r>
      <w:r>
        <w:rPr>
          <w:spacing w:val="-9"/>
          <w:sz w:val="20"/>
        </w:rPr>
        <w:t> </w:t>
      </w:r>
      <w:r>
        <w:rPr>
          <w:sz w:val="20"/>
        </w:rPr>
        <w:t>manipulable;</w:t>
      </w:r>
    </w:p>
    <w:p>
      <w:pPr>
        <w:pStyle w:val="ListParagraph"/>
        <w:numPr>
          <w:ilvl w:val="1"/>
          <w:numId w:val="231"/>
        </w:numPr>
        <w:tabs>
          <w:tab w:pos="1125" w:val="left" w:leader="none"/>
          <w:tab w:pos="1126" w:val="left" w:leader="none"/>
        </w:tabs>
        <w:spacing w:line="240" w:lineRule="auto" w:before="60" w:after="0"/>
        <w:ind w:left="1126" w:right="410" w:hanging="454"/>
        <w:jc w:val="left"/>
        <w:rPr>
          <w:sz w:val="20"/>
        </w:rPr>
      </w:pPr>
      <w:r>
        <w:rPr>
          <w:sz w:val="20"/>
        </w:rPr>
        <w:t>la altura mínima de </w:t>
      </w:r>
      <w:r>
        <w:rPr>
          <w:i/>
          <w:sz w:val="20"/>
        </w:rPr>
        <w:t>cierre hidráulico </w:t>
      </w:r>
      <w:r>
        <w:rPr>
          <w:sz w:val="20"/>
        </w:rPr>
        <w:t>debe ser 50 mm, para usos continuos y 70 mm para usos discontinuos. La altura máxima debe ser 100 mm. La corona debe estar a una distancia igual o menor que 60 cm por debajo de la válvula de desagüe del aparato. El diámetro del sifón debe ser igual o mayor que el diámetro de la válvula de desagüe e igual o menor que el del ramal de desagüe. En caso de que exista una diferencia de diámetros, el tamaño debe aumentar en el sentido del flujo;</w:t>
      </w:r>
    </w:p>
    <w:p>
      <w:pPr>
        <w:pStyle w:val="ListParagraph"/>
        <w:numPr>
          <w:ilvl w:val="1"/>
          <w:numId w:val="231"/>
        </w:numPr>
        <w:tabs>
          <w:tab w:pos="1125" w:val="left" w:leader="none"/>
          <w:tab w:pos="1126" w:val="left" w:leader="none"/>
        </w:tabs>
        <w:spacing w:line="240" w:lineRule="auto" w:before="61" w:after="0"/>
        <w:ind w:left="1126" w:right="423" w:hanging="454"/>
        <w:jc w:val="left"/>
        <w:rPr>
          <w:sz w:val="20"/>
        </w:rPr>
      </w:pPr>
      <w:r>
        <w:rPr>
          <w:sz w:val="20"/>
        </w:rPr>
        <w:t>debe instalarse lo más cerca posible de la válvula de desagüe del aparato, para limitar la longi- tud de tubo sucio sin protección hacia el</w:t>
      </w:r>
      <w:r>
        <w:rPr>
          <w:spacing w:val="-5"/>
          <w:sz w:val="20"/>
        </w:rPr>
        <w:t> </w:t>
      </w:r>
      <w:r>
        <w:rPr>
          <w:sz w:val="20"/>
        </w:rPr>
        <w:t>ambiente;</w:t>
      </w:r>
    </w:p>
    <w:p>
      <w:pPr>
        <w:spacing w:after="0" w:line="240" w:lineRule="auto"/>
        <w:jc w:val="left"/>
        <w:rPr>
          <w:sz w:val="20"/>
        </w:rPr>
        <w:sectPr>
          <w:pgSz w:w="11910" w:h="16840"/>
          <w:pgMar w:header="714" w:footer="642" w:top="1320" w:bottom="840" w:left="1200" w:right="740"/>
        </w:sectPr>
      </w:pPr>
    </w:p>
    <w:p>
      <w:pPr>
        <w:pStyle w:val="ListParagraph"/>
        <w:numPr>
          <w:ilvl w:val="1"/>
          <w:numId w:val="231"/>
        </w:numPr>
        <w:tabs>
          <w:tab w:pos="1125" w:val="left" w:leader="none"/>
          <w:tab w:pos="1126" w:val="left" w:leader="none"/>
        </w:tabs>
        <w:spacing w:line="240" w:lineRule="auto" w:before="91" w:after="0"/>
        <w:ind w:left="1126" w:right="400" w:hanging="454"/>
        <w:jc w:val="left"/>
        <w:rPr>
          <w:sz w:val="20"/>
        </w:rPr>
      </w:pPr>
      <w:r>
        <w:rPr>
          <w:sz w:val="20"/>
        </w:rPr>
        <w:t>no deben instalarse serie, por lo que cuando se instale bote sifónico para un grupo de aparatos sanitarios, estos no deben estar dotados de sifón</w:t>
      </w:r>
      <w:r>
        <w:rPr>
          <w:spacing w:val="-7"/>
          <w:sz w:val="20"/>
        </w:rPr>
        <w:t> </w:t>
      </w:r>
      <w:r>
        <w:rPr>
          <w:sz w:val="20"/>
        </w:rPr>
        <w:t>individual;</w:t>
      </w:r>
    </w:p>
    <w:p>
      <w:pPr>
        <w:pStyle w:val="BodyText"/>
        <w:spacing w:before="5"/>
        <w:rPr>
          <w:sz w:val="30"/>
        </w:rPr>
      </w:pPr>
    </w:p>
    <w:p>
      <w:pPr>
        <w:spacing w:before="0"/>
        <w:ind w:left="1778" w:right="398" w:firstLine="0"/>
        <w:jc w:val="left"/>
        <w:rPr>
          <w:sz w:val="16"/>
        </w:rPr>
      </w:pPr>
      <w:r>
        <w:rPr/>
        <w:pict>
          <v:group style="position:absolute;margin-left:143pt;margin-top:.123901pt;width:.5pt;height:21.4pt;mso-position-horizontal-relative:page;mso-position-vertical-relative:paragraph;z-index:252002304" coordorigin="2860,2" coordsize="10,428">
            <v:line style="position:absolute" from="2865,2" to="2865,186" stroked="true" strokeweight=".48pt" strokecolor="#000000">
              <v:stroke dashstyle="solid"/>
            </v:line>
            <v:line style="position:absolute" from="2865,186" to="2865,430" stroked="true" strokeweight=".48pt" strokecolor="#000000">
              <v:stroke dashstyle="solid"/>
            </v:line>
            <w10:wrap type="none"/>
          </v:group>
        </w:pict>
      </w:r>
      <w:r>
        <w:rPr>
          <w:sz w:val="16"/>
        </w:rPr>
        <w:t>Si se produjese una situación insalvable, deberá instalarse una salida de ventilación entre dos botes sifónicos en serie para evitar la falta de cebado.</w:t>
      </w:r>
    </w:p>
    <w:p>
      <w:pPr>
        <w:pStyle w:val="BodyText"/>
        <w:spacing w:before="3"/>
        <w:rPr>
          <w:sz w:val="22"/>
        </w:rPr>
      </w:pPr>
    </w:p>
    <w:p>
      <w:pPr>
        <w:pStyle w:val="ListParagraph"/>
        <w:numPr>
          <w:ilvl w:val="1"/>
          <w:numId w:val="231"/>
        </w:numPr>
        <w:tabs>
          <w:tab w:pos="1125" w:val="left" w:leader="none"/>
          <w:tab w:pos="1126" w:val="left" w:leader="none"/>
        </w:tabs>
        <w:spacing w:line="240" w:lineRule="auto" w:before="94" w:after="0"/>
        <w:ind w:left="1126" w:right="458" w:hanging="454"/>
        <w:jc w:val="left"/>
        <w:rPr>
          <w:sz w:val="20"/>
        </w:rPr>
      </w:pPr>
      <w:r>
        <w:rPr>
          <w:sz w:val="20"/>
        </w:rPr>
        <w:t>si se dispone un único </w:t>
      </w:r>
      <w:r>
        <w:rPr>
          <w:i/>
          <w:sz w:val="20"/>
        </w:rPr>
        <w:t>cierre hidráulico </w:t>
      </w:r>
      <w:r>
        <w:rPr>
          <w:sz w:val="20"/>
        </w:rPr>
        <w:t>para servicio de varios aparatos, debe reducirse al má- ximo la distancia de estos al</w:t>
      </w:r>
      <w:r>
        <w:rPr>
          <w:spacing w:val="-3"/>
          <w:sz w:val="20"/>
        </w:rPr>
        <w:t> </w:t>
      </w:r>
      <w:r>
        <w:rPr>
          <w:sz w:val="20"/>
        </w:rPr>
        <w:t>cierre;</w:t>
      </w:r>
    </w:p>
    <w:p>
      <w:pPr>
        <w:pStyle w:val="ListParagraph"/>
        <w:numPr>
          <w:ilvl w:val="1"/>
          <w:numId w:val="231"/>
        </w:numPr>
        <w:tabs>
          <w:tab w:pos="1125" w:val="left" w:leader="none"/>
          <w:tab w:pos="1126" w:val="left" w:leader="none"/>
        </w:tabs>
        <w:spacing w:line="240" w:lineRule="auto" w:before="60" w:after="0"/>
        <w:ind w:left="1126" w:right="499" w:hanging="454"/>
        <w:jc w:val="left"/>
        <w:rPr>
          <w:sz w:val="20"/>
        </w:rPr>
      </w:pPr>
      <w:r>
        <w:rPr>
          <w:sz w:val="20"/>
        </w:rPr>
        <w:t>un bote sifónico no debe dar servicio a aparatos sanitarios no dispuestos en el cuarto húmedo en dónde esté instalado;</w:t>
      </w:r>
    </w:p>
    <w:p>
      <w:pPr>
        <w:pStyle w:val="ListParagraph"/>
        <w:numPr>
          <w:ilvl w:val="1"/>
          <w:numId w:val="231"/>
        </w:numPr>
        <w:tabs>
          <w:tab w:pos="1125" w:val="left" w:leader="none"/>
          <w:tab w:pos="1126" w:val="left" w:leader="none"/>
        </w:tabs>
        <w:spacing w:line="240" w:lineRule="auto" w:before="61" w:after="0"/>
        <w:ind w:left="1126" w:right="467" w:hanging="454"/>
        <w:jc w:val="left"/>
        <w:rPr>
          <w:sz w:val="20"/>
        </w:rPr>
      </w:pPr>
      <w:r>
        <w:rPr>
          <w:sz w:val="20"/>
        </w:rPr>
        <w:t>el desagüe de fregaderos, lavaderos y aparatos de bombeo (lavadoras y lavavajillas) debe </w:t>
      </w:r>
      <w:r>
        <w:rPr>
          <w:spacing w:val="-2"/>
          <w:sz w:val="20"/>
        </w:rPr>
        <w:t>ha- </w:t>
      </w:r>
      <w:r>
        <w:rPr>
          <w:sz w:val="20"/>
        </w:rPr>
        <w:t>cerse con sifón</w:t>
      </w:r>
      <w:r>
        <w:rPr>
          <w:spacing w:val="-3"/>
          <w:sz w:val="20"/>
        </w:rPr>
        <w:t> </w:t>
      </w:r>
      <w:r>
        <w:rPr>
          <w:sz w:val="20"/>
        </w:rPr>
        <w:t>individual.</w:t>
      </w:r>
    </w:p>
    <w:p>
      <w:pPr>
        <w:pStyle w:val="BodyText"/>
        <w:spacing w:before="4"/>
        <w:rPr>
          <w:sz w:val="30"/>
        </w:rPr>
      </w:pPr>
    </w:p>
    <w:p>
      <w:pPr>
        <w:spacing w:before="0"/>
        <w:ind w:left="1778" w:right="0" w:firstLine="0"/>
        <w:jc w:val="left"/>
        <w:rPr>
          <w:b/>
          <w:sz w:val="16"/>
        </w:rPr>
      </w:pPr>
      <w:r>
        <w:rPr/>
        <w:pict>
          <v:group style="position:absolute;margin-left:143pt;margin-top:.123916pt;width:.5pt;height:33.6pt;mso-position-horizontal-relative:page;mso-position-vertical-relative:paragraph;z-index:252003328" coordorigin="2860,2" coordsize="10,672">
            <v:line style="position:absolute" from="2865,2" to="2865,247" stroked="true" strokeweight=".48pt" strokecolor="#000000">
              <v:stroke dashstyle="solid"/>
            </v:line>
            <v:line style="position:absolute" from="2865,247" to="2865,431" stroked="true" strokeweight=".48pt" strokecolor="#000000">
              <v:stroke dashstyle="solid"/>
            </v:line>
            <v:line style="position:absolute" from="2865,431" to="2865,674" stroked="true" strokeweight=".48pt" strokecolor="#000000">
              <v:stroke dashstyle="solid"/>
            </v:line>
            <w10:wrap type="none"/>
          </v:group>
        </w:pict>
      </w:r>
      <w:r>
        <w:rPr>
          <w:b/>
          <w:sz w:val="16"/>
        </w:rPr>
        <w:t>Cierres mecánicos</w:t>
      </w:r>
    </w:p>
    <w:p>
      <w:pPr>
        <w:spacing w:before="61"/>
        <w:ind w:left="1778" w:right="630" w:firstLine="0"/>
        <w:jc w:val="left"/>
        <w:rPr>
          <w:sz w:val="16"/>
        </w:rPr>
      </w:pPr>
      <w:r>
        <w:rPr>
          <w:sz w:val="16"/>
        </w:rPr>
        <w:t>En casos excepcionales, puede justificarse la necesidad de emplear cierres mecánicos, en especial en los desagües de cubierta en climas secos.</w:t>
      </w:r>
    </w:p>
    <w:p>
      <w:pPr>
        <w:pStyle w:val="BodyText"/>
      </w:pPr>
    </w:p>
    <w:p>
      <w:pPr>
        <w:pStyle w:val="BodyText"/>
        <w:spacing w:before="6"/>
        <w:rPr>
          <w:sz w:val="22"/>
        </w:rPr>
      </w:pPr>
    </w:p>
    <w:p>
      <w:pPr>
        <w:pStyle w:val="Heading5"/>
        <w:numPr>
          <w:ilvl w:val="3"/>
          <w:numId w:val="228"/>
        </w:numPr>
        <w:tabs>
          <w:tab w:pos="1352" w:val="left" w:leader="none"/>
          <w:tab w:pos="1353" w:val="left" w:leader="none"/>
        </w:tabs>
        <w:spacing w:line="240" w:lineRule="auto" w:before="0" w:after="0"/>
        <w:ind w:left="1352" w:right="0" w:hanging="1135"/>
        <w:jc w:val="left"/>
      </w:pPr>
      <w:r>
        <w:rPr/>
        <w:t>Redes de pequeña</w:t>
      </w:r>
      <w:r>
        <w:rPr>
          <w:spacing w:val="-1"/>
        </w:rPr>
        <w:t> </w:t>
      </w:r>
      <w:r>
        <w:rPr/>
        <w:t>evacuación</w:t>
      </w:r>
    </w:p>
    <w:p>
      <w:pPr>
        <w:pStyle w:val="BodyText"/>
        <w:tabs>
          <w:tab w:pos="672" w:val="left" w:leader="none"/>
        </w:tabs>
        <w:spacing w:before="80"/>
        <w:ind w:left="218"/>
      </w:pPr>
      <w:r>
        <w:rPr/>
        <w:t>1</w:t>
        <w:tab/>
        <w:t>Las redes de pequeña evacuación deben diseñarse conforme a los siguientes</w:t>
      </w:r>
      <w:r>
        <w:rPr>
          <w:spacing w:val="-11"/>
        </w:rPr>
        <w:t> </w:t>
      </w:r>
      <w:r>
        <w:rPr/>
        <w:t>criterios:</w:t>
      </w:r>
    </w:p>
    <w:p>
      <w:pPr>
        <w:pStyle w:val="ListParagraph"/>
        <w:numPr>
          <w:ilvl w:val="0"/>
          <w:numId w:val="232"/>
        </w:numPr>
        <w:tabs>
          <w:tab w:pos="1125" w:val="left" w:leader="none"/>
          <w:tab w:pos="1126" w:val="left" w:leader="none"/>
        </w:tabs>
        <w:spacing w:line="240" w:lineRule="auto" w:before="60" w:after="0"/>
        <w:ind w:left="1126" w:right="455" w:hanging="454"/>
        <w:jc w:val="left"/>
        <w:rPr>
          <w:sz w:val="20"/>
        </w:rPr>
      </w:pPr>
      <w:r>
        <w:rPr>
          <w:sz w:val="20"/>
        </w:rPr>
        <w:t>el trazado de la red debe ser lo más sencillo posible para conseguir una circulación natural por gravedad, evitando los cambios bruscos de dirección y utilizando las piezas especiales ade- cuadas;</w:t>
      </w:r>
    </w:p>
    <w:p>
      <w:pPr>
        <w:pStyle w:val="ListParagraph"/>
        <w:numPr>
          <w:ilvl w:val="0"/>
          <w:numId w:val="232"/>
        </w:numPr>
        <w:tabs>
          <w:tab w:pos="1125" w:val="left" w:leader="none"/>
          <w:tab w:pos="1126" w:val="left" w:leader="none"/>
        </w:tabs>
        <w:spacing w:line="240" w:lineRule="auto" w:before="61" w:after="0"/>
        <w:ind w:left="1126" w:right="521" w:hanging="454"/>
        <w:jc w:val="left"/>
        <w:rPr>
          <w:sz w:val="20"/>
        </w:rPr>
      </w:pPr>
      <w:r>
        <w:rPr>
          <w:sz w:val="20"/>
        </w:rPr>
        <w:t>deben conectarse a las </w:t>
      </w:r>
      <w:r>
        <w:rPr>
          <w:i/>
          <w:sz w:val="20"/>
        </w:rPr>
        <w:t>bajantes</w:t>
      </w:r>
      <w:r>
        <w:rPr>
          <w:sz w:val="20"/>
        </w:rPr>
        <w:t>; cuando por condicionantes del diseño esto no fuera posible, se permite su conexión al manguetón del</w:t>
      </w:r>
      <w:r>
        <w:rPr>
          <w:spacing w:val="-5"/>
          <w:sz w:val="20"/>
        </w:rPr>
        <w:t> </w:t>
      </w:r>
      <w:r>
        <w:rPr>
          <w:sz w:val="20"/>
        </w:rPr>
        <w:t>inodoro;</w:t>
      </w:r>
    </w:p>
    <w:p>
      <w:pPr>
        <w:pStyle w:val="ListParagraph"/>
        <w:numPr>
          <w:ilvl w:val="0"/>
          <w:numId w:val="232"/>
        </w:numPr>
        <w:tabs>
          <w:tab w:pos="1125" w:val="left" w:leader="none"/>
          <w:tab w:pos="1126" w:val="left" w:leader="none"/>
        </w:tabs>
        <w:spacing w:line="240" w:lineRule="auto" w:before="59" w:after="0"/>
        <w:ind w:left="1126" w:right="0" w:hanging="454"/>
        <w:jc w:val="left"/>
        <w:rPr>
          <w:sz w:val="20"/>
        </w:rPr>
      </w:pPr>
      <w:r>
        <w:rPr>
          <w:sz w:val="20"/>
        </w:rPr>
        <w:t>la distancia del bote sifónico a la </w:t>
      </w:r>
      <w:r>
        <w:rPr>
          <w:i/>
          <w:sz w:val="20"/>
        </w:rPr>
        <w:t>bajante </w:t>
      </w:r>
      <w:r>
        <w:rPr>
          <w:sz w:val="20"/>
        </w:rPr>
        <w:t>no debe ser mayor que 2,00</w:t>
      </w:r>
      <w:r>
        <w:rPr>
          <w:spacing w:val="-8"/>
          <w:sz w:val="20"/>
        </w:rPr>
        <w:t> </w:t>
      </w:r>
      <w:r>
        <w:rPr>
          <w:sz w:val="20"/>
        </w:rPr>
        <w:t>m;</w:t>
      </w:r>
    </w:p>
    <w:p>
      <w:pPr>
        <w:pStyle w:val="ListParagraph"/>
        <w:numPr>
          <w:ilvl w:val="0"/>
          <w:numId w:val="232"/>
        </w:numPr>
        <w:tabs>
          <w:tab w:pos="1125" w:val="left" w:leader="none"/>
          <w:tab w:pos="1126" w:val="left" w:leader="none"/>
        </w:tabs>
        <w:spacing w:line="240" w:lineRule="auto" w:before="61" w:after="0"/>
        <w:ind w:left="1126" w:right="765" w:hanging="454"/>
        <w:jc w:val="left"/>
        <w:rPr>
          <w:sz w:val="20"/>
        </w:rPr>
      </w:pPr>
      <w:r>
        <w:rPr>
          <w:sz w:val="20"/>
        </w:rPr>
        <w:t>las derivaciones que acometan al bote sifónico deben tener una longitud igual o menor que 2,50 m, con una pendiente comprendida entre el 2 y el 4</w:t>
      </w:r>
      <w:r>
        <w:rPr>
          <w:spacing w:val="-9"/>
          <w:sz w:val="20"/>
        </w:rPr>
        <w:t> </w:t>
      </w:r>
      <w:r>
        <w:rPr>
          <w:sz w:val="20"/>
        </w:rPr>
        <w:t>%;</w:t>
      </w:r>
    </w:p>
    <w:p>
      <w:pPr>
        <w:pStyle w:val="ListParagraph"/>
        <w:numPr>
          <w:ilvl w:val="0"/>
          <w:numId w:val="232"/>
        </w:numPr>
        <w:tabs>
          <w:tab w:pos="1125" w:val="left" w:leader="none"/>
          <w:tab w:pos="1126" w:val="left" w:leader="none"/>
        </w:tabs>
        <w:spacing w:line="240" w:lineRule="auto" w:before="60" w:after="0"/>
        <w:ind w:left="1126" w:right="0" w:hanging="454"/>
        <w:jc w:val="left"/>
        <w:rPr>
          <w:sz w:val="20"/>
        </w:rPr>
      </w:pPr>
      <w:r>
        <w:rPr>
          <w:sz w:val="20"/>
        </w:rPr>
        <w:t>en los aparatos dotados de sifón individual deben tener las características</w:t>
      </w:r>
      <w:r>
        <w:rPr>
          <w:spacing w:val="-7"/>
          <w:sz w:val="20"/>
        </w:rPr>
        <w:t> </w:t>
      </w:r>
      <w:r>
        <w:rPr>
          <w:sz w:val="20"/>
        </w:rPr>
        <w:t>siguientes:</w:t>
      </w:r>
    </w:p>
    <w:p>
      <w:pPr>
        <w:pStyle w:val="ListParagraph"/>
        <w:numPr>
          <w:ilvl w:val="1"/>
          <w:numId w:val="232"/>
        </w:numPr>
        <w:tabs>
          <w:tab w:pos="1579" w:val="left" w:leader="none"/>
          <w:tab w:pos="1580" w:val="left" w:leader="none"/>
        </w:tabs>
        <w:spacing w:line="240" w:lineRule="auto" w:before="60" w:after="0"/>
        <w:ind w:left="1579" w:right="455" w:hanging="454"/>
        <w:jc w:val="left"/>
        <w:rPr>
          <w:sz w:val="20"/>
        </w:rPr>
      </w:pPr>
      <w:r>
        <w:rPr>
          <w:sz w:val="20"/>
        </w:rPr>
        <w:t>en los fregaderos, los lavaderos, los lavabos y los bidés la distancia a la </w:t>
      </w:r>
      <w:r>
        <w:rPr>
          <w:i/>
          <w:sz w:val="20"/>
        </w:rPr>
        <w:t>bajante </w:t>
      </w:r>
      <w:r>
        <w:rPr>
          <w:sz w:val="20"/>
        </w:rPr>
        <w:t>debe ser 4,00 m como máximo, con pendientes comprendidas entre un 2,5 y un 5</w:t>
      </w:r>
      <w:r>
        <w:rPr>
          <w:spacing w:val="-9"/>
          <w:sz w:val="20"/>
        </w:rPr>
        <w:t> </w:t>
      </w:r>
      <w:r>
        <w:rPr>
          <w:sz w:val="20"/>
        </w:rPr>
        <w:t>%;</w:t>
      </w:r>
    </w:p>
    <w:p>
      <w:pPr>
        <w:pStyle w:val="ListParagraph"/>
        <w:numPr>
          <w:ilvl w:val="1"/>
          <w:numId w:val="232"/>
        </w:numPr>
        <w:tabs>
          <w:tab w:pos="1579" w:val="left" w:leader="none"/>
          <w:tab w:pos="1580" w:val="left" w:leader="none"/>
        </w:tabs>
        <w:spacing w:line="240" w:lineRule="auto" w:before="60" w:after="0"/>
        <w:ind w:left="1579" w:right="0" w:hanging="454"/>
        <w:jc w:val="left"/>
        <w:rPr>
          <w:sz w:val="20"/>
        </w:rPr>
      </w:pPr>
      <w:r>
        <w:rPr>
          <w:sz w:val="20"/>
        </w:rPr>
        <w:t>en las bañeras y las duchas la pendiente debe ser menor o igual que el 10</w:t>
      </w:r>
      <w:r>
        <w:rPr>
          <w:spacing w:val="-9"/>
          <w:sz w:val="20"/>
        </w:rPr>
        <w:t> </w:t>
      </w:r>
      <w:r>
        <w:rPr>
          <w:sz w:val="20"/>
        </w:rPr>
        <w:t>%;</w:t>
      </w:r>
    </w:p>
    <w:p>
      <w:pPr>
        <w:pStyle w:val="ListParagraph"/>
        <w:numPr>
          <w:ilvl w:val="1"/>
          <w:numId w:val="232"/>
        </w:numPr>
        <w:tabs>
          <w:tab w:pos="1579" w:val="left" w:leader="none"/>
          <w:tab w:pos="1580" w:val="left" w:leader="none"/>
        </w:tabs>
        <w:spacing w:line="240" w:lineRule="auto" w:before="60" w:after="0"/>
        <w:ind w:left="1579" w:right="402" w:hanging="454"/>
        <w:jc w:val="left"/>
        <w:rPr>
          <w:sz w:val="20"/>
        </w:rPr>
      </w:pPr>
      <w:r>
        <w:rPr>
          <w:sz w:val="20"/>
        </w:rPr>
        <w:t>el desagüe de los inodoros a las </w:t>
      </w:r>
      <w:r>
        <w:rPr>
          <w:i/>
          <w:sz w:val="20"/>
        </w:rPr>
        <w:t>bajantes </w:t>
      </w:r>
      <w:r>
        <w:rPr>
          <w:sz w:val="20"/>
        </w:rPr>
        <w:t>debe realizarse directamente o por medio de un manguetón de acometida de longitud igual o menor que 1,00 m, siempre que no sea po- sible dar al tubo la pendiente</w:t>
      </w:r>
      <w:r>
        <w:rPr>
          <w:spacing w:val="-3"/>
          <w:sz w:val="20"/>
        </w:rPr>
        <w:t> </w:t>
      </w:r>
      <w:r>
        <w:rPr>
          <w:sz w:val="20"/>
        </w:rPr>
        <w:t>necesaria.</w:t>
      </w:r>
    </w:p>
    <w:p>
      <w:pPr>
        <w:pStyle w:val="ListParagraph"/>
        <w:numPr>
          <w:ilvl w:val="0"/>
          <w:numId w:val="232"/>
        </w:numPr>
        <w:tabs>
          <w:tab w:pos="1125" w:val="left" w:leader="none"/>
          <w:tab w:pos="1126" w:val="left" w:leader="none"/>
        </w:tabs>
        <w:spacing w:line="240" w:lineRule="auto" w:before="59" w:after="0"/>
        <w:ind w:left="1126" w:right="0" w:hanging="454"/>
        <w:jc w:val="left"/>
        <w:rPr>
          <w:sz w:val="20"/>
        </w:rPr>
      </w:pPr>
      <w:r>
        <w:rPr>
          <w:sz w:val="20"/>
        </w:rPr>
        <w:t>debe disponerse un rebosadero en los lavabos, bidés, bañeras y</w:t>
      </w:r>
      <w:r>
        <w:rPr>
          <w:spacing w:val="-4"/>
          <w:sz w:val="20"/>
        </w:rPr>
        <w:t> </w:t>
      </w:r>
      <w:r>
        <w:rPr>
          <w:sz w:val="20"/>
        </w:rPr>
        <w:t>fregaderos;</w:t>
      </w:r>
    </w:p>
    <w:p>
      <w:pPr>
        <w:pStyle w:val="BodyText"/>
        <w:spacing w:before="6"/>
        <w:rPr>
          <w:sz w:val="30"/>
        </w:rPr>
      </w:pPr>
    </w:p>
    <w:p>
      <w:pPr>
        <w:spacing w:before="0"/>
        <w:ind w:left="1778" w:right="0" w:firstLine="0"/>
        <w:jc w:val="left"/>
        <w:rPr>
          <w:b/>
          <w:sz w:val="16"/>
        </w:rPr>
      </w:pPr>
      <w:r>
        <w:rPr/>
        <w:pict>
          <v:group style="position:absolute;margin-left:143pt;margin-top:.123901pt;width:.5pt;height:33.6pt;mso-position-horizontal-relative:page;mso-position-vertical-relative:paragraph;z-index:252004352" coordorigin="2860,2" coordsize="10,672">
            <v:line style="position:absolute" from="2865,2" to="2865,246" stroked="true" strokeweight=".48pt" strokecolor="#000000">
              <v:stroke dashstyle="solid"/>
            </v:line>
            <v:line style="position:absolute" from="2865,246" to="2865,430" stroked="true" strokeweight=".48pt" strokecolor="#000000">
              <v:stroke dashstyle="solid"/>
            </v:line>
            <v:line style="position:absolute" from="2865,430" to="2865,674" stroked="true" strokeweight=".48pt" strokecolor="#000000">
              <v:stroke dashstyle="solid"/>
            </v:line>
            <w10:wrap type="none"/>
          </v:group>
        </w:pict>
      </w:r>
      <w:r>
        <w:rPr>
          <w:b/>
          <w:sz w:val="16"/>
        </w:rPr>
        <w:t>Rebosadero</w:t>
      </w:r>
    </w:p>
    <w:p>
      <w:pPr>
        <w:spacing w:before="60"/>
        <w:ind w:left="1778" w:right="433" w:firstLine="0"/>
        <w:jc w:val="left"/>
        <w:rPr>
          <w:sz w:val="16"/>
        </w:rPr>
      </w:pPr>
      <w:r>
        <w:rPr>
          <w:sz w:val="16"/>
        </w:rPr>
        <w:t>Su disposición es obligatoria, debiendo contar con desagüe o conectándose con el desagüe del lavabo, bidé, bañera o fregadero. El hecho de que un lavabo no disponga de tapón no lo exime de tener rebosadero.</w:t>
      </w:r>
    </w:p>
    <w:p>
      <w:pPr>
        <w:pStyle w:val="BodyText"/>
        <w:spacing w:before="2"/>
        <w:rPr>
          <w:sz w:val="22"/>
        </w:rPr>
      </w:pPr>
    </w:p>
    <w:p>
      <w:pPr>
        <w:pStyle w:val="ListParagraph"/>
        <w:numPr>
          <w:ilvl w:val="0"/>
          <w:numId w:val="232"/>
        </w:numPr>
        <w:tabs>
          <w:tab w:pos="1125" w:val="left" w:leader="none"/>
          <w:tab w:pos="1126" w:val="left" w:leader="none"/>
        </w:tabs>
        <w:spacing w:line="240" w:lineRule="auto" w:before="94" w:after="0"/>
        <w:ind w:left="1126" w:right="0" w:hanging="454"/>
        <w:jc w:val="left"/>
        <w:rPr>
          <w:sz w:val="20"/>
        </w:rPr>
      </w:pPr>
      <w:r>
        <w:rPr>
          <w:sz w:val="20"/>
        </w:rPr>
        <w:t>no deben disponerse desagües enfrentados acometiendo a una tubería</w:t>
      </w:r>
      <w:r>
        <w:rPr>
          <w:spacing w:val="-5"/>
          <w:sz w:val="20"/>
        </w:rPr>
        <w:t> </w:t>
      </w:r>
      <w:r>
        <w:rPr>
          <w:sz w:val="20"/>
        </w:rPr>
        <w:t>común;</w:t>
      </w:r>
    </w:p>
    <w:p>
      <w:pPr>
        <w:pStyle w:val="ListParagraph"/>
        <w:numPr>
          <w:ilvl w:val="0"/>
          <w:numId w:val="232"/>
        </w:numPr>
        <w:tabs>
          <w:tab w:pos="1125" w:val="left" w:leader="none"/>
          <w:tab w:pos="1126" w:val="left" w:leader="none"/>
        </w:tabs>
        <w:spacing w:line="240" w:lineRule="auto" w:before="60" w:after="0"/>
        <w:ind w:left="1126" w:right="676" w:hanging="454"/>
        <w:jc w:val="left"/>
        <w:rPr>
          <w:sz w:val="20"/>
        </w:rPr>
      </w:pPr>
      <w:r>
        <w:rPr>
          <w:sz w:val="20"/>
        </w:rPr>
        <w:t>las uniones de los desagües a las </w:t>
      </w:r>
      <w:r>
        <w:rPr>
          <w:i/>
          <w:sz w:val="20"/>
        </w:rPr>
        <w:t>bajantes </w:t>
      </w:r>
      <w:r>
        <w:rPr>
          <w:sz w:val="20"/>
        </w:rPr>
        <w:t>deben tener la mayor inclinación posible, que en cualquier caso no debe ser menor que</w:t>
      </w:r>
      <w:r>
        <w:rPr>
          <w:spacing w:val="-5"/>
          <w:sz w:val="20"/>
        </w:rPr>
        <w:t> </w:t>
      </w:r>
      <w:r>
        <w:rPr>
          <w:sz w:val="20"/>
        </w:rPr>
        <w:t>45º;</w:t>
      </w:r>
    </w:p>
    <w:p>
      <w:pPr>
        <w:pStyle w:val="ListParagraph"/>
        <w:numPr>
          <w:ilvl w:val="0"/>
          <w:numId w:val="232"/>
        </w:numPr>
        <w:tabs>
          <w:tab w:pos="1125" w:val="left" w:leader="none"/>
          <w:tab w:pos="1126" w:val="left" w:leader="none"/>
        </w:tabs>
        <w:spacing w:line="240" w:lineRule="auto" w:before="60" w:after="0"/>
        <w:ind w:left="1126" w:right="477" w:hanging="454"/>
        <w:jc w:val="left"/>
        <w:rPr>
          <w:sz w:val="20"/>
        </w:rPr>
      </w:pPr>
      <w:r>
        <w:rPr>
          <w:sz w:val="20"/>
        </w:rPr>
        <w:t>cuando se utilice el sistema de sifones individuales, los ramales de desagüe de los aparatos sanitarios deben unirse a un tubo de derivación, que desemboque en la </w:t>
      </w:r>
      <w:r>
        <w:rPr>
          <w:i/>
          <w:sz w:val="20"/>
        </w:rPr>
        <w:t>bajante </w:t>
      </w:r>
      <w:r>
        <w:rPr>
          <w:sz w:val="20"/>
        </w:rPr>
        <w:t>o si esto no fuera posible, en el manguetón del inodoro, y que tenga la cabecera registrable con tapón ros- cado;</w:t>
      </w:r>
    </w:p>
    <w:p>
      <w:pPr>
        <w:pStyle w:val="ListParagraph"/>
        <w:numPr>
          <w:ilvl w:val="0"/>
          <w:numId w:val="232"/>
        </w:numPr>
        <w:tabs>
          <w:tab w:pos="1125" w:val="left" w:leader="none"/>
          <w:tab w:pos="1126" w:val="left" w:leader="none"/>
        </w:tabs>
        <w:spacing w:line="240" w:lineRule="auto" w:before="61" w:after="0"/>
        <w:ind w:left="1126" w:right="0" w:hanging="454"/>
        <w:jc w:val="left"/>
        <w:rPr>
          <w:sz w:val="20"/>
        </w:rPr>
      </w:pPr>
      <w:r>
        <w:rPr>
          <w:sz w:val="20"/>
        </w:rPr>
        <w:t>excepto en instalaciones temporales, deben evitarse en estas redes los desagües</w:t>
      </w:r>
      <w:r>
        <w:rPr>
          <w:spacing w:val="-8"/>
          <w:sz w:val="20"/>
        </w:rPr>
        <w:t> </w:t>
      </w:r>
      <w:r>
        <w:rPr>
          <w:sz w:val="20"/>
        </w:rPr>
        <w:t>bombeados.</w:t>
      </w:r>
    </w:p>
    <w:p>
      <w:pPr>
        <w:pStyle w:val="BodyText"/>
        <w:spacing w:before="5"/>
        <w:rPr>
          <w:sz w:val="17"/>
        </w:rPr>
      </w:pPr>
    </w:p>
    <w:p>
      <w:pPr>
        <w:pStyle w:val="ListParagraph"/>
        <w:numPr>
          <w:ilvl w:val="3"/>
          <w:numId w:val="228"/>
        </w:numPr>
        <w:tabs>
          <w:tab w:pos="1352" w:val="left" w:leader="none"/>
          <w:tab w:pos="1353" w:val="left" w:leader="none"/>
        </w:tabs>
        <w:spacing w:line="240" w:lineRule="auto" w:before="0" w:after="0"/>
        <w:ind w:left="1352" w:right="0" w:hanging="1135"/>
        <w:jc w:val="left"/>
        <w:rPr>
          <w:b/>
          <w:sz w:val="20"/>
        </w:rPr>
      </w:pPr>
      <w:r>
        <w:rPr>
          <w:b/>
          <w:i/>
          <w:sz w:val="20"/>
        </w:rPr>
        <w:t>Bajantes </w:t>
      </w:r>
      <w:r>
        <w:rPr>
          <w:b/>
          <w:sz w:val="20"/>
        </w:rPr>
        <w:t>y</w:t>
      </w:r>
      <w:r>
        <w:rPr>
          <w:b/>
          <w:spacing w:val="-3"/>
          <w:sz w:val="20"/>
        </w:rPr>
        <w:t> </w:t>
      </w:r>
      <w:r>
        <w:rPr>
          <w:b/>
          <w:sz w:val="20"/>
        </w:rPr>
        <w:t>canalones</w:t>
      </w:r>
    </w:p>
    <w:p>
      <w:pPr>
        <w:pStyle w:val="ListParagraph"/>
        <w:numPr>
          <w:ilvl w:val="0"/>
          <w:numId w:val="233"/>
        </w:numPr>
        <w:tabs>
          <w:tab w:pos="672" w:val="left" w:leader="none"/>
          <w:tab w:pos="673" w:val="left" w:leader="none"/>
        </w:tabs>
        <w:spacing w:line="240" w:lineRule="auto" w:before="80" w:after="0"/>
        <w:ind w:left="672" w:right="433" w:hanging="454"/>
        <w:jc w:val="left"/>
        <w:rPr>
          <w:sz w:val="20"/>
        </w:rPr>
      </w:pPr>
      <w:r>
        <w:rPr>
          <w:sz w:val="20"/>
        </w:rPr>
        <w:t>Las </w:t>
      </w:r>
      <w:r>
        <w:rPr>
          <w:i/>
          <w:sz w:val="20"/>
        </w:rPr>
        <w:t>bajantes </w:t>
      </w:r>
      <w:r>
        <w:rPr>
          <w:sz w:val="20"/>
        </w:rPr>
        <w:t>deben realizarse sin desviaciones ni retranqueos y con diámetro uniforme en toda su altura excepto, en el caso de </w:t>
      </w:r>
      <w:r>
        <w:rPr>
          <w:i/>
          <w:sz w:val="20"/>
        </w:rPr>
        <w:t>bajantes </w:t>
      </w:r>
      <w:r>
        <w:rPr>
          <w:sz w:val="20"/>
        </w:rPr>
        <w:t>de </w:t>
      </w:r>
      <w:r>
        <w:rPr>
          <w:i/>
          <w:sz w:val="20"/>
        </w:rPr>
        <w:t>residuales</w:t>
      </w:r>
      <w:r>
        <w:rPr>
          <w:sz w:val="20"/>
        </w:rPr>
        <w:t>, cuando existan obstáculos insalvables en su recorrido y cuando la presencia de inodoros exija un diámetro concreto desde los tramos superiores que no es superado en el resto de la</w:t>
      </w:r>
      <w:r>
        <w:rPr>
          <w:spacing w:val="-3"/>
          <w:sz w:val="20"/>
        </w:rPr>
        <w:t> </w:t>
      </w:r>
      <w:r>
        <w:rPr>
          <w:i/>
          <w:sz w:val="20"/>
        </w:rPr>
        <w:t>bajante</w:t>
      </w:r>
      <w:r>
        <w:rPr>
          <w:sz w:val="20"/>
        </w:rPr>
        <w:t>.</w:t>
      </w:r>
    </w:p>
    <w:p>
      <w:pPr>
        <w:spacing w:after="0" w:line="240" w:lineRule="auto"/>
        <w:jc w:val="left"/>
        <w:rPr>
          <w:sz w:val="20"/>
        </w:rPr>
        <w:sectPr>
          <w:pgSz w:w="11910" w:h="16840"/>
          <w:pgMar w:header="714" w:footer="642" w:top="1320" w:bottom="840" w:left="1200" w:right="740"/>
        </w:sectPr>
      </w:pPr>
    </w:p>
    <w:p>
      <w:pPr>
        <w:pStyle w:val="ListParagraph"/>
        <w:numPr>
          <w:ilvl w:val="0"/>
          <w:numId w:val="233"/>
        </w:numPr>
        <w:tabs>
          <w:tab w:pos="672" w:val="left" w:leader="none"/>
          <w:tab w:pos="673" w:val="left" w:leader="none"/>
        </w:tabs>
        <w:spacing w:line="240" w:lineRule="auto" w:before="91" w:after="0"/>
        <w:ind w:left="672" w:right="0" w:hanging="455"/>
        <w:jc w:val="left"/>
        <w:rPr>
          <w:sz w:val="20"/>
        </w:rPr>
      </w:pPr>
      <w:r>
        <w:rPr>
          <w:sz w:val="20"/>
        </w:rPr>
        <w:t>El diámetro no debe disminuir en el sentido de la</w:t>
      </w:r>
      <w:r>
        <w:rPr>
          <w:spacing w:val="-3"/>
          <w:sz w:val="20"/>
        </w:rPr>
        <w:t> </w:t>
      </w:r>
      <w:r>
        <w:rPr>
          <w:sz w:val="20"/>
        </w:rPr>
        <w:t>corriente.</w:t>
      </w:r>
    </w:p>
    <w:p>
      <w:pPr>
        <w:pStyle w:val="ListParagraph"/>
        <w:numPr>
          <w:ilvl w:val="0"/>
          <w:numId w:val="233"/>
        </w:numPr>
        <w:tabs>
          <w:tab w:pos="672" w:val="left" w:leader="none"/>
          <w:tab w:pos="673" w:val="left" w:leader="none"/>
        </w:tabs>
        <w:spacing w:line="240" w:lineRule="auto" w:before="59" w:after="0"/>
        <w:ind w:left="672" w:right="752" w:hanging="454"/>
        <w:jc w:val="left"/>
        <w:rPr>
          <w:sz w:val="20"/>
        </w:rPr>
      </w:pPr>
      <w:r>
        <w:rPr>
          <w:sz w:val="20"/>
        </w:rPr>
        <w:t>Podrá disponerse un aumento de diámetro cuando acometan a la </w:t>
      </w:r>
      <w:r>
        <w:rPr>
          <w:i/>
          <w:sz w:val="20"/>
        </w:rPr>
        <w:t>bajante </w:t>
      </w:r>
      <w:r>
        <w:rPr>
          <w:sz w:val="20"/>
        </w:rPr>
        <w:t>caudales de magnitud mucho mayor que los del tramo situado aguas</w:t>
      </w:r>
      <w:r>
        <w:rPr>
          <w:spacing w:val="-4"/>
          <w:sz w:val="20"/>
        </w:rPr>
        <w:t> </w:t>
      </w:r>
      <w:r>
        <w:rPr>
          <w:sz w:val="20"/>
        </w:rPr>
        <w:t>arriba.</w:t>
      </w:r>
    </w:p>
    <w:p>
      <w:pPr>
        <w:pStyle w:val="BodyText"/>
        <w:spacing w:before="6"/>
        <w:rPr>
          <w:sz w:val="17"/>
        </w:rPr>
      </w:pPr>
    </w:p>
    <w:p>
      <w:pPr>
        <w:pStyle w:val="Heading6"/>
        <w:numPr>
          <w:ilvl w:val="3"/>
          <w:numId w:val="228"/>
        </w:numPr>
        <w:tabs>
          <w:tab w:pos="1352" w:val="left" w:leader="none"/>
          <w:tab w:pos="1353" w:val="left" w:leader="none"/>
        </w:tabs>
        <w:spacing w:line="240" w:lineRule="auto" w:before="0" w:after="0"/>
        <w:ind w:left="1352" w:right="0" w:hanging="1135"/>
        <w:jc w:val="left"/>
        <w:rPr>
          <w:i/>
        </w:rPr>
      </w:pPr>
      <w:r>
        <w:rPr>
          <w:i/>
        </w:rPr>
        <w:t>Colectores</w:t>
      </w:r>
    </w:p>
    <w:p>
      <w:pPr>
        <w:pStyle w:val="BodyText"/>
        <w:tabs>
          <w:tab w:pos="672" w:val="left" w:leader="none"/>
        </w:tabs>
        <w:spacing w:before="80"/>
        <w:ind w:left="218"/>
      </w:pPr>
      <w:r>
        <w:rPr/>
        <w:t>1</w:t>
        <w:tab/>
        <w:t>Los </w:t>
      </w:r>
      <w:r>
        <w:rPr>
          <w:i/>
        </w:rPr>
        <w:t>colectores </w:t>
      </w:r>
      <w:r>
        <w:rPr/>
        <w:t>pueden disponerse colgados o</w:t>
      </w:r>
      <w:r>
        <w:rPr>
          <w:spacing w:val="-2"/>
        </w:rPr>
        <w:t> </w:t>
      </w:r>
      <w:r>
        <w:rPr/>
        <w:t>enterrados.</w:t>
      </w:r>
    </w:p>
    <w:p>
      <w:pPr>
        <w:pStyle w:val="BodyText"/>
        <w:spacing w:before="4"/>
        <w:rPr>
          <w:sz w:val="17"/>
        </w:rPr>
      </w:pPr>
    </w:p>
    <w:p>
      <w:pPr>
        <w:pStyle w:val="ListParagraph"/>
        <w:numPr>
          <w:ilvl w:val="4"/>
          <w:numId w:val="228"/>
        </w:numPr>
        <w:tabs>
          <w:tab w:pos="1352" w:val="left" w:leader="none"/>
          <w:tab w:pos="1353" w:val="left" w:leader="none"/>
        </w:tabs>
        <w:spacing w:line="240" w:lineRule="auto" w:before="0" w:after="0"/>
        <w:ind w:left="1352" w:right="0" w:hanging="1135"/>
        <w:jc w:val="left"/>
        <w:rPr>
          <w:b/>
          <w:sz w:val="20"/>
        </w:rPr>
      </w:pPr>
      <w:r>
        <w:rPr>
          <w:b/>
          <w:i/>
          <w:sz w:val="20"/>
        </w:rPr>
        <w:t>Colectores</w:t>
      </w:r>
      <w:r>
        <w:rPr>
          <w:b/>
          <w:i/>
          <w:spacing w:val="-1"/>
          <w:sz w:val="20"/>
        </w:rPr>
        <w:t> </w:t>
      </w:r>
      <w:r>
        <w:rPr>
          <w:b/>
          <w:sz w:val="20"/>
        </w:rPr>
        <w:t>colgados</w:t>
      </w:r>
    </w:p>
    <w:p>
      <w:pPr>
        <w:pStyle w:val="ListParagraph"/>
        <w:numPr>
          <w:ilvl w:val="0"/>
          <w:numId w:val="234"/>
        </w:numPr>
        <w:tabs>
          <w:tab w:pos="672" w:val="left" w:leader="none"/>
          <w:tab w:pos="673" w:val="left" w:leader="none"/>
        </w:tabs>
        <w:spacing w:line="240" w:lineRule="auto" w:before="80" w:after="0"/>
        <w:ind w:left="672" w:right="397" w:hanging="454"/>
        <w:jc w:val="left"/>
        <w:rPr>
          <w:sz w:val="20"/>
        </w:rPr>
      </w:pPr>
      <w:r>
        <w:rPr>
          <w:sz w:val="20"/>
        </w:rPr>
        <w:t>Las </w:t>
      </w:r>
      <w:r>
        <w:rPr>
          <w:i/>
          <w:sz w:val="20"/>
        </w:rPr>
        <w:t>bajantes </w:t>
      </w:r>
      <w:r>
        <w:rPr>
          <w:sz w:val="20"/>
        </w:rPr>
        <w:t>deben conectarse mediante piezas especiales, según las especificaciones técnicas del material. No puede realizarse esta conexión mediante simples codos, ni en el caso en que estos sean reforzados.</w:t>
      </w:r>
    </w:p>
    <w:p>
      <w:pPr>
        <w:pStyle w:val="ListParagraph"/>
        <w:numPr>
          <w:ilvl w:val="0"/>
          <w:numId w:val="234"/>
        </w:numPr>
        <w:tabs>
          <w:tab w:pos="672" w:val="left" w:leader="none"/>
          <w:tab w:pos="673" w:val="left" w:leader="none"/>
        </w:tabs>
        <w:spacing w:line="240" w:lineRule="auto" w:before="60" w:after="0"/>
        <w:ind w:left="672" w:right="496" w:hanging="454"/>
        <w:jc w:val="left"/>
        <w:rPr>
          <w:sz w:val="20"/>
        </w:rPr>
      </w:pPr>
      <w:r>
        <w:rPr>
          <w:sz w:val="20"/>
        </w:rPr>
        <w:t>La conexión de una </w:t>
      </w:r>
      <w:r>
        <w:rPr>
          <w:i/>
          <w:sz w:val="20"/>
        </w:rPr>
        <w:t>bajante </w:t>
      </w:r>
      <w:r>
        <w:rPr>
          <w:sz w:val="20"/>
        </w:rPr>
        <w:t>de </w:t>
      </w:r>
      <w:r>
        <w:rPr>
          <w:i/>
          <w:sz w:val="20"/>
        </w:rPr>
        <w:t>aguas pluviales </w:t>
      </w:r>
      <w:r>
        <w:rPr>
          <w:sz w:val="20"/>
        </w:rPr>
        <w:t>al </w:t>
      </w:r>
      <w:r>
        <w:rPr>
          <w:i/>
          <w:sz w:val="20"/>
        </w:rPr>
        <w:t>colector </w:t>
      </w:r>
      <w:r>
        <w:rPr>
          <w:sz w:val="20"/>
        </w:rPr>
        <w:t>en los </w:t>
      </w:r>
      <w:r>
        <w:rPr>
          <w:i/>
          <w:sz w:val="20"/>
        </w:rPr>
        <w:t>sistemas mixtos</w:t>
      </w:r>
      <w:r>
        <w:rPr>
          <w:sz w:val="20"/>
        </w:rPr>
        <w:t>, debe disponerse separada al menos 3 m de la conexión de la </w:t>
      </w:r>
      <w:r>
        <w:rPr>
          <w:i/>
          <w:sz w:val="20"/>
        </w:rPr>
        <w:t>bajante </w:t>
      </w:r>
      <w:r>
        <w:rPr>
          <w:sz w:val="20"/>
        </w:rPr>
        <w:t>más próxima de </w:t>
      </w:r>
      <w:r>
        <w:rPr>
          <w:i/>
          <w:sz w:val="20"/>
        </w:rPr>
        <w:t>aguas residuales </w:t>
      </w:r>
      <w:r>
        <w:rPr>
          <w:sz w:val="20"/>
        </w:rPr>
        <w:t>situada aguas arriba.</w:t>
      </w:r>
    </w:p>
    <w:p>
      <w:pPr>
        <w:pStyle w:val="ListParagraph"/>
        <w:numPr>
          <w:ilvl w:val="0"/>
          <w:numId w:val="234"/>
        </w:numPr>
        <w:tabs>
          <w:tab w:pos="672" w:val="left" w:leader="none"/>
          <w:tab w:pos="673" w:val="left" w:leader="none"/>
        </w:tabs>
        <w:spacing w:line="240" w:lineRule="auto" w:before="60" w:after="0"/>
        <w:ind w:left="672" w:right="0" w:hanging="455"/>
        <w:jc w:val="left"/>
        <w:rPr>
          <w:sz w:val="20"/>
        </w:rPr>
      </w:pPr>
      <w:r>
        <w:rPr>
          <w:sz w:val="20"/>
        </w:rPr>
        <w:t>Deben tener una pendiente del 1% como</w:t>
      </w:r>
      <w:r>
        <w:rPr>
          <w:spacing w:val="-2"/>
          <w:sz w:val="20"/>
        </w:rPr>
        <w:t> </w:t>
      </w:r>
      <w:r>
        <w:rPr>
          <w:sz w:val="20"/>
        </w:rPr>
        <w:t>mínimo.</w:t>
      </w:r>
    </w:p>
    <w:p>
      <w:pPr>
        <w:pStyle w:val="ListParagraph"/>
        <w:numPr>
          <w:ilvl w:val="0"/>
          <w:numId w:val="234"/>
        </w:numPr>
        <w:tabs>
          <w:tab w:pos="672" w:val="left" w:leader="none"/>
          <w:tab w:pos="673" w:val="left" w:leader="none"/>
        </w:tabs>
        <w:spacing w:line="240" w:lineRule="auto" w:before="60" w:after="0"/>
        <w:ind w:left="672" w:right="0" w:hanging="455"/>
        <w:jc w:val="left"/>
        <w:rPr>
          <w:sz w:val="20"/>
        </w:rPr>
      </w:pPr>
      <w:r>
        <w:rPr>
          <w:sz w:val="20"/>
        </w:rPr>
        <w:t>No deben acometer en un mismo punto más de dos</w:t>
      </w:r>
      <w:r>
        <w:rPr>
          <w:spacing w:val="-7"/>
          <w:sz w:val="20"/>
        </w:rPr>
        <w:t> </w:t>
      </w:r>
      <w:r>
        <w:rPr>
          <w:i/>
          <w:sz w:val="20"/>
        </w:rPr>
        <w:t>colectores</w:t>
      </w:r>
      <w:r>
        <w:rPr>
          <w:sz w:val="20"/>
        </w:rPr>
        <w:t>.</w:t>
      </w:r>
    </w:p>
    <w:p>
      <w:pPr>
        <w:pStyle w:val="ListParagraph"/>
        <w:numPr>
          <w:ilvl w:val="0"/>
          <w:numId w:val="234"/>
        </w:numPr>
        <w:tabs>
          <w:tab w:pos="672" w:val="left" w:leader="none"/>
          <w:tab w:pos="673" w:val="left" w:leader="none"/>
        </w:tabs>
        <w:spacing w:line="240" w:lineRule="auto" w:before="60" w:after="0"/>
        <w:ind w:left="672" w:right="554" w:hanging="454"/>
        <w:jc w:val="left"/>
        <w:rPr>
          <w:sz w:val="20"/>
        </w:rPr>
      </w:pPr>
      <w:r>
        <w:rPr>
          <w:sz w:val="20"/>
        </w:rPr>
        <w:t>En los tramos rectos, en cada encuentro o acoplamiento tanto en horizontal como en vertical, así como en las derivaciones, deben disponerse registros constituidos por piezas especiales, según el material del que se trate, de tal manera que los tramos entre ellos no superen los 15</w:t>
      </w:r>
      <w:r>
        <w:rPr>
          <w:spacing w:val="-7"/>
          <w:sz w:val="20"/>
        </w:rPr>
        <w:t> </w:t>
      </w:r>
      <w:r>
        <w:rPr>
          <w:sz w:val="20"/>
        </w:rPr>
        <w:t>m.</w:t>
      </w:r>
    </w:p>
    <w:p>
      <w:pPr>
        <w:pStyle w:val="BodyText"/>
        <w:spacing w:before="4"/>
        <w:rPr>
          <w:sz w:val="17"/>
        </w:rPr>
      </w:pPr>
    </w:p>
    <w:p>
      <w:pPr>
        <w:pStyle w:val="ListParagraph"/>
        <w:numPr>
          <w:ilvl w:val="4"/>
          <w:numId w:val="228"/>
        </w:numPr>
        <w:tabs>
          <w:tab w:pos="1352" w:val="left" w:leader="none"/>
          <w:tab w:pos="1353" w:val="left" w:leader="none"/>
        </w:tabs>
        <w:spacing w:line="240" w:lineRule="auto" w:before="1" w:after="0"/>
        <w:ind w:left="1352" w:right="0" w:hanging="1135"/>
        <w:jc w:val="left"/>
        <w:rPr>
          <w:b/>
          <w:sz w:val="20"/>
        </w:rPr>
      </w:pPr>
      <w:r>
        <w:rPr>
          <w:b/>
          <w:i/>
          <w:sz w:val="20"/>
        </w:rPr>
        <w:t>Colectores</w:t>
      </w:r>
      <w:r>
        <w:rPr>
          <w:b/>
          <w:i/>
          <w:spacing w:val="-1"/>
          <w:sz w:val="20"/>
        </w:rPr>
        <w:t> </w:t>
      </w:r>
      <w:r>
        <w:rPr>
          <w:b/>
          <w:sz w:val="20"/>
        </w:rPr>
        <w:t>enterrados</w:t>
      </w:r>
    </w:p>
    <w:p>
      <w:pPr>
        <w:pStyle w:val="ListParagraph"/>
        <w:numPr>
          <w:ilvl w:val="0"/>
          <w:numId w:val="235"/>
        </w:numPr>
        <w:tabs>
          <w:tab w:pos="672" w:val="left" w:leader="none"/>
          <w:tab w:pos="673" w:val="left" w:leader="none"/>
        </w:tabs>
        <w:spacing w:line="240" w:lineRule="auto" w:before="79" w:after="0"/>
        <w:ind w:left="672" w:right="686" w:hanging="454"/>
        <w:jc w:val="left"/>
        <w:rPr>
          <w:sz w:val="20"/>
        </w:rPr>
      </w:pPr>
      <w:r>
        <w:rPr>
          <w:sz w:val="20"/>
        </w:rPr>
        <w:t>Los tubos deben disponerse en zanjas de dimensiones adecuadas, tal y como se establece en el apartado 5.4.3., situados por debajo de la red de distribución de agua</w:t>
      </w:r>
      <w:r>
        <w:rPr>
          <w:spacing w:val="-4"/>
          <w:sz w:val="20"/>
        </w:rPr>
        <w:t> </w:t>
      </w:r>
      <w:r>
        <w:rPr>
          <w:sz w:val="20"/>
        </w:rPr>
        <w:t>potable.</w:t>
      </w:r>
    </w:p>
    <w:p>
      <w:pPr>
        <w:pStyle w:val="ListParagraph"/>
        <w:numPr>
          <w:ilvl w:val="0"/>
          <w:numId w:val="235"/>
        </w:numPr>
        <w:tabs>
          <w:tab w:pos="672" w:val="left" w:leader="none"/>
          <w:tab w:pos="673" w:val="left" w:leader="none"/>
        </w:tabs>
        <w:spacing w:line="240" w:lineRule="auto" w:before="61" w:after="0"/>
        <w:ind w:left="672" w:right="0" w:hanging="455"/>
        <w:jc w:val="left"/>
        <w:rPr>
          <w:sz w:val="20"/>
        </w:rPr>
      </w:pPr>
      <w:r>
        <w:rPr>
          <w:sz w:val="20"/>
        </w:rPr>
        <w:t>Deben tener una pendiente del 2 % como</w:t>
      </w:r>
      <w:r>
        <w:rPr>
          <w:spacing w:val="-3"/>
          <w:sz w:val="20"/>
        </w:rPr>
        <w:t> </w:t>
      </w:r>
      <w:r>
        <w:rPr>
          <w:sz w:val="20"/>
        </w:rPr>
        <w:t>mínimo.</w:t>
      </w:r>
    </w:p>
    <w:p>
      <w:pPr>
        <w:pStyle w:val="ListParagraph"/>
        <w:numPr>
          <w:ilvl w:val="0"/>
          <w:numId w:val="235"/>
        </w:numPr>
        <w:tabs>
          <w:tab w:pos="672" w:val="left" w:leader="none"/>
          <w:tab w:pos="673" w:val="left" w:leader="none"/>
        </w:tabs>
        <w:spacing w:line="240" w:lineRule="auto" w:before="59" w:after="0"/>
        <w:ind w:left="672" w:right="429" w:hanging="454"/>
        <w:jc w:val="left"/>
        <w:rPr>
          <w:sz w:val="20"/>
        </w:rPr>
      </w:pPr>
      <w:r>
        <w:rPr>
          <w:sz w:val="20"/>
        </w:rPr>
        <w:t>La acometida de las </w:t>
      </w:r>
      <w:r>
        <w:rPr>
          <w:i/>
          <w:sz w:val="20"/>
        </w:rPr>
        <w:t>bajantes </w:t>
      </w:r>
      <w:r>
        <w:rPr>
          <w:sz w:val="20"/>
        </w:rPr>
        <w:t>y los manguetones a esta red se hará con interposición de una arque- ta de pie de bajante, que no debe ser</w:t>
      </w:r>
      <w:r>
        <w:rPr>
          <w:spacing w:val="-5"/>
          <w:sz w:val="20"/>
        </w:rPr>
        <w:t> </w:t>
      </w:r>
      <w:r>
        <w:rPr>
          <w:sz w:val="20"/>
        </w:rPr>
        <w:t>sifónica.</w:t>
      </w:r>
    </w:p>
    <w:p>
      <w:pPr>
        <w:pStyle w:val="ListParagraph"/>
        <w:numPr>
          <w:ilvl w:val="0"/>
          <w:numId w:val="235"/>
        </w:numPr>
        <w:tabs>
          <w:tab w:pos="672" w:val="left" w:leader="none"/>
          <w:tab w:pos="673" w:val="left" w:leader="none"/>
        </w:tabs>
        <w:spacing w:line="240" w:lineRule="auto" w:before="61" w:after="0"/>
        <w:ind w:left="672" w:right="0" w:hanging="455"/>
        <w:jc w:val="left"/>
        <w:rPr>
          <w:sz w:val="20"/>
        </w:rPr>
      </w:pPr>
      <w:r>
        <w:rPr>
          <w:sz w:val="20"/>
        </w:rPr>
        <w:t>Se dispondrán registros de tal manera que los tramos entre los contiguos no superen 15</w:t>
      </w:r>
      <w:r>
        <w:rPr>
          <w:spacing w:val="-10"/>
          <w:sz w:val="20"/>
        </w:rPr>
        <w:t> </w:t>
      </w:r>
      <w:r>
        <w:rPr>
          <w:sz w:val="20"/>
        </w:rPr>
        <w:t>m.</w:t>
      </w:r>
    </w:p>
    <w:p>
      <w:pPr>
        <w:pStyle w:val="BodyText"/>
        <w:spacing w:before="4"/>
        <w:rPr>
          <w:sz w:val="17"/>
        </w:rPr>
      </w:pPr>
    </w:p>
    <w:p>
      <w:pPr>
        <w:pStyle w:val="Heading5"/>
        <w:numPr>
          <w:ilvl w:val="3"/>
          <w:numId w:val="228"/>
        </w:numPr>
        <w:tabs>
          <w:tab w:pos="1352" w:val="left" w:leader="none"/>
          <w:tab w:pos="1353" w:val="left" w:leader="none"/>
        </w:tabs>
        <w:spacing w:line="240" w:lineRule="auto" w:before="1" w:after="0"/>
        <w:ind w:left="1352" w:right="0" w:hanging="1135"/>
        <w:jc w:val="left"/>
      </w:pPr>
      <w:r>
        <w:rPr/>
        <w:t>Elementos de conexión</w:t>
      </w:r>
    </w:p>
    <w:p>
      <w:pPr>
        <w:pStyle w:val="ListParagraph"/>
        <w:numPr>
          <w:ilvl w:val="0"/>
          <w:numId w:val="236"/>
        </w:numPr>
        <w:tabs>
          <w:tab w:pos="672" w:val="left" w:leader="none"/>
          <w:tab w:pos="673" w:val="left" w:leader="none"/>
        </w:tabs>
        <w:spacing w:line="240" w:lineRule="auto" w:before="79" w:after="0"/>
        <w:ind w:left="672" w:right="452" w:hanging="454"/>
        <w:jc w:val="left"/>
        <w:rPr>
          <w:sz w:val="20"/>
        </w:rPr>
      </w:pPr>
      <w:r>
        <w:rPr>
          <w:sz w:val="20"/>
        </w:rPr>
        <w:t>En redes enterradas la unión entre las redes vertical y horizontal y en ésta, entre sus encuentros y derivaciones, debe realizarse con arquetas dispuestas sobre cimiento de hormigón, con tapa practi- cable. Sólo puede acometer un </w:t>
      </w:r>
      <w:r>
        <w:rPr>
          <w:i/>
          <w:sz w:val="20"/>
        </w:rPr>
        <w:t>colector </w:t>
      </w:r>
      <w:r>
        <w:rPr>
          <w:sz w:val="20"/>
        </w:rPr>
        <w:t>por cada cara de la arqueta, de tal forma que el ángulo formado por el </w:t>
      </w:r>
      <w:r>
        <w:rPr>
          <w:i/>
          <w:sz w:val="20"/>
        </w:rPr>
        <w:t>colector </w:t>
      </w:r>
      <w:r>
        <w:rPr>
          <w:sz w:val="20"/>
        </w:rPr>
        <w:t>y la salida sea mayor que</w:t>
      </w:r>
      <w:r>
        <w:rPr>
          <w:spacing w:val="-6"/>
          <w:sz w:val="20"/>
        </w:rPr>
        <w:t> </w:t>
      </w:r>
      <w:r>
        <w:rPr>
          <w:sz w:val="20"/>
        </w:rPr>
        <w:t>90º.</w:t>
      </w:r>
    </w:p>
    <w:p>
      <w:pPr>
        <w:pStyle w:val="ListParagraph"/>
        <w:numPr>
          <w:ilvl w:val="0"/>
          <w:numId w:val="236"/>
        </w:numPr>
        <w:tabs>
          <w:tab w:pos="672" w:val="left" w:leader="none"/>
          <w:tab w:pos="673" w:val="left" w:leader="none"/>
        </w:tabs>
        <w:spacing w:line="240" w:lineRule="auto" w:before="61" w:after="0"/>
        <w:ind w:left="672" w:right="0" w:hanging="455"/>
        <w:jc w:val="left"/>
        <w:rPr>
          <w:sz w:val="20"/>
        </w:rPr>
      </w:pPr>
      <w:r>
        <w:rPr>
          <w:sz w:val="20"/>
        </w:rPr>
        <w:t>Deben tener las siguientes</w:t>
      </w:r>
      <w:r>
        <w:rPr>
          <w:spacing w:val="-2"/>
          <w:sz w:val="20"/>
        </w:rPr>
        <w:t> </w:t>
      </w:r>
      <w:r>
        <w:rPr>
          <w:sz w:val="20"/>
        </w:rPr>
        <w:t>características:</w:t>
      </w:r>
    </w:p>
    <w:p>
      <w:pPr>
        <w:pStyle w:val="ListParagraph"/>
        <w:numPr>
          <w:ilvl w:val="1"/>
          <w:numId w:val="236"/>
        </w:numPr>
        <w:tabs>
          <w:tab w:pos="1125" w:val="left" w:leader="none"/>
          <w:tab w:pos="1126" w:val="left" w:leader="none"/>
        </w:tabs>
        <w:spacing w:line="240" w:lineRule="auto" w:before="60" w:after="0"/>
        <w:ind w:left="1126" w:right="644" w:hanging="454"/>
        <w:jc w:val="left"/>
        <w:rPr>
          <w:sz w:val="20"/>
        </w:rPr>
      </w:pPr>
      <w:r>
        <w:rPr>
          <w:sz w:val="20"/>
        </w:rPr>
        <w:t>la arqueta a pie de bajante debe utilizarse para registro al pie de las bajantes cuando la con- ducción a partir de dicho punto vaya a quedar enterrada; no debe ser de tipo</w:t>
      </w:r>
      <w:r>
        <w:rPr>
          <w:spacing w:val="-5"/>
          <w:sz w:val="20"/>
        </w:rPr>
        <w:t> </w:t>
      </w:r>
      <w:r>
        <w:rPr>
          <w:sz w:val="20"/>
        </w:rPr>
        <w:t>sifónico;</w:t>
      </w:r>
    </w:p>
    <w:p>
      <w:pPr>
        <w:pStyle w:val="ListParagraph"/>
        <w:numPr>
          <w:ilvl w:val="1"/>
          <w:numId w:val="236"/>
        </w:numPr>
        <w:tabs>
          <w:tab w:pos="1125" w:val="left" w:leader="none"/>
          <w:tab w:pos="1126" w:val="left" w:leader="none"/>
        </w:tabs>
        <w:spacing w:line="240" w:lineRule="auto" w:before="60" w:after="0"/>
        <w:ind w:left="1126" w:right="0" w:hanging="454"/>
        <w:jc w:val="left"/>
        <w:rPr>
          <w:sz w:val="20"/>
        </w:rPr>
      </w:pPr>
      <w:r>
        <w:rPr>
          <w:sz w:val="20"/>
        </w:rPr>
        <w:t>en las arquetas de paso deben acometer como máximo tres</w:t>
      </w:r>
      <w:r>
        <w:rPr>
          <w:spacing w:val="-10"/>
          <w:sz w:val="20"/>
        </w:rPr>
        <w:t> </w:t>
      </w:r>
      <w:r>
        <w:rPr>
          <w:i/>
          <w:sz w:val="20"/>
        </w:rPr>
        <w:t>colectores</w:t>
      </w:r>
      <w:r>
        <w:rPr>
          <w:sz w:val="20"/>
        </w:rPr>
        <w:t>;</w:t>
      </w:r>
    </w:p>
    <w:p>
      <w:pPr>
        <w:pStyle w:val="ListParagraph"/>
        <w:numPr>
          <w:ilvl w:val="1"/>
          <w:numId w:val="236"/>
        </w:numPr>
        <w:tabs>
          <w:tab w:pos="1125" w:val="left" w:leader="none"/>
          <w:tab w:pos="1126" w:val="left" w:leader="none"/>
        </w:tabs>
        <w:spacing w:line="240" w:lineRule="auto" w:before="59" w:after="0"/>
        <w:ind w:left="1126" w:right="0" w:hanging="454"/>
        <w:jc w:val="left"/>
        <w:rPr>
          <w:sz w:val="20"/>
        </w:rPr>
      </w:pPr>
      <w:r>
        <w:rPr>
          <w:sz w:val="20"/>
        </w:rPr>
        <w:t>las arquetas de registro deben disponer de tapa accesible y</w:t>
      </w:r>
      <w:r>
        <w:rPr>
          <w:spacing w:val="-9"/>
          <w:sz w:val="20"/>
        </w:rPr>
        <w:t> </w:t>
      </w:r>
      <w:r>
        <w:rPr>
          <w:sz w:val="20"/>
        </w:rPr>
        <w:t>practicable;</w:t>
      </w:r>
    </w:p>
    <w:p>
      <w:pPr>
        <w:pStyle w:val="ListParagraph"/>
        <w:numPr>
          <w:ilvl w:val="1"/>
          <w:numId w:val="236"/>
        </w:numPr>
        <w:tabs>
          <w:tab w:pos="1125" w:val="left" w:leader="none"/>
          <w:tab w:pos="1126" w:val="left" w:leader="none"/>
        </w:tabs>
        <w:spacing w:line="240" w:lineRule="auto" w:before="60" w:after="0"/>
        <w:ind w:left="1126" w:right="553" w:hanging="454"/>
        <w:jc w:val="left"/>
        <w:rPr>
          <w:sz w:val="20"/>
        </w:rPr>
      </w:pPr>
      <w:r>
        <w:rPr>
          <w:sz w:val="20"/>
        </w:rPr>
        <w:t>la arqueta de trasdós debe disponerse en caso de llegada al </w:t>
      </w:r>
      <w:r>
        <w:rPr>
          <w:i/>
          <w:sz w:val="20"/>
        </w:rPr>
        <w:t>pozo general </w:t>
      </w:r>
      <w:r>
        <w:rPr>
          <w:sz w:val="20"/>
        </w:rPr>
        <w:t>del edificio de más de un</w:t>
      </w:r>
      <w:r>
        <w:rPr>
          <w:spacing w:val="-2"/>
          <w:sz w:val="20"/>
        </w:rPr>
        <w:t> </w:t>
      </w:r>
      <w:r>
        <w:rPr>
          <w:i/>
          <w:sz w:val="20"/>
        </w:rPr>
        <w:t>colector</w:t>
      </w:r>
      <w:r>
        <w:rPr>
          <w:sz w:val="20"/>
        </w:rPr>
        <w:t>;</w:t>
      </w:r>
    </w:p>
    <w:p>
      <w:pPr>
        <w:pStyle w:val="ListParagraph"/>
        <w:numPr>
          <w:ilvl w:val="1"/>
          <w:numId w:val="236"/>
        </w:numPr>
        <w:tabs>
          <w:tab w:pos="1125" w:val="left" w:leader="none"/>
          <w:tab w:pos="1126" w:val="left" w:leader="none"/>
        </w:tabs>
        <w:spacing w:line="240" w:lineRule="auto" w:before="60" w:after="0"/>
        <w:ind w:left="1126" w:right="534" w:hanging="454"/>
        <w:jc w:val="left"/>
        <w:rPr>
          <w:sz w:val="20"/>
        </w:rPr>
      </w:pPr>
      <w:r>
        <w:rPr>
          <w:sz w:val="20"/>
        </w:rPr>
        <w:t>el separador de grasas debe disponerse cuando se prevea que las </w:t>
      </w:r>
      <w:r>
        <w:rPr>
          <w:i/>
          <w:sz w:val="20"/>
        </w:rPr>
        <w:t>aguas residuales </w:t>
      </w:r>
      <w:r>
        <w:rPr>
          <w:sz w:val="20"/>
        </w:rPr>
        <w:t>del edifi- cio puedan transportar una cantidad excesiva de grasa, (en locales tales como restaurantes, garajes, etc.), o de líquidos combustibles que podría dificultar el buen funcionamiento de los sistemas de depuración, o crear un riesgo en el sistema de bombeo y</w:t>
      </w:r>
      <w:r>
        <w:rPr>
          <w:spacing w:val="-7"/>
          <w:sz w:val="20"/>
        </w:rPr>
        <w:t> </w:t>
      </w:r>
      <w:r>
        <w:rPr>
          <w:sz w:val="20"/>
        </w:rPr>
        <w:t>elevación.</w:t>
      </w:r>
    </w:p>
    <w:p>
      <w:pPr>
        <w:pStyle w:val="BodyText"/>
        <w:spacing w:before="61"/>
        <w:ind w:left="1118" w:right="515"/>
      </w:pPr>
      <w:r>
        <w:rPr/>
        <w:t>Puede utilizarse como arqueta sifónica. Debe estar provista de una abertura de ventilación, próxima al lado de descarga, y de una tapa de registro totalmente accesible para las precepti- vas limpiezas periódicas. Puede tener más de un tabique separador. Si algún aparato descar- gara de forma directa en el separador, debe estar provisto del correspondiente </w:t>
      </w:r>
      <w:r>
        <w:rPr>
          <w:i/>
        </w:rPr>
        <w:t>cierre hidráuli- </w:t>
      </w:r>
      <w:r>
        <w:rPr>
          <w:i/>
        </w:rPr>
        <w:t>co</w:t>
      </w:r>
      <w:r>
        <w:rPr/>
        <w:t>. Debe disponerse preferiblemente al final de la red horizontal, previo al pozo de resalto y a la </w:t>
      </w:r>
      <w:r>
        <w:rPr>
          <w:i/>
        </w:rPr>
        <w:t>acometida</w:t>
      </w:r>
      <w:r>
        <w:rPr/>
        <w:t>.</w:t>
      </w:r>
    </w:p>
    <w:p>
      <w:pPr>
        <w:pStyle w:val="BodyText"/>
        <w:spacing w:before="60"/>
        <w:ind w:left="1118" w:right="560"/>
      </w:pPr>
      <w:r>
        <w:rPr/>
        <w:t>Salvo en casos justificados, al separador de grasas sólo deben verter las aguas afectadas de forma directa por los mencionados residuos. (grasas, aceites, etc.).</w:t>
      </w:r>
    </w:p>
    <w:p>
      <w:pPr>
        <w:spacing w:after="0"/>
        <w:sectPr>
          <w:pgSz w:w="11910" w:h="16840"/>
          <w:pgMar w:header="714" w:footer="642" w:top="1320" w:bottom="840" w:left="1200" w:right="740"/>
        </w:sectPr>
      </w:pPr>
    </w:p>
    <w:p>
      <w:pPr>
        <w:spacing w:before="91"/>
        <w:ind w:left="1778" w:right="0" w:firstLine="0"/>
        <w:jc w:val="left"/>
        <w:rPr>
          <w:b/>
          <w:sz w:val="16"/>
        </w:rPr>
      </w:pPr>
      <w:r>
        <w:rPr/>
        <w:pict>
          <v:group style="position:absolute;margin-left:142.039993pt;margin-top:4.673902pt;width:1.45pt;height:42.8pt;mso-position-horizontal-relative:page;mso-position-vertical-relative:paragraph;z-index:252005376" coordorigin="2841,93" coordsize="29,856">
            <v:line style="position:absolute" from="2846,93" to="2846,337" stroked="true" strokeweight=".48001pt" strokecolor="#000000">
              <v:stroke dashstyle="solid"/>
            </v:line>
            <v:line style="position:absolute" from="2865,93" to="2865,337" stroked="true" strokeweight=".48pt" strokecolor="#000000">
              <v:stroke dashstyle="solid"/>
            </v:line>
            <v:line style="position:absolute" from="2846,337" to="2846,521" stroked="true" strokeweight=".48001pt" strokecolor="#000000">
              <v:stroke dashstyle="solid"/>
            </v:line>
            <v:line style="position:absolute" from="2865,337" to="2865,521" stroked="true" strokeweight=".48pt" strokecolor="#000000">
              <v:stroke dashstyle="solid"/>
            </v:line>
            <v:line style="position:absolute" from="2846,521" to="2846,705" stroked="true" strokeweight=".48001pt" strokecolor="#000000">
              <v:stroke dashstyle="solid"/>
            </v:line>
            <v:line style="position:absolute" from="2865,521" to="2865,705" stroked="true" strokeweight=".48pt" strokecolor="#000000">
              <v:stroke dashstyle="solid"/>
            </v:line>
            <v:line style="position:absolute" from="2846,705" to="2846,949" stroked="true" strokeweight=".48001pt" strokecolor="#000000">
              <v:stroke dashstyle="solid"/>
            </v:line>
            <v:line style="position:absolute" from="2865,705" to="2865,949" stroked="true" strokeweight=".48pt" strokecolor="#000000">
              <v:stroke dashstyle="solid"/>
            </v:line>
            <w10:wrap type="none"/>
          </v:group>
        </w:pict>
      </w:r>
      <w:r>
        <w:rPr>
          <w:b/>
          <w:sz w:val="16"/>
        </w:rPr>
        <w:t>Separador de grasas</w:t>
      </w:r>
    </w:p>
    <w:p>
      <w:pPr>
        <w:spacing w:before="60"/>
        <w:ind w:left="1778" w:right="434" w:firstLine="0"/>
        <w:jc w:val="left"/>
        <w:rPr>
          <w:sz w:val="16"/>
        </w:rPr>
      </w:pPr>
      <w:r>
        <w:rPr>
          <w:sz w:val="16"/>
        </w:rPr>
        <w:t>El término separador de grasas se emplea en el DB HS5 como un término genérico, distinguiéndose en la in- dustria en ocasiones entre separador de hidrocarburos y separador de grasas propiamente dicho. En cual- quier caso, el sistema descrito en el DB HS5 deberá adecuarse al tipo de residuo previsto.</w:t>
      </w:r>
    </w:p>
    <w:p>
      <w:pPr>
        <w:pStyle w:val="BodyText"/>
        <w:spacing w:before="4"/>
        <w:rPr>
          <w:sz w:val="22"/>
        </w:rPr>
      </w:pPr>
    </w:p>
    <w:p>
      <w:pPr>
        <w:pStyle w:val="ListParagraph"/>
        <w:numPr>
          <w:ilvl w:val="0"/>
          <w:numId w:val="236"/>
        </w:numPr>
        <w:tabs>
          <w:tab w:pos="672" w:val="left" w:leader="none"/>
          <w:tab w:pos="673" w:val="left" w:leader="none"/>
        </w:tabs>
        <w:spacing w:line="240" w:lineRule="auto" w:before="94" w:after="0"/>
        <w:ind w:left="672" w:right="0" w:hanging="455"/>
        <w:jc w:val="left"/>
        <w:rPr>
          <w:sz w:val="20"/>
        </w:rPr>
      </w:pPr>
      <w:r>
        <w:rPr>
          <w:sz w:val="20"/>
        </w:rPr>
        <w:t>Al final de la instalación y antes de la </w:t>
      </w:r>
      <w:r>
        <w:rPr>
          <w:i/>
          <w:sz w:val="20"/>
        </w:rPr>
        <w:t>acometida </w:t>
      </w:r>
      <w:r>
        <w:rPr>
          <w:sz w:val="20"/>
        </w:rPr>
        <w:t>debe disponerse el </w:t>
      </w:r>
      <w:r>
        <w:rPr>
          <w:i/>
          <w:sz w:val="20"/>
        </w:rPr>
        <w:t>pozo general </w:t>
      </w:r>
      <w:r>
        <w:rPr>
          <w:sz w:val="20"/>
        </w:rPr>
        <w:t>del</w:t>
      </w:r>
      <w:r>
        <w:rPr>
          <w:spacing w:val="-10"/>
          <w:sz w:val="20"/>
        </w:rPr>
        <w:t> </w:t>
      </w:r>
      <w:r>
        <w:rPr>
          <w:sz w:val="20"/>
        </w:rPr>
        <w:t>edificio.</w:t>
      </w:r>
    </w:p>
    <w:p>
      <w:pPr>
        <w:pStyle w:val="ListParagraph"/>
        <w:numPr>
          <w:ilvl w:val="0"/>
          <w:numId w:val="236"/>
        </w:numPr>
        <w:tabs>
          <w:tab w:pos="672" w:val="left" w:leader="none"/>
          <w:tab w:pos="673" w:val="left" w:leader="none"/>
        </w:tabs>
        <w:spacing w:line="240" w:lineRule="auto" w:before="59" w:after="0"/>
        <w:ind w:left="672" w:right="407" w:hanging="454"/>
        <w:jc w:val="left"/>
        <w:rPr>
          <w:sz w:val="20"/>
        </w:rPr>
      </w:pPr>
      <w:r>
        <w:rPr>
          <w:sz w:val="20"/>
        </w:rPr>
        <w:t>Cuando la diferencia entre la cota del extremo final de la instalación y la del punto de </w:t>
      </w:r>
      <w:r>
        <w:rPr>
          <w:i/>
          <w:sz w:val="20"/>
        </w:rPr>
        <w:t>acometida </w:t>
      </w:r>
      <w:r>
        <w:rPr>
          <w:sz w:val="20"/>
        </w:rPr>
        <w:t>sea mayor que 1 m, debe disponerse un pozo de resalto como elemento de conexión de la red interior de evacuación y de la red exterior de alcantarillado o los sistemas de</w:t>
      </w:r>
      <w:r>
        <w:rPr>
          <w:spacing w:val="-8"/>
          <w:sz w:val="20"/>
        </w:rPr>
        <w:t> </w:t>
      </w:r>
      <w:r>
        <w:rPr>
          <w:sz w:val="20"/>
        </w:rPr>
        <w:t>depuración.</w:t>
      </w:r>
    </w:p>
    <w:p>
      <w:pPr>
        <w:pStyle w:val="ListParagraph"/>
        <w:numPr>
          <w:ilvl w:val="0"/>
          <w:numId w:val="236"/>
        </w:numPr>
        <w:tabs>
          <w:tab w:pos="672" w:val="left" w:leader="none"/>
          <w:tab w:pos="673" w:val="left" w:leader="none"/>
        </w:tabs>
        <w:spacing w:line="240" w:lineRule="auto" w:before="60" w:after="0"/>
        <w:ind w:left="672" w:right="420" w:hanging="454"/>
        <w:jc w:val="left"/>
        <w:rPr>
          <w:sz w:val="20"/>
        </w:rPr>
      </w:pPr>
      <w:r>
        <w:rPr>
          <w:sz w:val="20"/>
        </w:rPr>
        <w:t>Los registros para limpieza de </w:t>
      </w:r>
      <w:r>
        <w:rPr>
          <w:i/>
          <w:sz w:val="20"/>
        </w:rPr>
        <w:t>colectores </w:t>
      </w:r>
      <w:r>
        <w:rPr>
          <w:sz w:val="20"/>
        </w:rPr>
        <w:t>deben situarse en cada encuentro y cambio de dirección e intercalados en tramos</w:t>
      </w:r>
      <w:r>
        <w:rPr>
          <w:spacing w:val="-3"/>
          <w:sz w:val="20"/>
        </w:rPr>
        <w:t> </w:t>
      </w:r>
      <w:r>
        <w:rPr>
          <w:sz w:val="20"/>
        </w:rPr>
        <w:t>rectos.</w:t>
      </w:r>
    </w:p>
    <w:p>
      <w:pPr>
        <w:pStyle w:val="BodyText"/>
        <w:spacing w:before="5"/>
        <w:rPr>
          <w:sz w:val="17"/>
        </w:rPr>
      </w:pPr>
    </w:p>
    <w:p>
      <w:pPr>
        <w:pStyle w:val="Heading5"/>
        <w:numPr>
          <w:ilvl w:val="2"/>
          <w:numId w:val="228"/>
        </w:numPr>
        <w:tabs>
          <w:tab w:pos="787" w:val="left" w:leader="none"/>
        </w:tabs>
        <w:spacing w:line="240" w:lineRule="auto" w:before="1" w:after="0"/>
        <w:ind w:left="786" w:right="0" w:hanging="569"/>
        <w:jc w:val="left"/>
      </w:pPr>
      <w:r>
        <w:rPr/>
        <w:t>Elementos especiales</w:t>
      </w:r>
    </w:p>
    <w:p>
      <w:pPr>
        <w:pStyle w:val="BodyText"/>
        <w:spacing w:before="4"/>
        <w:rPr>
          <w:b/>
          <w:sz w:val="17"/>
        </w:rPr>
      </w:pPr>
    </w:p>
    <w:p>
      <w:pPr>
        <w:pStyle w:val="ListParagraph"/>
        <w:numPr>
          <w:ilvl w:val="3"/>
          <w:numId w:val="228"/>
        </w:numPr>
        <w:tabs>
          <w:tab w:pos="1352" w:val="left" w:leader="none"/>
          <w:tab w:pos="1353" w:val="left" w:leader="none"/>
        </w:tabs>
        <w:spacing w:line="240" w:lineRule="auto" w:before="0" w:after="0"/>
        <w:ind w:left="1352" w:right="0" w:hanging="1135"/>
        <w:jc w:val="left"/>
        <w:rPr>
          <w:b/>
          <w:sz w:val="20"/>
        </w:rPr>
      </w:pPr>
      <w:r>
        <w:rPr>
          <w:b/>
          <w:sz w:val="20"/>
        </w:rPr>
        <w:t>Sistema de bombeo y</w:t>
      </w:r>
      <w:r>
        <w:rPr>
          <w:b/>
          <w:spacing w:val="-7"/>
          <w:sz w:val="20"/>
        </w:rPr>
        <w:t> </w:t>
      </w:r>
      <w:r>
        <w:rPr>
          <w:b/>
          <w:sz w:val="20"/>
        </w:rPr>
        <w:t>elevación</w:t>
      </w:r>
    </w:p>
    <w:p>
      <w:pPr>
        <w:pStyle w:val="ListParagraph"/>
        <w:numPr>
          <w:ilvl w:val="0"/>
          <w:numId w:val="237"/>
        </w:numPr>
        <w:tabs>
          <w:tab w:pos="672" w:val="left" w:leader="none"/>
          <w:tab w:pos="673" w:val="left" w:leader="none"/>
        </w:tabs>
        <w:spacing w:line="240" w:lineRule="auto" w:before="79" w:after="0"/>
        <w:ind w:left="672" w:right="439" w:hanging="454"/>
        <w:jc w:val="left"/>
        <w:rPr>
          <w:sz w:val="20"/>
        </w:rPr>
      </w:pPr>
      <w:r>
        <w:rPr>
          <w:sz w:val="20"/>
        </w:rPr>
        <w:t>Cuando la red interior o parte de ella se tenga que disponer por debajo de la cota del punto de </w:t>
      </w:r>
      <w:r>
        <w:rPr>
          <w:i/>
          <w:sz w:val="20"/>
        </w:rPr>
        <w:t>acometida </w:t>
      </w:r>
      <w:r>
        <w:rPr>
          <w:sz w:val="20"/>
        </w:rPr>
        <w:t>debe preverse un sistema de bombeo y elevación. A este sistema de bombeo no deben verter </w:t>
      </w:r>
      <w:r>
        <w:rPr>
          <w:i/>
          <w:sz w:val="20"/>
        </w:rPr>
        <w:t>aguas pluviales</w:t>
      </w:r>
      <w:r>
        <w:rPr>
          <w:sz w:val="20"/>
        </w:rPr>
        <w:t>, salvo por imperativos de diseño del edificio, tal como sucede con las aguas que se recogen en patios interiores o rampas de acceso a garajes-aparcamientos, que quedan a un nivel inferior a la cota de salida por gravedad. Tampoco deben verter a este sistema las </w:t>
      </w:r>
      <w:r>
        <w:rPr>
          <w:i/>
          <w:sz w:val="20"/>
        </w:rPr>
        <w:t>aguas resi- </w:t>
      </w:r>
      <w:r>
        <w:rPr>
          <w:i/>
          <w:sz w:val="20"/>
        </w:rPr>
        <w:t>duales </w:t>
      </w:r>
      <w:r>
        <w:rPr>
          <w:sz w:val="20"/>
        </w:rPr>
        <w:t>procedentes de las partes del edificio que se encuentren a un nivel superior al del punto de </w:t>
      </w:r>
      <w:r>
        <w:rPr>
          <w:i/>
          <w:sz w:val="20"/>
        </w:rPr>
        <w:t>acometida</w:t>
      </w:r>
      <w:r>
        <w:rPr>
          <w:sz w:val="20"/>
        </w:rPr>
        <w:t>.</w:t>
      </w:r>
    </w:p>
    <w:p>
      <w:pPr>
        <w:pStyle w:val="ListParagraph"/>
        <w:numPr>
          <w:ilvl w:val="0"/>
          <w:numId w:val="237"/>
        </w:numPr>
        <w:tabs>
          <w:tab w:pos="672" w:val="left" w:leader="none"/>
          <w:tab w:pos="673" w:val="left" w:leader="none"/>
        </w:tabs>
        <w:spacing w:line="240" w:lineRule="auto" w:before="60" w:after="0"/>
        <w:ind w:left="672" w:right="551" w:hanging="454"/>
        <w:jc w:val="left"/>
        <w:rPr>
          <w:sz w:val="20"/>
        </w:rPr>
      </w:pPr>
      <w:r>
        <w:rPr>
          <w:sz w:val="20"/>
        </w:rPr>
        <w:t>Las bombas deben disponer de una protección adecuada contra las materias sólidas en suspen- sión. Deben instalarse al menos dos, con el fin de garantizar el servicio de forma permanente en casos de avería, reparaciones o sustituciones. Si existe un grupo electrógeno en el edificio, las bombas deben conectarse a él, o en caso contrario debe disponerse uno para uso exclusivo o una batería adecuada para una autonomía de funcionamiento de al menos 24</w:t>
      </w:r>
      <w:r>
        <w:rPr>
          <w:spacing w:val="-4"/>
          <w:sz w:val="20"/>
        </w:rPr>
        <w:t> </w:t>
      </w:r>
      <w:r>
        <w:rPr>
          <w:sz w:val="20"/>
        </w:rPr>
        <w:t>h.</w:t>
      </w:r>
    </w:p>
    <w:p>
      <w:pPr>
        <w:pStyle w:val="ListParagraph"/>
        <w:numPr>
          <w:ilvl w:val="0"/>
          <w:numId w:val="237"/>
        </w:numPr>
        <w:tabs>
          <w:tab w:pos="672" w:val="left" w:leader="none"/>
          <w:tab w:pos="673" w:val="left" w:leader="none"/>
        </w:tabs>
        <w:spacing w:line="240" w:lineRule="auto" w:before="61" w:after="0"/>
        <w:ind w:left="672" w:right="773" w:hanging="454"/>
        <w:jc w:val="left"/>
        <w:rPr>
          <w:sz w:val="20"/>
        </w:rPr>
      </w:pPr>
      <w:r>
        <w:rPr>
          <w:sz w:val="20"/>
        </w:rPr>
        <w:t>Los sistemas de bombeo y elevación se alojarán en pozos de bombeo dispuestos en lugares de fácil acceso para su registro y</w:t>
      </w:r>
      <w:r>
        <w:rPr>
          <w:spacing w:val="-2"/>
          <w:sz w:val="20"/>
        </w:rPr>
        <w:t> </w:t>
      </w:r>
      <w:r>
        <w:rPr>
          <w:sz w:val="20"/>
        </w:rPr>
        <w:t>mantenimiento.</w:t>
      </w:r>
    </w:p>
    <w:p>
      <w:pPr>
        <w:pStyle w:val="ListParagraph"/>
        <w:numPr>
          <w:ilvl w:val="0"/>
          <w:numId w:val="237"/>
        </w:numPr>
        <w:tabs>
          <w:tab w:pos="672" w:val="left" w:leader="none"/>
          <w:tab w:pos="673" w:val="left" w:leader="none"/>
        </w:tabs>
        <w:spacing w:line="240" w:lineRule="auto" w:before="60" w:after="0"/>
        <w:ind w:left="672" w:right="439" w:hanging="454"/>
        <w:jc w:val="left"/>
        <w:rPr>
          <w:sz w:val="20"/>
        </w:rPr>
      </w:pPr>
      <w:r>
        <w:rPr>
          <w:sz w:val="20"/>
        </w:rPr>
        <w:t>En estos pozos no deben entrar aguas que contengan grasas, aceites, gasolinas o cualquier líquido inflamable.</w:t>
      </w:r>
    </w:p>
    <w:p>
      <w:pPr>
        <w:pStyle w:val="ListParagraph"/>
        <w:numPr>
          <w:ilvl w:val="0"/>
          <w:numId w:val="237"/>
        </w:numPr>
        <w:tabs>
          <w:tab w:pos="672" w:val="left" w:leader="none"/>
          <w:tab w:pos="673" w:val="left" w:leader="none"/>
        </w:tabs>
        <w:spacing w:line="240" w:lineRule="auto" w:before="59" w:after="0"/>
        <w:ind w:left="672" w:right="586" w:hanging="454"/>
        <w:jc w:val="left"/>
        <w:rPr>
          <w:sz w:val="20"/>
        </w:rPr>
      </w:pPr>
      <w:r>
        <w:rPr>
          <w:sz w:val="20"/>
        </w:rPr>
        <w:t>Deben estar dotados de una tubería de ventilación capaz de descargar adecuadamente el aire del depósito de</w:t>
      </w:r>
      <w:r>
        <w:rPr>
          <w:spacing w:val="-1"/>
          <w:sz w:val="20"/>
        </w:rPr>
        <w:t> </w:t>
      </w:r>
      <w:r>
        <w:rPr>
          <w:sz w:val="20"/>
        </w:rPr>
        <w:t>recepción.</w:t>
      </w:r>
    </w:p>
    <w:p>
      <w:pPr>
        <w:pStyle w:val="ListParagraph"/>
        <w:numPr>
          <w:ilvl w:val="0"/>
          <w:numId w:val="237"/>
        </w:numPr>
        <w:tabs>
          <w:tab w:pos="672" w:val="left" w:leader="none"/>
          <w:tab w:pos="673" w:val="left" w:leader="none"/>
        </w:tabs>
        <w:spacing w:line="240" w:lineRule="auto" w:before="61" w:after="0"/>
        <w:ind w:left="672" w:right="431" w:hanging="454"/>
        <w:jc w:val="left"/>
        <w:rPr>
          <w:sz w:val="20"/>
        </w:rPr>
      </w:pPr>
      <w:r>
        <w:rPr>
          <w:sz w:val="20"/>
        </w:rPr>
        <w:t>El suministro eléctrico a estos equipos debe proporcionar un nivel adecuado de seguridad y conti- nuidad de servicio, y debe ser compatible con las características de los equipos (frecuencia, tensión de alimentación, intensidad máxima admisible de las líneas,</w:t>
      </w:r>
      <w:r>
        <w:rPr>
          <w:spacing w:val="-4"/>
          <w:sz w:val="20"/>
        </w:rPr>
        <w:t> </w:t>
      </w:r>
      <w:r>
        <w:rPr>
          <w:sz w:val="20"/>
        </w:rPr>
        <w:t>etc.).</w:t>
      </w:r>
    </w:p>
    <w:p>
      <w:pPr>
        <w:pStyle w:val="ListParagraph"/>
        <w:numPr>
          <w:ilvl w:val="0"/>
          <w:numId w:val="237"/>
        </w:numPr>
        <w:tabs>
          <w:tab w:pos="672" w:val="left" w:leader="none"/>
          <w:tab w:pos="673" w:val="left" w:leader="none"/>
        </w:tabs>
        <w:spacing w:line="240" w:lineRule="auto" w:before="59" w:after="0"/>
        <w:ind w:left="672" w:right="507" w:hanging="454"/>
        <w:jc w:val="left"/>
        <w:rPr>
          <w:sz w:val="20"/>
        </w:rPr>
      </w:pPr>
      <w:r>
        <w:rPr>
          <w:sz w:val="20"/>
        </w:rPr>
        <w:t>Cuando la continuidad del servicio lo haga necesario (para evitar, por ejemplo, inundaciones, con- taminación por vertidos no depurados o imposibilidad de uso de la red de evacuación), debe dispo- nerse un sistema de suministro eléctrico autónomo</w:t>
      </w:r>
      <w:r>
        <w:rPr>
          <w:spacing w:val="-4"/>
          <w:sz w:val="20"/>
        </w:rPr>
        <w:t> </w:t>
      </w:r>
      <w:r>
        <w:rPr>
          <w:sz w:val="20"/>
        </w:rPr>
        <w:t>complementario.</w:t>
      </w:r>
    </w:p>
    <w:p>
      <w:pPr>
        <w:pStyle w:val="ListParagraph"/>
        <w:numPr>
          <w:ilvl w:val="0"/>
          <w:numId w:val="237"/>
        </w:numPr>
        <w:tabs>
          <w:tab w:pos="672" w:val="left" w:leader="none"/>
          <w:tab w:pos="673" w:val="left" w:leader="none"/>
        </w:tabs>
        <w:spacing w:line="240" w:lineRule="auto" w:before="60" w:after="0"/>
        <w:ind w:left="672" w:right="429" w:hanging="454"/>
        <w:jc w:val="left"/>
        <w:rPr>
          <w:sz w:val="20"/>
        </w:rPr>
      </w:pPr>
      <w:r>
        <w:rPr>
          <w:sz w:val="20"/>
        </w:rPr>
        <w:t>En su conexión con el sistema exterior de alcantarillado debe disponerse un bucle antirreflujo de las aguas por encima del nivel de salida del sistema general de</w:t>
      </w:r>
      <w:r>
        <w:rPr>
          <w:spacing w:val="-6"/>
          <w:sz w:val="20"/>
        </w:rPr>
        <w:t> </w:t>
      </w:r>
      <w:r>
        <w:rPr>
          <w:sz w:val="20"/>
        </w:rPr>
        <w:t>desagüe.</w:t>
      </w:r>
    </w:p>
    <w:p>
      <w:pPr>
        <w:pStyle w:val="BodyText"/>
        <w:spacing w:before="6"/>
        <w:rPr>
          <w:sz w:val="17"/>
        </w:rPr>
      </w:pPr>
    </w:p>
    <w:p>
      <w:pPr>
        <w:pStyle w:val="Heading5"/>
        <w:numPr>
          <w:ilvl w:val="3"/>
          <w:numId w:val="228"/>
        </w:numPr>
        <w:tabs>
          <w:tab w:pos="1352" w:val="left" w:leader="none"/>
          <w:tab w:pos="1353" w:val="left" w:leader="none"/>
        </w:tabs>
        <w:spacing w:line="240" w:lineRule="auto" w:before="0" w:after="0"/>
        <w:ind w:left="1352" w:right="0" w:hanging="1135"/>
        <w:jc w:val="left"/>
      </w:pPr>
      <w:r>
        <w:rPr/>
        <w:t>Válvulas antirretorno de</w:t>
      </w:r>
      <w:r>
        <w:rPr>
          <w:spacing w:val="-4"/>
        </w:rPr>
        <w:t> </w:t>
      </w:r>
      <w:r>
        <w:rPr/>
        <w:t>seguridad</w:t>
      </w:r>
    </w:p>
    <w:p>
      <w:pPr>
        <w:pStyle w:val="BodyText"/>
        <w:tabs>
          <w:tab w:pos="672" w:val="left" w:leader="none"/>
        </w:tabs>
        <w:spacing w:before="79"/>
        <w:ind w:left="672" w:right="441" w:hanging="454"/>
      </w:pPr>
      <w:r>
        <w:rPr/>
        <w:t>1</w:t>
        <w:tab/>
        <w:t>Deben instalarse válvulas antirretorno de seguridad para prevenir las posibles inundaciones cuando la red exterior de alcantarillado se sobrecargue, particularmente en </w:t>
      </w:r>
      <w:r>
        <w:rPr>
          <w:i/>
        </w:rPr>
        <w:t>sistemas mixtos </w:t>
      </w:r>
      <w:r>
        <w:rPr/>
        <w:t>(doble clapeta con cierre manual), dispuestas en lugares de fácil acceso para su registro y</w:t>
      </w:r>
      <w:r>
        <w:rPr>
          <w:spacing w:val="-8"/>
        </w:rPr>
        <w:t> </w:t>
      </w:r>
      <w:r>
        <w:rPr/>
        <w:t>mantenimiento.</w:t>
      </w:r>
    </w:p>
    <w:p>
      <w:pPr>
        <w:pStyle w:val="BodyText"/>
        <w:spacing w:before="6"/>
        <w:rPr>
          <w:sz w:val="17"/>
        </w:rPr>
      </w:pPr>
    </w:p>
    <w:p>
      <w:pPr>
        <w:pStyle w:val="Heading5"/>
        <w:numPr>
          <w:ilvl w:val="2"/>
          <w:numId w:val="228"/>
        </w:numPr>
        <w:tabs>
          <w:tab w:pos="787" w:val="left" w:leader="none"/>
        </w:tabs>
        <w:spacing w:line="240" w:lineRule="auto" w:before="1" w:after="0"/>
        <w:ind w:left="786" w:right="0" w:hanging="569"/>
        <w:jc w:val="both"/>
      </w:pPr>
      <w:r>
        <w:rPr/>
        <w:t>Subsistemas de ventilación de las</w:t>
      </w:r>
      <w:r>
        <w:rPr>
          <w:spacing w:val="-4"/>
        </w:rPr>
        <w:t> </w:t>
      </w:r>
      <w:r>
        <w:rPr/>
        <w:t>instalaciones</w:t>
      </w:r>
    </w:p>
    <w:p>
      <w:pPr>
        <w:spacing w:before="97"/>
        <w:ind w:left="672" w:right="595" w:hanging="454"/>
        <w:jc w:val="both"/>
        <w:rPr>
          <w:sz w:val="20"/>
        </w:rPr>
      </w:pPr>
      <w:r>
        <w:rPr>
          <w:sz w:val="20"/>
        </w:rPr>
        <w:t>1  Deben disponerse subsistemas de ventilación tanto en las redes de </w:t>
      </w:r>
      <w:r>
        <w:rPr>
          <w:i/>
          <w:sz w:val="20"/>
        </w:rPr>
        <w:t>aguas residuales </w:t>
      </w:r>
      <w:r>
        <w:rPr>
          <w:sz w:val="20"/>
        </w:rPr>
        <w:t>como en las de </w:t>
      </w:r>
      <w:r>
        <w:rPr>
          <w:i/>
          <w:sz w:val="20"/>
        </w:rPr>
        <w:t>pluviales</w:t>
      </w:r>
      <w:r>
        <w:rPr>
          <w:sz w:val="20"/>
        </w:rPr>
        <w:t>. Se utilizarán subsistemas de </w:t>
      </w:r>
      <w:r>
        <w:rPr>
          <w:i/>
          <w:sz w:val="20"/>
        </w:rPr>
        <w:t>ventilación primaria</w:t>
      </w:r>
      <w:r>
        <w:rPr>
          <w:sz w:val="20"/>
        </w:rPr>
        <w:t>, </w:t>
      </w:r>
      <w:r>
        <w:rPr>
          <w:i/>
          <w:sz w:val="20"/>
        </w:rPr>
        <w:t>ventilación secundaria</w:t>
      </w:r>
      <w:r>
        <w:rPr>
          <w:sz w:val="20"/>
        </w:rPr>
        <w:t>, </w:t>
      </w:r>
      <w:r>
        <w:rPr>
          <w:i/>
          <w:sz w:val="20"/>
        </w:rPr>
        <w:t>ventilación </w:t>
      </w:r>
      <w:r>
        <w:rPr>
          <w:i/>
          <w:sz w:val="20"/>
        </w:rPr>
        <w:t>terciaria </w:t>
      </w:r>
      <w:r>
        <w:rPr>
          <w:sz w:val="20"/>
        </w:rPr>
        <w:t>y </w:t>
      </w:r>
      <w:r>
        <w:rPr>
          <w:i/>
          <w:sz w:val="20"/>
        </w:rPr>
        <w:t>ventilación con válvulas de</w:t>
      </w:r>
      <w:r>
        <w:rPr>
          <w:i/>
          <w:spacing w:val="-3"/>
          <w:sz w:val="20"/>
        </w:rPr>
        <w:t> </w:t>
      </w:r>
      <w:r>
        <w:rPr>
          <w:i/>
          <w:sz w:val="20"/>
        </w:rPr>
        <w:t>aireación-ventilación</w:t>
      </w:r>
      <w:r>
        <w:rPr>
          <w:sz w:val="20"/>
        </w:rPr>
        <w:t>.</w:t>
      </w:r>
    </w:p>
    <w:p>
      <w:pPr>
        <w:pStyle w:val="BodyText"/>
        <w:spacing w:before="5"/>
        <w:rPr>
          <w:sz w:val="17"/>
        </w:rPr>
      </w:pPr>
    </w:p>
    <w:p>
      <w:pPr>
        <w:pStyle w:val="ListParagraph"/>
        <w:numPr>
          <w:ilvl w:val="3"/>
          <w:numId w:val="228"/>
        </w:numPr>
        <w:tabs>
          <w:tab w:pos="1353" w:val="left" w:leader="none"/>
        </w:tabs>
        <w:spacing w:line="240" w:lineRule="auto" w:before="1" w:after="0"/>
        <w:ind w:left="1352" w:right="0" w:hanging="1135"/>
        <w:jc w:val="both"/>
        <w:rPr>
          <w:b/>
          <w:i/>
          <w:sz w:val="20"/>
        </w:rPr>
      </w:pPr>
      <w:r>
        <w:rPr>
          <w:b/>
          <w:sz w:val="20"/>
        </w:rPr>
        <w:t>Subsistema de </w:t>
      </w:r>
      <w:r>
        <w:rPr>
          <w:b/>
          <w:i/>
          <w:sz w:val="20"/>
        </w:rPr>
        <w:t>ventilación</w:t>
      </w:r>
      <w:r>
        <w:rPr>
          <w:b/>
          <w:i/>
          <w:spacing w:val="-2"/>
          <w:sz w:val="20"/>
        </w:rPr>
        <w:t> </w:t>
      </w:r>
      <w:r>
        <w:rPr>
          <w:b/>
          <w:i/>
          <w:sz w:val="20"/>
        </w:rPr>
        <w:t>primaria</w:t>
      </w:r>
    </w:p>
    <w:p>
      <w:pPr>
        <w:pStyle w:val="ListParagraph"/>
        <w:numPr>
          <w:ilvl w:val="0"/>
          <w:numId w:val="238"/>
        </w:numPr>
        <w:tabs>
          <w:tab w:pos="673" w:val="left" w:leader="none"/>
        </w:tabs>
        <w:spacing w:line="240" w:lineRule="auto" w:before="79" w:after="0"/>
        <w:ind w:left="672" w:right="651" w:hanging="454"/>
        <w:jc w:val="both"/>
        <w:rPr>
          <w:sz w:val="20"/>
        </w:rPr>
      </w:pPr>
      <w:r>
        <w:rPr>
          <w:sz w:val="20"/>
        </w:rPr>
        <w:t>Se considera suficiente como único sistema de ventilación en edificios con menos de 7 plantas, o con menos de 11 si la </w:t>
      </w:r>
      <w:r>
        <w:rPr>
          <w:i/>
          <w:sz w:val="20"/>
        </w:rPr>
        <w:t>bajante </w:t>
      </w:r>
      <w:r>
        <w:rPr>
          <w:sz w:val="20"/>
        </w:rPr>
        <w:t>está sobredimensionada, y los ramales de desagües tienen menos de 5</w:t>
      </w:r>
      <w:r>
        <w:rPr>
          <w:spacing w:val="-1"/>
          <w:sz w:val="20"/>
        </w:rPr>
        <w:t> </w:t>
      </w:r>
      <w:r>
        <w:rPr>
          <w:sz w:val="20"/>
        </w:rPr>
        <w:t>m.</w:t>
      </w:r>
    </w:p>
    <w:p>
      <w:pPr>
        <w:spacing w:after="0" w:line="240" w:lineRule="auto"/>
        <w:jc w:val="both"/>
        <w:rPr>
          <w:sz w:val="20"/>
        </w:rPr>
        <w:sectPr>
          <w:pgSz w:w="11910" w:h="16840"/>
          <w:pgMar w:header="714" w:footer="642" w:top="1320" w:bottom="840" w:left="1200" w:right="740"/>
        </w:sectPr>
      </w:pPr>
    </w:p>
    <w:p>
      <w:pPr>
        <w:pStyle w:val="ListParagraph"/>
        <w:numPr>
          <w:ilvl w:val="0"/>
          <w:numId w:val="238"/>
        </w:numPr>
        <w:tabs>
          <w:tab w:pos="673" w:val="left" w:leader="none"/>
        </w:tabs>
        <w:spacing w:line="240" w:lineRule="auto" w:before="91" w:after="0"/>
        <w:ind w:left="672" w:right="430" w:hanging="454"/>
        <w:jc w:val="both"/>
        <w:rPr>
          <w:sz w:val="20"/>
        </w:rPr>
      </w:pPr>
      <w:r>
        <w:rPr>
          <w:sz w:val="20"/>
        </w:rPr>
        <w:t>Las </w:t>
      </w:r>
      <w:r>
        <w:rPr>
          <w:i/>
          <w:sz w:val="20"/>
        </w:rPr>
        <w:t>bajantes </w:t>
      </w:r>
      <w:r>
        <w:rPr>
          <w:sz w:val="20"/>
        </w:rPr>
        <w:t>de </w:t>
      </w:r>
      <w:r>
        <w:rPr>
          <w:i/>
          <w:sz w:val="20"/>
        </w:rPr>
        <w:t>aguas residuales </w:t>
      </w:r>
      <w:r>
        <w:rPr>
          <w:sz w:val="20"/>
        </w:rPr>
        <w:t>deben prolongarse al menos 1,30 m por encima de la cubierta del edificio, si esta no es transitable. Si lo es, la prolongación debe ser de al menos 2,00 m sobre el pa- vimento de la</w:t>
      </w:r>
      <w:r>
        <w:rPr>
          <w:spacing w:val="-3"/>
          <w:sz w:val="20"/>
        </w:rPr>
        <w:t> </w:t>
      </w:r>
      <w:r>
        <w:rPr>
          <w:sz w:val="20"/>
        </w:rPr>
        <w:t>misma.</w:t>
      </w:r>
    </w:p>
    <w:p>
      <w:pPr>
        <w:pStyle w:val="ListParagraph"/>
        <w:numPr>
          <w:ilvl w:val="0"/>
          <w:numId w:val="238"/>
        </w:numPr>
        <w:tabs>
          <w:tab w:pos="673" w:val="left" w:leader="none"/>
        </w:tabs>
        <w:spacing w:line="240" w:lineRule="auto" w:before="60" w:after="0"/>
        <w:ind w:left="672" w:right="439" w:hanging="454"/>
        <w:jc w:val="both"/>
        <w:rPr>
          <w:sz w:val="20"/>
        </w:rPr>
      </w:pPr>
      <w:r>
        <w:rPr>
          <w:sz w:val="20"/>
        </w:rPr>
        <w:t>La salida de la </w:t>
      </w:r>
      <w:r>
        <w:rPr>
          <w:i/>
          <w:sz w:val="20"/>
        </w:rPr>
        <w:t>ventilación primaria </w:t>
      </w:r>
      <w:r>
        <w:rPr>
          <w:sz w:val="20"/>
        </w:rPr>
        <w:t>no debe estar situada a menos de 6 m de cualquier toma de aire exterior para climatización o ventilación y debe sobrepasarla en</w:t>
      </w:r>
      <w:r>
        <w:rPr>
          <w:spacing w:val="-7"/>
          <w:sz w:val="20"/>
        </w:rPr>
        <w:t> </w:t>
      </w:r>
      <w:r>
        <w:rPr>
          <w:sz w:val="20"/>
        </w:rPr>
        <w:t>altura.</w:t>
      </w:r>
    </w:p>
    <w:p>
      <w:pPr>
        <w:pStyle w:val="ListParagraph"/>
        <w:numPr>
          <w:ilvl w:val="0"/>
          <w:numId w:val="238"/>
        </w:numPr>
        <w:tabs>
          <w:tab w:pos="673" w:val="left" w:leader="none"/>
        </w:tabs>
        <w:spacing w:line="240" w:lineRule="auto" w:before="60" w:after="0"/>
        <w:ind w:left="672" w:right="530" w:hanging="454"/>
        <w:jc w:val="both"/>
        <w:rPr>
          <w:sz w:val="20"/>
        </w:rPr>
      </w:pPr>
      <w:r>
        <w:rPr>
          <w:sz w:val="20"/>
        </w:rPr>
        <w:t>Cuando existan huecos de recintos habitables a menos de 6 m de la salida de la </w:t>
      </w:r>
      <w:r>
        <w:rPr>
          <w:i/>
          <w:sz w:val="20"/>
        </w:rPr>
        <w:t>ventilación prima- </w:t>
      </w:r>
      <w:r>
        <w:rPr>
          <w:i/>
          <w:sz w:val="20"/>
        </w:rPr>
        <w:t>ria</w:t>
      </w:r>
      <w:r>
        <w:rPr>
          <w:sz w:val="20"/>
        </w:rPr>
        <w:t>, ésta debe situarse al menos 50 cm por encima de la cota máxima de dichos</w:t>
      </w:r>
      <w:r>
        <w:rPr>
          <w:spacing w:val="-11"/>
          <w:sz w:val="20"/>
        </w:rPr>
        <w:t> </w:t>
      </w:r>
      <w:r>
        <w:rPr>
          <w:sz w:val="20"/>
        </w:rPr>
        <w:t>huecos.</w:t>
      </w:r>
    </w:p>
    <w:p>
      <w:pPr>
        <w:pStyle w:val="ListParagraph"/>
        <w:numPr>
          <w:ilvl w:val="0"/>
          <w:numId w:val="238"/>
        </w:numPr>
        <w:tabs>
          <w:tab w:pos="673" w:val="left" w:leader="none"/>
        </w:tabs>
        <w:spacing w:line="240" w:lineRule="auto" w:before="60" w:after="0"/>
        <w:ind w:left="672" w:right="585" w:hanging="454"/>
        <w:jc w:val="both"/>
        <w:rPr>
          <w:sz w:val="20"/>
        </w:rPr>
      </w:pPr>
      <w:r>
        <w:rPr>
          <w:sz w:val="20"/>
        </w:rPr>
        <w:t>La salida de la ventilación debe estar convenientemente protegida de la entrada de cuerpos extra- ños y su diseño debe ser tal que la acción del viento favorezca la expulsión de los</w:t>
      </w:r>
      <w:r>
        <w:rPr>
          <w:spacing w:val="-8"/>
          <w:sz w:val="20"/>
        </w:rPr>
        <w:t> </w:t>
      </w:r>
      <w:r>
        <w:rPr>
          <w:sz w:val="20"/>
        </w:rPr>
        <w:t>gases.</w:t>
      </w:r>
    </w:p>
    <w:p>
      <w:pPr>
        <w:pStyle w:val="ListParagraph"/>
        <w:numPr>
          <w:ilvl w:val="0"/>
          <w:numId w:val="238"/>
        </w:numPr>
        <w:tabs>
          <w:tab w:pos="673" w:val="left" w:leader="none"/>
        </w:tabs>
        <w:spacing w:line="240" w:lineRule="auto" w:before="61" w:after="0"/>
        <w:ind w:left="672" w:right="0" w:hanging="455"/>
        <w:jc w:val="both"/>
        <w:rPr>
          <w:sz w:val="20"/>
        </w:rPr>
      </w:pPr>
      <w:r>
        <w:rPr>
          <w:sz w:val="20"/>
        </w:rPr>
        <w:t>No pueden disponerse terminaciones de columna bajo marquesinas o</w:t>
      </w:r>
      <w:r>
        <w:rPr>
          <w:spacing w:val="-2"/>
          <w:sz w:val="20"/>
        </w:rPr>
        <w:t> </w:t>
      </w:r>
      <w:r>
        <w:rPr>
          <w:sz w:val="20"/>
        </w:rPr>
        <w:t>terrazas.</w:t>
      </w:r>
    </w:p>
    <w:p>
      <w:pPr>
        <w:pStyle w:val="BodyText"/>
        <w:spacing w:before="4"/>
        <w:rPr>
          <w:sz w:val="17"/>
        </w:rPr>
      </w:pPr>
    </w:p>
    <w:p>
      <w:pPr>
        <w:pStyle w:val="ListParagraph"/>
        <w:numPr>
          <w:ilvl w:val="3"/>
          <w:numId w:val="228"/>
        </w:numPr>
        <w:tabs>
          <w:tab w:pos="1352" w:val="left" w:leader="none"/>
          <w:tab w:pos="1353" w:val="left" w:leader="none"/>
        </w:tabs>
        <w:spacing w:line="240" w:lineRule="auto" w:before="0" w:after="0"/>
        <w:ind w:left="1352" w:right="0" w:hanging="1135"/>
        <w:jc w:val="left"/>
        <w:rPr>
          <w:b/>
          <w:i/>
          <w:sz w:val="20"/>
        </w:rPr>
      </w:pPr>
      <w:r>
        <w:rPr>
          <w:b/>
          <w:sz w:val="20"/>
        </w:rPr>
        <w:t>Subsistema de </w:t>
      </w:r>
      <w:r>
        <w:rPr>
          <w:b/>
          <w:i/>
          <w:sz w:val="20"/>
        </w:rPr>
        <w:t>ventilación</w:t>
      </w:r>
      <w:r>
        <w:rPr>
          <w:b/>
          <w:i/>
          <w:spacing w:val="-3"/>
          <w:sz w:val="20"/>
        </w:rPr>
        <w:t> </w:t>
      </w:r>
      <w:r>
        <w:rPr>
          <w:b/>
          <w:i/>
          <w:sz w:val="20"/>
        </w:rPr>
        <w:t>secundaria</w:t>
      </w:r>
    </w:p>
    <w:p>
      <w:pPr>
        <w:pStyle w:val="ListParagraph"/>
        <w:numPr>
          <w:ilvl w:val="0"/>
          <w:numId w:val="239"/>
        </w:numPr>
        <w:tabs>
          <w:tab w:pos="672" w:val="left" w:leader="none"/>
          <w:tab w:pos="673" w:val="left" w:leader="none"/>
        </w:tabs>
        <w:spacing w:line="240" w:lineRule="auto" w:before="79" w:after="0"/>
        <w:ind w:left="672" w:right="451" w:hanging="454"/>
        <w:jc w:val="left"/>
        <w:rPr>
          <w:sz w:val="20"/>
        </w:rPr>
      </w:pPr>
      <w:r>
        <w:rPr>
          <w:sz w:val="20"/>
        </w:rPr>
        <w:t>En los edificios no incluidos en el punto 1 del apartado anterior debe disponerse un sistema de </w:t>
      </w:r>
      <w:r>
        <w:rPr>
          <w:i/>
          <w:sz w:val="20"/>
        </w:rPr>
        <w:t>ven- </w:t>
      </w:r>
      <w:r>
        <w:rPr>
          <w:i/>
          <w:sz w:val="20"/>
        </w:rPr>
        <w:t>tilación secundaria </w:t>
      </w:r>
      <w:r>
        <w:rPr>
          <w:sz w:val="20"/>
        </w:rPr>
        <w:t>con conexiones en plantas alternas a la </w:t>
      </w:r>
      <w:r>
        <w:rPr>
          <w:i/>
          <w:sz w:val="20"/>
        </w:rPr>
        <w:t>bajante </w:t>
      </w:r>
      <w:r>
        <w:rPr>
          <w:sz w:val="20"/>
        </w:rPr>
        <w:t>si el edificio tiene menos de 15 plantas, o en cada planta si tiene 15 plantas o</w:t>
      </w:r>
      <w:r>
        <w:rPr>
          <w:spacing w:val="-5"/>
          <w:sz w:val="20"/>
        </w:rPr>
        <w:t> </w:t>
      </w:r>
      <w:r>
        <w:rPr>
          <w:sz w:val="20"/>
        </w:rPr>
        <w:t>más.</w:t>
      </w:r>
    </w:p>
    <w:p>
      <w:pPr>
        <w:pStyle w:val="ListParagraph"/>
        <w:numPr>
          <w:ilvl w:val="0"/>
          <w:numId w:val="239"/>
        </w:numPr>
        <w:tabs>
          <w:tab w:pos="672" w:val="left" w:leader="none"/>
          <w:tab w:pos="673" w:val="left" w:leader="none"/>
        </w:tabs>
        <w:spacing w:line="240" w:lineRule="auto" w:before="60" w:after="0"/>
        <w:ind w:left="672" w:right="0" w:hanging="455"/>
        <w:jc w:val="left"/>
        <w:rPr>
          <w:sz w:val="20"/>
        </w:rPr>
      </w:pPr>
      <w:r>
        <w:rPr>
          <w:sz w:val="20"/>
        </w:rPr>
        <w:t>Las conexiones deben realizarse por encima de la acometida de los aparatos</w:t>
      </w:r>
      <w:r>
        <w:rPr>
          <w:spacing w:val="-5"/>
          <w:sz w:val="20"/>
        </w:rPr>
        <w:t> </w:t>
      </w:r>
      <w:r>
        <w:rPr>
          <w:sz w:val="20"/>
        </w:rPr>
        <w:t>sanitarios.</w:t>
      </w:r>
    </w:p>
    <w:p>
      <w:pPr>
        <w:pStyle w:val="ListParagraph"/>
        <w:numPr>
          <w:ilvl w:val="0"/>
          <w:numId w:val="239"/>
        </w:numPr>
        <w:tabs>
          <w:tab w:pos="672" w:val="left" w:leader="none"/>
          <w:tab w:pos="673" w:val="left" w:leader="none"/>
        </w:tabs>
        <w:spacing w:line="240" w:lineRule="auto" w:before="61" w:after="0"/>
        <w:ind w:left="672" w:right="398" w:hanging="454"/>
        <w:jc w:val="left"/>
        <w:rPr>
          <w:sz w:val="20"/>
        </w:rPr>
      </w:pPr>
      <w:r>
        <w:rPr>
          <w:sz w:val="20"/>
        </w:rPr>
        <w:t>En su parte superior la conexión debe realizarse al menos 1 m por encima del último aparato sanita- rio existente, e igualmente en su parte inferior debe conectarse con el </w:t>
      </w:r>
      <w:r>
        <w:rPr>
          <w:i/>
          <w:sz w:val="20"/>
        </w:rPr>
        <w:t>colector </w:t>
      </w:r>
      <w:r>
        <w:rPr>
          <w:sz w:val="20"/>
        </w:rPr>
        <w:t>de la red horizontal, en su generatriz superior y en el punto más cercano posible, a una distancia como máximo 10 ve- ces el diámetro del mismo. Si esto no fuera posible, la conexión inferior debe realizarse por debajo del último ramal.</w:t>
      </w:r>
    </w:p>
    <w:p>
      <w:pPr>
        <w:pStyle w:val="ListParagraph"/>
        <w:numPr>
          <w:ilvl w:val="0"/>
          <w:numId w:val="239"/>
        </w:numPr>
        <w:tabs>
          <w:tab w:pos="672" w:val="left" w:leader="none"/>
          <w:tab w:pos="673" w:val="left" w:leader="none"/>
        </w:tabs>
        <w:spacing w:line="240" w:lineRule="auto" w:before="60" w:after="0"/>
        <w:ind w:left="672" w:right="741" w:hanging="454"/>
        <w:jc w:val="left"/>
        <w:rPr>
          <w:sz w:val="20"/>
        </w:rPr>
      </w:pPr>
      <w:r>
        <w:rPr>
          <w:sz w:val="20"/>
        </w:rPr>
        <w:t>La columna de ventilación debe terminar conectándose a la </w:t>
      </w:r>
      <w:r>
        <w:rPr>
          <w:i/>
          <w:sz w:val="20"/>
        </w:rPr>
        <w:t>bajante</w:t>
      </w:r>
      <w:r>
        <w:rPr>
          <w:sz w:val="20"/>
        </w:rPr>
        <w:t>, una vez rebasada la altura mencionada, o prolongarse por encima de la cubierta del edificio al menos hasta la misma altura que la</w:t>
      </w:r>
      <w:r>
        <w:rPr>
          <w:spacing w:val="-2"/>
          <w:sz w:val="20"/>
        </w:rPr>
        <w:t> </w:t>
      </w:r>
      <w:r>
        <w:rPr>
          <w:i/>
          <w:sz w:val="20"/>
        </w:rPr>
        <w:t>bajante</w:t>
      </w:r>
      <w:r>
        <w:rPr>
          <w:sz w:val="20"/>
        </w:rPr>
        <w:t>.</w:t>
      </w:r>
    </w:p>
    <w:p>
      <w:pPr>
        <w:pStyle w:val="ListParagraph"/>
        <w:numPr>
          <w:ilvl w:val="0"/>
          <w:numId w:val="239"/>
        </w:numPr>
        <w:tabs>
          <w:tab w:pos="672" w:val="left" w:leader="none"/>
          <w:tab w:pos="673" w:val="left" w:leader="none"/>
        </w:tabs>
        <w:spacing w:line="240" w:lineRule="auto" w:before="60" w:after="0"/>
        <w:ind w:left="672" w:right="657" w:hanging="454"/>
        <w:jc w:val="left"/>
        <w:rPr>
          <w:sz w:val="20"/>
        </w:rPr>
      </w:pPr>
      <w:r>
        <w:rPr>
          <w:sz w:val="20"/>
        </w:rPr>
        <w:t>Si existe una desviación de la </w:t>
      </w:r>
      <w:r>
        <w:rPr>
          <w:i/>
          <w:sz w:val="20"/>
        </w:rPr>
        <w:t>bajante </w:t>
      </w:r>
      <w:r>
        <w:rPr>
          <w:sz w:val="20"/>
        </w:rPr>
        <w:t>de más de 45º, debe considerarse como tramo horizontal y ventilarse cada tramo de dicha </w:t>
      </w:r>
      <w:r>
        <w:rPr>
          <w:i/>
          <w:sz w:val="20"/>
        </w:rPr>
        <w:t>bajante </w:t>
      </w:r>
      <w:r>
        <w:rPr>
          <w:sz w:val="20"/>
        </w:rPr>
        <w:t>de manera</w:t>
      </w:r>
      <w:r>
        <w:rPr>
          <w:spacing w:val="-4"/>
          <w:sz w:val="20"/>
        </w:rPr>
        <w:t> </w:t>
      </w:r>
      <w:r>
        <w:rPr>
          <w:sz w:val="20"/>
        </w:rPr>
        <w:t>independiente.</w:t>
      </w:r>
    </w:p>
    <w:p>
      <w:pPr>
        <w:pStyle w:val="BodyText"/>
        <w:spacing w:before="4"/>
        <w:rPr>
          <w:sz w:val="17"/>
        </w:rPr>
      </w:pPr>
    </w:p>
    <w:p>
      <w:pPr>
        <w:pStyle w:val="ListParagraph"/>
        <w:numPr>
          <w:ilvl w:val="3"/>
          <w:numId w:val="228"/>
        </w:numPr>
        <w:tabs>
          <w:tab w:pos="1353" w:val="left" w:leader="none"/>
        </w:tabs>
        <w:spacing w:line="240" w:lineRule="auto" w:before="1" w:after="0"/>
        <w:ind w:left="1352" w:right="0" w:hanging="1135"/>
        <w:jc w:val="both"/>
        <w:rPr>
          <w:b/>
          <w:i/>
          <w:sz w:val="20"/>
        </w:rPr>
      </w:pPr>
      <w:r>
        <w:rPr>
          <w:b/>
          <w:sz w:val="20"/>
        </w:rPr>
        <w:t>Subsistema de </w:t>
      </w:r>
      <w:r>
        <w:rPr>
          <w:b/>
          <w:i/>
          <w:sz w:val="20"/>
        </w:rPr>
        <w:t>ventilación</w:t>
      </w:r>
      <w:r>
        <w:rPr>
          <w:b/>
          <w:i/>
          <w:spacing w:val="-2"/>
          <w:sz w:val="20"/>
        </w:rPr>
        <w:t> </w:t>
      </w:r>
      <w:r>
        <w:rPr>
          <w:b/>
          <w:i/>
          <w:sz w:val="20"/>
        </w:rPr>
        <w:t>terciaria</w:t>
      </w:r>
    </w:p>
    <w:p>
      <w:pPr>
        <w:pStyle w:val="ListParagraph"/>
        <w:numPr>
          <w:ilvl w:val="0"/>
          <w:numId w:val="240"/>
        </w:numPr>
        <w:tabs>
          <w:tab w:pos="673" w:val="left" w:leader="none"/>
        </w:tabs>
        <w:spacing w:line="240" w:lineRule="auto" w:before="79" w:after="0"/>
        <w:ind w:left="672" w:right="495" w:hanging="454"/>
        <w:jc w:val="both"/>
        <w:rPr>
          <w:sz w:val="20"/>
        </w:rPr>
      </w:pPr>
      <w:r>
        <w:rPr>
          <w:sz w:val="20"/>
        </w:rPr>
        <w:t>Debe disponerse </w:t>
      </w:r>
      <w:r>
        <w:rPr>
          <w:i/>
          <w:sz w:val="20"/>
        </w:rPr>
        <w:t>ventilación terciaria </w:t>
      </w:r>
      <w:r>
        <w:rPr>
          <w:sz w:val="20"/>
        </w:rPr>
        <w:t>cuando la longitud de los ramales de desagüe sea mayor que 5 m, o si el edificio tiene más de 14 plantas. El sistema debe conectar los </w:t>
      </w:r>
      <w:r>
        <w:rPr>
          <w:i/>
          <w:sz w:val="20"/>
        </w:rPr>
        <w:t>cierres hidráulicos </w:t>
      </w:r>
      <w:r>
        <w:rPr>
          <w:sz w:val="20"/>
        </w:rPr>
        <w:t>con la columna de </w:t>
      </w:r>
      <w:r>
        <w:rPr>
          <w:i/>
          <w:sz w:val="20"/>
        </w:rPr>
        <w:t>ventilación secundaria </w:t>
      </w:r>
      <w:r>
        <w:rPr>
          <w:sz w:val="20"/>
        </w:rPr>
        <w:t>en sentido</w:t>
      </w:r>
      <w:r>
        <w:rPr>
          <w:spacing w:val="-5"/>
          <w:sz w:val="20"/>
        </w:rPr>
        <w:t> </w:t>
      </w:r>
      <w:r>
        <w:rPr>
          <w:sz w:val="20"/>
        </w:rPr>
        <w:t>ascendente.</w:t>
      </w:r>
    </w:p>
    <w:p>
      <w:pPr>
        <w:pStyle w:val="ListParagraph"/>
        <w:numPr>
          <w:ilvl w:val="0"/>
          <w:numId w:val="240"/>
        </w:numPr>
        <w:tabs>
          <w:tab w:pos="672" w:val="left" w:leader="none"/>
          <w:tab w:pos="673" w:val="left" w:leader="none"/>
        </w:tabs>
        <w:spacing w:line="240" w:lineRule="auto" w:before="60" w:after="0"/>
        <w:ind w:left="672" w:right="642" w:hanging="454"/>
        <w:jc w:val="left"/>
        <w:rPr>
          <w:sz w:val="20"/>
        </w:rPr>
      </w:pPr>
      <w:r>
        <w:rPr>
          <w:sz w:val="20"/>
        </w:rPr>
        <w:t>Debe conectarse a una distancia del </w:t>
      </w:r>
      <w:r>
        <w:rPr>
          <w:i/>
          <w:sz w:val="20"/>
        </w:rPr>
        <w:t>cierre hidráulico </w:t>
      </w:r>
      <w:r>
        <w:rPr>
          <w:sz w:val="20"/>
        </w:rPr>
        <w:t>comprendida entre 2 y 20 veces el diámetro de la tubería de desagüe del</w:t>
      </w:r>
      <w:r>
        <w:rPr>
          <w:spacing w:val="-3"/>
          <w:sz w:val="20"/>
        </w:rPr>
        <w:t> </w:t>
      </w:r>
      <w:r>
        <w:rPr>
          <w:sz w:val="20"/>
        </w:rPr>
        <w:t>aparato.</w:t>
      </w:r>
    </w:p>
    <w:p>
      <w:pPr>
        <w:pStyle w:val="ListParagraph"/>
        <w:numPr>
          <w:ilvl w:val="0"/>
          <w:numId w:val="240"/>
        </w:numPr>
        <w:tabs>
          <w:tab w:pos="672" w:val="left" w:leader="none"/>
          <w:tab w:pos="673" w:val="left" w:leader="none"/>
        </w:tabs>
        <w:spacing w:line="240" w:lineRule="auto" w:before="60" w:after="0"/>
        <w:ind w:left="672" w:right="574" w:hanging="454"/>
        <w:jc w:val="left"/>
        <w:rPr>
          <w:sz w:val="20"/>
        </w:rPr>
      </w:pPr>
      <w:r>
        <w:rPr>
          <w:sz w:val="20"/>
        </w:rPr>
        <w:t>La abertura de ventilación no debe estar por debajo de la corona del sifón. La toma debe estar por encima del eje vertical de la sección transversal, subiendo verticalmente con un ángulo no mayor que 45º respecto de la</w:t>
      </w:r>
      <w:r>
        <w:rPr>
          <w:spacing w:val="-4"/>
          <w:sz w:val="20"/>
        </w:rPr>
        <w:t> </w:t>
      </w:r>
      <w:r>
        <w:rPr>
          <w:sz w:val="20"/>
        </w:rPr>
        <w:t>vertical.</w:t>
      </w:r>
    </w:p>
    <w:p>
      <w:pPr>
        <w:pStyle w:val="ListParagraph"/>
        <w:numPr>
          <w:ilvl w:val="0"/>
          <w:numId w:val="240"/>
        </w:numPr>
        <w:tabs>
          <w:tab w:pos="672" w:val="left" w:leader="none"/>
          <w:tab w:pos="673" w:val="left" w:leader="none"/>
        </w:tabs>
        <w:spacing w:line="240" w:lineRule="auto" w:before="60" w:after="0"/>
        <w:ind w:left="672" w:right="574" w:hanging="454"/>
        <w:jc w:val="left"/>
        <w:rPr>
          <w:sz w:val="20"/>
        </w:rPr>
      </w:pPr>
      <w:r>
        <w:rPr>
          <w:sz w:val="20"/>
        </w:rPr>
        <w:t>Deben tener una pendiente del 1% como mínimo hacia la tubería de desagüe para recoger la con- densación que se</w:t>
      </w:r>
      <w:r>
        <w:rPr>
          <w:spacing w:val="-1"/>
          <w:sz w:val="20"/>
        </w:rPr>
        <w:t> </w:t>
      </w:r>
      <w:r>
        <w:rPr>
          <w:sz w:val="20"/>
        </w:rPr>
        <w:t>forme.</w:t>
      </w:r>
    </w:p>
    <w:p>
      <w:pPr>
        <w:pStyle w:val="ListParagraph"/>
        <w:numPr>
          <w:ilvl w:val="0"/>
          <w:numId w:val="240"/>
        </w:numPr>
        <w:tabs>
          <w:tab w:pos="672" w:val="left" w:leader="none"/>
          <w:tab w:pos="673" w:val="left" w:leader="none"/>
        </w:tabs>
        <w:spacing w:line="240" w:lineRule="auto" w:before="61" w:after="0"/>
        <w:ind w:left="672" w:right="754" w:hanging="454"/>
        <w:jc w:val="left"/>
        <w:rPr>
          <w:sz w:val="20"/>
        </w:rPr>
      </w:pPr>
      <w:r>
        <w:rPr>
          <w:sz w:val="20"/>
        </w:rPr>
        <w:t>Los tramos horizontales deben estar por lo menos 20 cm por encima del rebosadero del aparato sanitario cuyo sifón</w:t>
      </w:r>
      <w:r>
        <w:rPr>
          <w:spacing w:val="-1"/>
          <w:sz w:val="20"/>
        </w:rPr>
        <w:t> </w:t>
      </w:r>
      <w:r>
        <w:rPr>
          <w:sz w:val="20"/>
        </w:rPr>
        <w:t>ventila.</w:t>
      </w:r>
    </w:p>
    <w:p>
      <w:pPr>
        <w:pStyle w:val="BodyText"/>
        <w:spacing w:before="4"/>
        <w:rPr>
          <w:sz w:val="17"/>
        </w:rPr>
      </w:pPr>
    </w:p>
    <w:p>
      <w:pPr>
        <w:pStyle w:val="ListParagraph"/>
        <w:numPr>
          <w:ilvl w:val="3"/>
          <w:numId w:val="228"/>
        </w:numPr>
        <w:tabs>
          <w:tab w:pos="1352" w:val="left" w:leader="none"/>
          <w:tab w:pos="1353" w:val="left" w:leader="none"/>
        </w:tabs>
        <w:spacing w:line="240" w:lineRule="auto" w:before="0" w:after="0"/>
        <w:ind w:left="1352" w:right="0" w:hanging="1135"/>
        <w:jc w:val="left"/>
        <w:rPr>
          <w:b/>
          <w:i/>
          <w:sz w:val="20"/>
        </w:rPr>
      </w:pPr>
      <w:r>
        <w:rPr>
          <w:b/>
          <w:sz w:val="20"/>
        </w:rPr>
        <w:t>Subsistema de </w:t>
      </w:r>
      <w:r>
        <w:rPr>
          <w:b/>
          <w:i/>
          <w:sz w:val="20"/>
        </w:rPr>
        <w:t>ventilación con válvulas de</w:t>
      </w:r>
      <w:r>
        <w:rPr>
          <w:b/>
          <w:i/>
          <w:spacing w:val="-3"/>
          <w:sz w:val="20"/>
        </w:rPr>
        <w:t> </w:t>
      </w:r>
      <w:r>
        <w:rPr>
          <w:b/>
          <w:i/>
          <w:sz w:val="20"/>
        </w:rPr>
        <w:t>aireación</w:t>
      </w:r>
    </w:p>
    <w:p>
      <w:pPr>
        <w:pStyle w:val="BodyText"/>
        <w:tabs>
          <w:tab w:pos="672" w:val="left" w:leader="none"/>
        </w:tabs>
        <w:spacing w:before="80"/>
        <w:ind w:left="672" w:right="496" w:hanging="454"/>
      </w:pPr>
      <w:r>
        <w:rPr/>
        <w:t>1</w:t>
        <w:tab/>
        <w:t>Debe utilizarse cuando por criterios de diseño se decida combinar los elementos de los demás sis- temas de ventilación con el fin de no salir al de la cubierta y ahorrar el espacio ocupado por los elementos del sistema de </w:t>
      </w:r>
      <w:r>
        <w:rPr>
          <w:i/>
        </w:rPr>
        <w:t>ventilación secundaria</w:t>
      </w:r>
      <w:r>
        <w:rPr/>
        <w:t>. Debe instalarse una única válvula en edificios de 5 plantas o menos y una cada 4 plantas en los de mayor altura. En ramales de cierta entidad es re- comendable instalar válvulas secundarias, pudiendo utilizarse sifones individuales</w:t>
      </w:r>
      <w:r>
        <w:rPr>
          <w:spacing w:val="-8"/>
        </w:rPr>
        <w:t> </w:t>
      </w:r>
      <w:r>
        <w:rPr/>
        <w:t>combinados.</w:t>
      </w:r>
    </w:p>
    <w:p>
      <w:pPr>
        <w:pStyle w:val="BodyText"/>
        <w:rPr>
          <w:sz w:val="22"/>
        </w:rPr>
      </w:pPr>
    </w:p>
    <w:p>
      <w:pPr>
        <w:pStyle w:val="BodyText"/>
        <w:spacing w:before="10"/>
        <w:rPr>
          <w:sz w:val="19"/>
        </w:rPr>
      </w:pPr>
    </w:p>
    <w:p>
      <w:pPr>
        <w:pStyle w:val="Heading2"/>
        <w:numPr>
          <w:ilvl w:val="0"/>
          <w:numId w:val="241"/>
        </w:numPr>
        <w:tabs>
          <w:tab w:pos="786" w:val="left" w:leader="none"/>
          <w:tab w:pos="787" w:val="left" w:leader="none"/>
        </w:tabs>
        <w:spacing w:line="240" w:lineRule="auto" w:before="0" w:after="0"/>
        <w:ind w:left="786" w:right="0" w:hanging="569"/>
        <w:jc w:val="left"/>
      </w:pPr>
      <w:r>
        <w:rPr/>
        <w:t>Dimensionado</w:t>
      </w:r>
    </w:p>
    <w:p>
      <w:pPr>
        <w:pStyle w:val="ListParagraph"/>
        <w:numPr>
          <w:ilvl w:val="0"/>
          <w:numId w:val="242"/>
        </w:numPr>
        <w:tabs>
          <w:tab w:pos="672" w:val="left" w:leader="none"/>
          <w:tab w:pos="673" w:val="left" w:leader="none"/>
        </w:tabs>
        <w:spacing w:line="240" w:lineRule="auto" w:before="159" w:after="0"/>
        <w:ind w:left="672" w:right="529" w:hanging="454"/>
        <w:jc w:val="left"/>
        <w:rPr>
          <w:sz w:val="20"/>
        </w:rPr>
      </w:pPr>
      <w:r>
        <w:rPr>
          <w:sz w:val="20"/>
        </w:rPr>
        <w:t>Debe aplicarse un procedimiento de dimensionado para un </w:t>
      </w:r>
      <w:r>
        <w:rPr>
          <w:i/>
          <w:sz w:val="20"/>
        </w:rPr>
        <w:t>sistema separativo</w:t>
      </w:r>
      <w:r>
        <w:rPr>
          <w:sz w:val="20"/>
        </w:rPr>
        <w:t>, es decir, debe di- mensionarse la red de </w:t>
      </w:r>
      <w:r>
        <w:rPr>
          <w:i/>
          <w:sz w:val="20"/>
        </w:rPr>
        <w:t>aguas residuales </w:t>
      </w:r>
      <w:r>
        <w:rPr>
          <w:sz w:val="20"/>
        </w:rPr>
        <w:t>por un lado y la red de </w:t>
      </w:r>
      <w:r>
        <w:rPr>
          <w:i/>
          <w:sz w:val="20"/>
        </w:rPr>
        <w:t>aguas pluviales </w:t>
      </w:r>
      <w:r>
        <w:rPr>
          <w:sz w:val="20"/>
        </w:rPr>
        <w:t>por otro, de forma separada e independiente, y posteriormente mediante las oportunas conversiones, dimensionar un </w:t>
      </w:r>
      <w:r>
        <w:rPr>
          <w:i/>
          <w:sz w:val="20"/>
        </w:rPr>
        <w:t>sistema mixto</w:t>
      </w:r>
      <w:r>
        <w:rPr>
          <w:sz w:val="20"/>
        </w:rPr>
        <w:t>.</w:t>
      </w:r>
    </w:p>
    <w:p>
      <w:pPr>
        <w:spacing w:after="0" w:line="240" w:lineRule="auto"/>
        <w:jc w:val="left"/>
        <w:rPr>
          <w:sz w:val="20"/>
        </w:rPr>
        <w:sectPr>
          <w:pgSz w:w="11910" w:h="16840"/>
          <w:pgMar w:header="714" w:footer="642" w:top="1320" w:bottom="840" w:left="1200" w:right="740"/>
        </w:sectPr>
      </w:pPr>
    </w:p>
    <w:p>
      <w:pPr>
        <w:pStyle w:val="ListParagraph"/>
        <w:numPr>
          <w:ilvl w:val="0"/>
          <w:numId w:val="242"/>
        </w:numPr>
        <w:tabs>
          <w:tab w:pos="672" w:val="left" w:leader="none"/>
          <w:tab w:pos="673" w:val="left" w:leader="none"/>
        </w:tabs>
        <w:spacing w:line="240" w:lineRule="auto" w:before="91" w:after="0"/>
        <w:ind w:left="672" w:right="417" w:hanging="454"/>
        <w:jc w:val="left"/>
        <w:rPr>
          <w:sz w:val="20"/>
        </w:rPr>
      </w:pPr>
      <w:r>
        <w:rPr>
          <w:sz w:val="20"/>
        </w:rPr>
        <w:t>Debe utilizarse el método de adjudicación del número de unidades de desagüe (UD) a cada aparato sanitario en función de que el uso sea público o</w:t>
      </w:r>
      <w:r>
        <w:rPr>
          <w:spacing w:val="-7"/>
          <w:sz w:val="20"/>
        </w:rPr>
        <w:t> </w:t>
      </w:r>
      <w:r>
        <w:rPr>
          <w:sz w:val="20"/>
        </w:rPr>
        <w:t>privado.</w:t>
      </w:r>
    </w:p>
    <w:p>
      <w:pPr>
        <w:pStyle w:val="BodyText"/>
        <w:spacing w:before="5"/>
        <w:rPr>
          <w:sz w:val="24"/>
        </w:rPr>
      </w:pPr>
    </w:p>
    <w:p>
      <w:pPr>
        <w:pStyle w:val="ListParagraph"/>
        <w:numPr>
          <w:ilvl w:val="1"/>
          <w:numId w:val="241"/>
        </w:numPr>
        <w:tabs>
          <w:tab w:pos="786" w:val="left" w:leader="none"/>
          <w:tab w:pos="787" w:val="left" w:leader="none"/>
        </w:tabs>
        <w:spacing w:line="240" w:lineRule="auto" w:before="0" w:after="0"/>
        <w:ind w:left="786" w:right="0" w:hanging="569"/>
        <w:jc w:val="left"/>
        <w:rPr>
          <w:b/>
          <w:i/>
          <w:sz w:val="24"/>
        </w:rPr>
      </w:pPr>
      <w:r>
        <w:rPr>
          <w:b/>
          <w:sz w:val="24"/>
        </w:rPr>
        <w:t>Dimensionado de la red de evacuación de </w:t>
      </w:r>
      <w:r>
        <w:rPr>
          <w:b/>
          <w:i/>
          <w:sz w:val="24"/>
        </w:rPr>
        <w:t>aguas</w:t>
      </w:r>
      <w:r>
        <w:rPr>
          <w:b/>
          <w:i/>
          <w:spacing w:val="-1"/>
          <w:sz w:val="24"/>
        </w:rPr>
        <w:t> </w:t>
      </w:r>
      <w:r>
        <w:rPr>
          <w:b/>
          <w:i/>
          <w:sz w:val="24"/>
        </w:rPr>
        <w:t>residuales</w:t>
      </w:r>
    </w:p>
    <w:p>
      <w:pPr>
        <w:pStyle w:val="ListParagraph"/>
        <w:numPr>
          <w:ilvl w:val="2"/>
          <w:numId w:val="241"/>
        </w:numPr>
        <w:tabs>
          <w:tab w:pos="787" w:val="left" w:leader="none"/>
        </w:tabs>
        <w:spacing w:line="240" w:lineRule="auto" w:before="202" w:after="0"/>
        <w:ind w:left="786" w:right="0" w:hanging="569"/>
        <w:jc w:val="left"/>
        <w:rPr>
          <w:b/>
          <w:i/>
          <w:sz w:val="20"/>
        </w:rPr>
      </w:pPr>
      <w:r>
        <w:rPr>
          <w:b/>
          <w:sz w:val="20"/>
        </w:rPr>
        <w:t>Red de pequeña evacuación de </w:t>
      </w:r>
      <w:r>
        <w:rPr>
          <w:b/>
          <w:i/>
          <w:sz w:val="20"/>
        </w:rPr>
        <w:t>aguas</w:t>
      </w:r>
      <w:r>
        <w:rPr>
          <w:b/>
          <w:i/>
          <w:spacing w:val="-3"/>
          <w:sz w:val="20"/>
        </w:rPr>
        <w:t> </w:t>
      </w:r>
      <w:r>
        <w:rPr>
          <w:b/>
          <w:i/>
          <w:sz w:val="20"/>
        </w:rPr>
        <w:t>residuales</w:t>
      </w:r>
    </w:p>
    <w:p>
      <w:pPr>
        <w:pStyle w:val="BodyText"/>
        <w:spacing w:before="2"/>
        <w:rPr>
          <w:b/>
          <w:i/>
          <w:sz w:val="17"/>
        </w:rPr>
      </w:pPr>
    </w:p>
    <w:p>
      <w:pPr>
        <w:pStyle w:val="Heading5"/>
        <w:numPr>
          <w:ilvl w:val="3"/>
          <w:numId w:val="241"/>
        </w:numPr>
        <w:tabs>
          <w:tab w:pos="1352" w:val="left" w:leader="none"/>
          <w:tab w:pos="1353" w:val="left" w:leader="none"/>
        </w:tabs>
        <w:spacing w:line="240" w:lineRule="auto" w:before="0" w:after="0"/>
        <w:ind w:left="1352" w:right="0" w:hanging="1135"/>
        <w:jc w:val="left"/>
      </w:pPr>
      <w:r>
        <w:rPr/>
        <w:t>Derivaciones</w:t>
      </w:r>
      <w:r>
        <w:rPr>
          <w:spacing w:val="-1"/>
        </w:rPr>
        <w:t> </w:t>
      </w:r>
      <w:r>
        <w:rPr/>
        <w:t>individuales</w:t>
      </w:r>
    </w:p>
    <w:p>
      <w:pPr>
        <w:pStyle w:val="ListParagraph"/>
        <w:numPr>
          <w:ilvl w:val="0"/>
          <w:numId w:val="243"/>
        </w:numPr>
        <w:tabs>
          <w:tab w:pos="672" w:val="left" w:leader="none"/>
          <w:tab w:pos="673" w:val="left" w:leader="none"/>
        </w:tabs>
        <w:spacing w:line="240" w:lineRule="auto" w:before="80" w:after="0"/>
        <w:ind w:left="672" w:right="607" w:hanging="454"/>
        <w:jc w:val="left"/>
        <w:rPr>
          <w:sz w:val="20"/>
        </w:rPr>
      </w:pPr>
      <w:r>
        <w:rPr>
          <w:sz w:val="20"/>
        </w:rPr>
        <w:t>La adjudicación de UD a cada tipo de aparato y los diámetros mínimos de los sifones y las deriva- ciones individuales correspondientes se establecen en la tabla 4.1 en función del</w:t>
      </w:r>
      <w:r>
        <w:rPr>
          <w:spacing w:val="-7"/>
          <w:sz w:val="20"/>
        </w:rPr>
        <w:t> </w:t>
      </w:r>
      <w:r>
        <w:rPr>
          <w:sz w:val="20"/>
        </w:rPr>
        <w:t>uso.</w:t>
      </w:r>
    </w:p>
    <w:p>
      <w:pPr>
        <w:pStyle w:val="ListParagraph"/>
        <w:numPr>
          <w:ilvl w:val="0"/>
          <w:numId w:val="243"/>
        </w:numPr>
        <w:tabs>
          <w:tab w:pos="672" w:val="left" w:leader="none"/>
          <w:tab w:pos="673" w:val="left" w:leader="none"/>
        </w:tabs>
        <w:spacing w:line="240" w:lineRule="auto" w:before="60" w:after="0"/>
        <w:ind w:left="672" w:right="498" w:hanging="454"/>
        <w:jc w:val="left"/>
        <w:rPr>
          <w:sz w:val="20"/>
        </w:rPr>
      </w:pPr>
      <w:r>
        <w:rPr>
          <w:sz w:val="20"/>
        </w:rPr>
        <w:t>Para los desagües de tipo continuo o semicontinuo, tales como los de los equipos de climatización, las bandejas de condensación, etc., debe tomarse 1 UD para 0,03 dm</w:t>
      </w:r>
      <w:r>
        <w:rPr>
          <w:sz w:val="20"/>
          <w:vertAlign w:val="superscript"/>
        </w:rPr>
        <w:t>3</w:t>
      </w:r>
      <w:r>
        <w:rPr>
          <w:sz w:val="20"/>
          <w:vertAlign w:val="baseline"/>
        </w:rPr>
        <w:t>/s de caudal</w:t>
      </w:r>
      <w:r>
        <w:rPr>
          <w:spacing w:val="-11"/>
          <w:sz w:val="20"/>
          <w:vertAlign w:val="baseline"/>
        </w:rPr>
        <w:t> </w:t>
      </w:r>
      <w:r>
        <w:rPr>
          <w:sz w:val="20"/>
          <w:vertAlign w:val="baseline"/>
        </w:rPr>
        <w:t>estimado.</w:t>
      </w:r>
    </w:p>
    <w:p>
      <w:pPr>
        <w:spacing w:before="59" w:after="4"/>
        <w:ind w:left="1179" w:right="1355" w:firstLine="0"/>
        <w:jc w:val="center"/>
        <w:rPr>
          <w:b/>
          <w:sz w:val="18"/>
        </w:rPr>
      </w:pPr>
      <w:r>
        <w:rPr>
          <w:b/>
          <w:sz w:val="18"/>
        </w:rPr>
        <w:t>Tabla 4.1 UDs correspondientes a los distintos aparatos sanitarios</w:t>
      </w: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2"/>
        <w:gridCol w:w="2073"/>
        <w:gridCol w:w="1291"/>
        <w:gridCol w:w="1222"/>
        <w:gridCol w:w="1244"/>
        <w:gridCol w:w="1321"/>
      </w:tblGrid>
      <w:tr>
        <w:trPr>
          <w:trHeight w:val="363" w:hRule="atLeast"/>
        </w:trPr>
        <w:tc>
          <w:tcPr>
            <w:tcW w:w="4015" w:type="dxa"/>
            <w:gridSpan w:val="2"/>
            <w:vMerge w:val="restart"/>
            <w:tcBorders>
              <w:top w:val="single" w:sz="4" w:space="0" w:color="000000"/>
              <w:bottom w:val="single" w:sz="4" w:space="0" w:color="000000"/>
              <w:right w:val="single" w:sz="4" w:space="0" w:color="000000"/>
            </w:tcBorders>
          </w:tcPr>
          <w:p>
            <w:pPr>
              <w:pStyle w:val="TableParagraph"/>
              <w:spacing w:before="5"/>
              <w:jc w:val="left"/>
              <w:rPr>
                <w:b/>
                <w:sz w:val="23"/>
              </w:rPr>
            </w:pPr>
          </w:p>
          <w:p>
            <w:pPr>
              <w:pStyle w:val="TableParagraph"/>
              <w:ind w:left="69"/>
              <w:jc w:val="left"/>
              <w:rPr>
                <w:b/>
                <w:sz w:val="16"/>
              </w:rPr>
            </w:pPr>
            <w:r>
              <w:rPr>
                <w:b/>
                <w:sz w:val="16"/>
              </w:rPr>
              <w:t>Tipo de aparato sanitario</w:t>
            </w:r>
          </w:p>
        </w:tc>
        <w:tc>
          <w:tcPr>
            <w:tcW w:w="2513" w:type="dxa"/>
            <w:gridSpan w:val="2"/>
            <w:tcBorders>
              <w:top w:val="single" w:sz="4" w:space="0" w:color="000000"/>
              <w:left w:val="single" w:sz="4" w:space="0" w:color="000000"/>
              <w:right w:val="single" w:sz="4" w:space="0" w:color="000000"/>
            </w:tcBorders>
          </w:tcPr>
          <w:p>
            <w:pPr>
              <w:pStyle w:val="TableParagraph"/>
              <w:spacing w:before="89"/>
              <w:ind w:left="292"/>
              <w:jc w:val="left"/>
              <w:rPr>
                <w:b/>
                <w:sz w:val="16"/>
              </w:rPr>
            </w:pPr>
            <w:r>
              <w:rPr>
                <w:b/>
                <w:sz w:val="16"/>
              </w:rPr>
              <w:t>Unidades de desagüe UD</w:t>
            </w:r>
          </w:p>
        </w:tc>
        <w:tc>
          <w:tcPr>
            <w:tcW w:w="2565" w:type="dxa"/>
            <w:gridSpan w:val="2"/>
            <w:tcBorders>
              <w:top w:val="single" w:sz="4" w:space="0" w:color="000000"/>
              <w:left w:val="single" w:sz="4" w:space="0" w:color="000000"/>
            </w:tcBorders>
          </w:tcPr>
          <w:p>
            <w:pPr>
              <w:pStyle w:val="TableParagraph"/>
              <w:spacing w:line="184" w:lineRule="exact"/>
              <w:ind w:left="408" w:right="136" w:hanging="263"/>
              <w:jc w:val="left"/>
              <w:rPr>
                <w:b/>
                <w:sz w:val="16"/>
              </w:rPr>
            </w:pPr>
            <w:r>
              <w:rPr>
                <w:b/>
                <w:sz w:val="16"/>
              </w:rPr>
              <w:t>Diámetro mínimo sifón y deri- vación individual (mm)</w:t>
            </w:r>
          </w:p>
        </w:tc>
      </w:tr>
      <w:tr>
        <w:trPr>
          <w:trHeight w:val="173" w:hRule="atLeast"/>
        </w:trPr>
        <w:tc>
          <w:tcPr>
            <w:tcW w:w="4015" w:type="dxa"/>
            <w:gridSpan w:val="2"/>
            <w:vMerge/>
            <w:tcBorders>
              <w:top w:val="nil"/>
              <w:bottom w:val="single" w:sz="4" w:space="0" w:color="000000"/>
              <w:right w:val="single" w:sz="4" w:space="0" w:color="000000"/>
            </w:tcBorders>
          </w:tcPr>
          <w:p>
            <w:pPr>
              <w:rPr>
                <w:sz w:val="2"/>
                <w:szCs w:val="2"/>
              </w:rPr>
            </w:pPr>
          </w:p>
        </w:tc>
        <w:tc>
          <w:tcPr>
            <w:tcW w:w="1291" w:type="dxa"/>
            <w:tcBorders>
              <w:left w:val="single" w:sz="4" w:space="0" w:color="000000"/>
              <w:bottom w:val="single" w:sz="4" w:space="0" w:color="000000"/>
            </w:tcBorders>
          </w:tcPr>
          <w:p>
            <w:pPr>
              <w:pStyle w:val="TableParagraph"/>
              <w:spacing w:line="154" w:lineRule="exact"/>
              <w:ind w:left="173" w:right="147"/>
              <w:rPr>
                <w:b/>
                <w:sz w:val="16"/>
              </w:rPr>
            </w:pPr>
            <w:r>
              <w:rPr>
                <w:b/>
                <w:sz w:val="16"/>
              </w:rPr>
              <w:t>Uso privado</w:t>
            </w:r>
          </w:p>
        </w:tc>
        <w:tc>
          <w:tcPr>
            <w:tcW w:w="1222" w:type="dxa"/>
            <w:tcBorders>
              <w:bottom w:val="single" w:sz="4" w:space="0" w:color="000000"/>
              <w:right w:val="single" w:sz="4" w:space="0" w:color="000000"/>
            </w:tcBorders>
          </w:tcPr>
          <w:p>
            <w:pPr>
              <w:pStyle w:val="TableParagraph"/>
              <w:spacing w:line="154" w:lineRule="exact"/>
              <w:ind w:left="145" w:right="115"/>
              <w:rPr>
                <w:b/>
                <w:sz w:val="16"/>
              </w:rPr>
            </w:pPr>
            <w:r>
              <w:rPr>
                <w:b/>
                <w:sz w:val="16"/>
              </w:rPr>
              <w:t>Uso público</w:t>
            </w:r>
          </w:p>
        </w:tc>
        <w:tc>
          <w:tcPr>
            <w:tcW w:w="1244" w:type="dxa"/>
            <w:tcBorders>
              <w:left w:val="single" w:sz="4" w:space="0" w:color="000000"/>
              <w:bottom w:val="single" w:sz="4" w:space="0" w:color="000000"/>
            </w:tcBorders>
          </w:tcPr>
          <w:p>
            <w:pPr>
              <w:pStyle w:val="TableParagraph"/>
              <w:spacing w:line="154" w:lineRule="exact"/>
              <w:ind w:left="113" w:right="161"/>
              <w:rPr>
                <w:b/>
                <w:sz w:val="16"/>
              </w:rPr>
            </w:pPr>
            <w:r>
              <w:rPr>
                <w:b/>
                <w:sz w:val="16"/>
              </w:rPr>
              <w:t>Uso privado</w:t>
            </w:r>
          </w:p>
        </w:tc>
        <w:tc>
          <w:tcPr>
            <w:tcW w:w="1321" w:type="dxa"/>
            <w:tcBorders>
              <w:bottom w:val="single" w:sz="4" w:space="0" w:color="000000"/>
            </w:tcBorders>
          </w:tcPr>
          <w:p>
            <w:pPr>
              <w:pStyle w:val="TableParagraph"/>
              <w:spacing w:line="154" w:lineRule="exact"/>
              <w:ind w:left="160" w:right="204"/>
              <w:rPr>
                <w:b/>
                <w:sz w:val="16"/>
              </w:rPr>
            </w:pPr>
            <w:r>
              <w:rPr>
                <w:b/>
                <w:sz w:val="16"/>
              </w:rPr>
              <w:t>Uso público</w:t>
            </w:r>
          </w:p>
        </w:tc>
      </w:tr>
      <w:tr>
        <w:trPr>
          <w:trHeight w:val="184" w:hRule="atLeast"/>
        </w:trPr>
        <w:tc>
          <w:tcPr>
            <w:tcW w:w="1942" w:type="dxa"/>
            <w:tcBorders>
              <w:top w:val="single" w:sz="4" w:space="0" w:color="000000"/>
            </w:tcBorders>
          </w:tcPr>
          <w:p>
            <w:pPr>
              <w:pStyle w:val="TableParagraph"/>
              <w:spacing w:line="164" w:lineRule="exact"/>
              <w:ind w:left="69"/>
              <w:jc w:val="left"/>
              <w:rPr>
                <w:sz w:val="16"/>
              </w:rPr>
            </w:pPr>
            <w:r>
              <w:rPr>
                <w:sz w:val="16"/>
              </w:rPr>
              <w:t>Lavabo</w:t>
            </w:r>
          </w:p>
        </w:tc>
        <w:tc>
          <w:tcPr>
            <w:tcW w:w="2073" w:type="dxa"/>
            <w:tcBorders>
              <w:top w:val="single" w:sz="4" w:space="0" w:color="000000"/>
              <w:right w:val="single" w:sz="4" w:space="0" w:color="000000"/>
            </w:tcBorders>
          </w:tcPr>
          <w:p>
            <w:pPr>
              <w:pStyle w:val="TableParagraph"/>
              <w:jc w:val="left"/>
              <w:rPr>
                <w:rFonts w:ascii="Times New Roman"/>
                <w:sz w:val="12"/>
              </w:rPr>
            </w:pPr>
          </w:p>
        </w:tc>
        <w:tc>
          <w:tcPr>
            <w:tcW w:w="1291" w:type="dxa"/>
            <w:tcBorders>
              <w:top w:val="single" w:sz="4" w:space="0" w:color="000000"/>
              <w:left w:val="single" w:sz="4" w:space="0" w:color="000000"/>
            </w:tcBorders>
          </w:tcPr>
          <w:p>
            <w:pPr>
              <w:pStyle w:val="TableParagraph"/>
              <w:spacing w:line="164" w:lineRule="exact"/>
              <w:ind w:left="27"/>
              <w:rPr>
                <w:sz w:val="16"/>
              </w:rPr>
            </w:pPr>
            <w:r>
              <w:rPr>
                <w:w w:val="99"/>
                <w:sz w:val="16"/>
              </w:rPr>
              <w:t>1</w:t>
            </w:r>
          </w:p>
        </w:tc>
        <w:tc>
          <w:tcPr>
            <w:tcW w:w="1222" w:type="dxa"/>
            <w:tcBorders>
              <w:top w:val="single" w:sz="4" w:space="0" w:color="000000"/>
              <w:right w:val="single" w:sz="4" w:space="0" w:color="000000"/>
            </w:tcBorders>
          </w:tcPr>
          <w:p>
            <w:pPr>
              <w:pStyle w:val="TableParagraph"/>
              <w:spacing w:line="164" w:lineRule="exact"/>
              <w:ind w:left="30"/>
              <w:rPr>
                <w:sz w:val="16"/>
              </w:rPr>
            </w:pPr>
            <w:r>
              <w:rPr>
                <w:w w:val="99"/>
                <w:sz w:val="16"/>
              </w:rPr>
              <w:t>2</w:t>
            </w:r>
          </w:p>
        </w:tc>
        <w:tc>
          <w:tcPr>
            <w:tcW w:w="1244" w:type="dxa"/>
            <w:tcBorders>
              <w:top w:val="single" w:sz="4" w:space="0" w:color="000000"/>
              <w:left w:val="single" w:sz="4" w:space="0" w:color="000000"/>
            </w:tcBorders>
          </w:tcPr>
          <w:p>
            <w:pPr>
              <w:pStyle w:val="TableParagraph"/>
              <w:spacing w:line="164" w:lineRule="exact"/>
              <w:ind w:left="113" w:right="160"/>
              <w:rPr>
                <w:sz w:val="16"/>
              </w:rPr>
            </w:pPr>
            <w:r>
              <w:rPr>
                <w:sz w:val="16"/>
              </w:rPr>
              <w:t>32</w:t>
            </w:r>
          </w:p>
        </w:tc>
        <w:tc>
          <w:tcPr>
            <w:tcW w:w="1321" w:type="dxa"/>
            <w:tcBorders>
              <w:top w:val="single" w:sz="4" w:space="0" w:color="000000"/>
            </w:tcBorders>
          </w:tcPr>
          <w:p>
            <w:pPr>
              <w:pStyle w:val="TableParagraph"/>
              <w:spacing w:line="164" w:lineRule="exact"/>
              <w:ind w:left="160" w:right="202"/>
              <w:rPr>
                <w:sz w:val="16"/>
              </w:rPr>
            </w:pPr>
            <w:r>
              <w:rPr>
                <w:sz w:val="16"/>
              </w:rPr>
              <w:t>40</w:t>
            </w:r>
          </w:p>
        </w:tc>
      </w:tr>
      <w:tr>
        <w:trPr>
          <w:trHeight w:val="184" w:hRule="atLeast"/>
        </w:trPr>
        <w:tc>
          <w:tcPr>
            <w:tcW w:w="1942" w:type="dxa"/>
          </w:tcPr>
          <w:p>
            <w:pPr>
              <w:pStyle w:val="TableParagraph"/>
              <w:spacing w:line="164" w:lineRule="exact"/>
              <w:ind w:left="69"/>
              <w:jc w:val="left"/>
              <w:rPr>
                <w:sz w:val="16"/>
              </w:rPr>
            </w:pPr>
            <w:r>
              <w:rPr>
                <w:sz w:val="16"/>
              </w:rPr>
              <w:t>Bidé</w:t>
            </w:r>
          </w:p>
        </w:tc>
        <w:tc>
          <w:tcPr>
            <w:tcW w:w="2073" w:type="dxa"/>
            <w:tcBorders>
              <w:right w:val="single" w:sz="4" w:space="0" w:color="000000"/>
            </w:tcBorders>
          </w:tcPr>
          <w:p>
            <w:pPr>
              <w:pStyle w:val="TableParagraph"/>
              <w:jc w:val="left"/>
              <w:rPr>
                <w:rFonts w:ascii="Times New Roman"/>
                <w:sz w:val="12"/>
              </w:rPr>
            </w:pPr>
          </w:p>
        </w:tc>
        <w:tc>
          <w:tcPr>
            <w:tcW w:w="1291" w:type="dxa"/>
            <w:tcBorders>
              <w:left w:val="single" w:sz="4" w:space="0" w:color="000000"/>
            </w:tcBorders>
          </w:tcPr>
          <w:p>
            <w:pPr>
              <w:pStyle w:val="TableParagraph"/>
              <w:spacing w:line="164" w:lineRule="exact"/>
              <w:ind w:left="27"/>
              <w:rPr>
                <w:sz w:val="16"/>
              </w:rPr>
            </w:pPr>
            <w:r>
              <w:rPr>
                <w:w w:val="99"/>
                <w:sz w:val="16"/>
              </w:rPr>
              <w:t>2</w:t>
            </w:r>
          </w:p>
        </w:tc>
        <w:tc>
          <w:tcPr>
            <w:tcW w:w="1222" w:type="dxa"/>
            <w:tcBorders>
              <w:right w:val="single" w:sz="4" w:space="0" w:color="000000"/>
            </w:tcBorders>
          </w:tcPr>
          <w:p>
            <w:pPr>
              <w:pStyle w:val="TableParagraph"/>
              <w:spacing w:line="164" w:lineRule="exact"/>
              <w:ind w:left="30"/>
              <w:rPr>
                <w:sz w:val="16"/>
              </w:rPr>
            </w:pPr>
            <w:r>
              <w:rPr>
                <w:w w:val="99"/>
                <w:sz w:val="16"/>
              </w:rPr>
              <w:t>3</w:t>
            </w:r>
          </w:p>
        </w:tc>
        <w:tc>
          <w:tcPr>
            <w:tcW w:w="1244" w:type="dxa"/>
            <w:tcBorders>
              <w:left w:val="single" w:sz="4" w:space="0" w:color="000000"/>
            </w:tcBorders>
          </w:tcPr>
          <w:p>
            <w:pPr>
              <w:pStyle w:val="TableParagraph"/>
              <w:spacing w:line="164" w:lineRule="exact"/>
              <w:ind w:left="113" w:right="160"/>
              <w:rPr>
                <w:sz w:val="16"/>
              </w:rPr>
            </w:pPr>
            <w:r>
              <w:rPr>
                <w:sz w:val="16"/>
              </w:rPr>
              <w:t>32</w:t>
            </w:r>
          </w:p>
        </w:tc>
        <w:tc>
          <w:tcPr>
            <w:tcW w:w="1321" w:type="dxa"/>
          </w:tcPr>
          <w:p>
            <w:pPr>
              <w:pStyle w:val="TableParagraph"/>
              <w:spacing w:line="164" w:lineRule="exact"/>
              <w:ind w:left="160" w:right="202"/>
              <w:rPr>
                <w:sz w:val="16"/>
              </w:rPr>
            </w:pPr>
            <w:r>
              <w:rPr>
                <w:sz w:val="16"/>
              </w:rPr>
              <w:t>40</w:t>
            </w:r>
          </w:p>
        </w:tc>
      </w:tr>
      <w:tr>
        <w:trPr>
          <w:trHeight w:val="183" w:hRule="atLeast"/>
        </w:trPr>
        <w:tc>
          <w:tcPr>
            <w:tcW w:w="1942" w:type="dxa"/>
          </w:tcPr>
          <w:p>
            <w:pPr>
              <w:pStyle w:val="TableParagraph"/>
              <w:spacing w:line="164" w:lineRule="exact"/>
              <w:ind w:left="69"/>
              <w:jc w:val="left"/>
              <w:rPr>
                <w:sz w:val="16"/>
              </w:rPr>
            </w:pPr>
            <w:r>
              <w:rPr>
                <w:sz w:val="16"/>
              </w:rPr>
              <w:t>Ducha</w:t>
            </w:r>
          </w:p>
        </w:tc>
        <w:tc>
          <w:tcPr>
            <w:tcW w:w="2073" w:type="dxa"/>
            <w:tcBorders>
              <w:right w:val="single" w:sz="4" w:space="0" w:color="000000"/>
            </w:tcBorders>
          </w:tcPr>
          <w:p>
            <w:pPr>
              <w:pStyle w:val="TableParagraph"/>
              <w:jc w:val="left"/>
              <w:rPr>
                <w:rFonts w:ascii="Times New Roman"/>
                <w:sz w:val="12"/>
              </w:rPr>
            </w:pPr>
          </w:p>
        </w:tc>
        <w:tc>
          <w:tcPr>
            <w:tcW w:w="1291" w:type="dxa"/>
            <w:tcBorders>
              <w:left w:val="single" w:sz="4" w:space="0" w:color="000000"/>
            </w:tcBorders>
          </w:tcPr>
          <w:p>
            <w:pPr>
              <w:pStyle w:val="TableParagraph"/>
              <w:spacing w:line="164" w:lineRule="exact"/>
              <w:ind w:left="27"/>
              <w:rPr>
                <w:sz w:val="16"/>
              </w:rPr>
            </w:pPr>
            <w:r>
              <w:rPr>
                <w:w w:val="99"/>
                <w:sz w:val="16"/>
              </w:rPr>
              <w:t>2</w:t>
            </w:r>
          </w:p>
        </w:tc>
        <w:tc>
          <w:tcPr>
            <w:tcW w:w="1222" w:type="dxa"/>
            <w:tcBorders>
              <w:right w:val="single" w:sz="4" w:space="0" w:color="000000"/>
            </w:tcBorders>
          </w:tcPr>
          <w:p>
            <w:pPr>
              <w:pStyle w:val="TableParagraph"/>
              <w:spacing w:line="164" w:lineRule="exact"/>
              <w:ind w:left="30"/>
              <w:rPr>
                <w:sz w:val="16"/>
              </w:rPr>
            </w:pPr>
            <w:r>
              <w:rPr>
                <w:w w:val="99"/>
                <w:sz w:val="16"/>
              </w:rPr>
              <w:t>3</w:t>
            </w:r>
          </w:p>
        </w:tc>
        <w:tc>
          <w:tcPr>
            <w:tcW w:w="1244" w:type="dxa"/>
            <w:tcBorders>
              <w:left w:val="single" w:sz="4" w:space="0" w:color="000000"/>
            </w:tcBorders>
          </w:tcPr>
          <w:p>
            <w:pPr>
              <w:pStyle w:val="TableParagraph"/>
              <w:spacing w:line="164" w:lineRule="exact"/>
              <w:ind w:left="113" w:right="160"/>
              <w:rPr>
                <w:sz w:val="16"/>
              </w:rPr>
            </w:pPr>
            <w:r>
              <w:rPr>
                <w:sz w:val="16"/>
              </w:rPr>
              <w:t>40</w:t>
            </w:r>
          </w:p>
        </w:tc>
        <w:tc>
          <w:tcPr>
            <w:tcW w:w="1321" w:type="dxa"/>
          </w:tcPr>
          <w:p>
            <w:pPr>
              <w:pStyle w:val="TableParagraph"/>
              <w:spacing w:line="164" w:lineRule="exact"/>
              <w:ind w:left="160" w:right="202"/>
              <w:rPr>
                <w:sz w:val="16"/>
              </w:rPr>
            </w:pPr>
            <w:r>
              <w:rPr>
                <w:sz w:val="16"/>
              </w:rPr>
              <w:t>50</w:t>
            </w:r>
          </w:p>
        </w:tc>
      </w:tr>
      <w:tr>
        <w:trPr>
          <w:trHeight w:val="184" w:hRule="atLeast"/>
        </w:trPr>
        <w:tc>
          <w:tcPr>
            <w:tcW w:w="1942" w:type="dxa"/>
            <w:tcBorders>
              <w:bottom w:val="single" w:sz="4" w:space="0" w:color="000000"/>
            </w:tcBorders>
          </w:tcPr>
          <w:p>
            <w:pPr>
              <w:pStyle w:val="TableParagraph"/>
              <w:spacing w:line="164" w:lineRule="exact"/>
              <w:ind w:left="69"/>
              <w:jc w:val="left"/>
              <w:rPr>
                <w:sz w:val="16"/>
              </w:rPr>
            </w:pPr>
            <w:r>
              <w:rPr>
                <w:sz w:val="16"/>
              </w:rPr>
              <w:t>Bañera (con o sin ducha)</w:t>
            </w:r>
          </w:p>
        </w:tc>
        <w:tc>
          <w:tcPr>
            <w:tcW w:w="2073" w:type="dxa"/>
            <w:tcBorders>
              <w:bottom w:val="single" w:sz="4" w:space="0" w:color="000000"/>
              <w:right w:val="single" w:sz="4" w:space="0" w:color="000000"/>
            </w:tcBorders>
          </w:tcPr>
          <w:p>
            <w:pPr>
              <w:pStyle w:val="TableParagraph"/>
              <w:jc w:val="left"/>
              <w:rPr>
                <w:rFonts w:ascii="Times New Roman"/>
                <w:sz w:val="12"/>
              </w:rPr>
            </w:pPr>
          </w:p>
        </w:tc>
        <w:tc>
          <w:tcPr>
            <w:tcW w:w="1291" w:type="dxa"/>
            <w:tcBorders>
              <w:left w:val="single" w:sz="4" w:space="0" w:color="000000"/>
            </w:tcBorders>
          </w:tcPr>
          <w:p>
            <w:pPr>
              <w:pStyle w:val="TableParagraph"/>
              <w:spacing w:line="164" w:lineRule="exact"/>
              <w:ind w:left="27"/>
              <w:rPr>
                <w:sz w:val="16"/>
              </w:rPr>
            </w:pPr>
            <w:r>
              <w:rPr>
                <w:w w:val="99"/>
                <w:sz w:val="16"/>
              </w:rPr>
              <w:t>3</w:t>
            </w:r>
          </w:p>
        </w:tc>
        <w:tc>
          <w:tcPr>
            <w:tcW w:w="1222" w:type="dxa"/>
            <w:tcBorders>
              <w:right w:val="single" w:sz="4" w:space="0" w:color="000000"/>
            </w:tcBorders>
          </w:tcPr>
          <w:p>
            <w:pPr>
              <w:pStyle w:val="TableParagraph"/>
              <w:spacing w:line="164" w:lineRule="exact"/>
              <w:ind w:left="30"/>
              <w:rPr>
                <w:sz w:val="16"/>
              </w:rPr>
            </w:pPr>
            <w:r>
              <w:rPr>
                <w:w w:val="99"/>
                <w:sz w:val="16"/>
              </w:rPr>
              <w:t>4</w:t>
            </w:r>
          </w:p>
        </w:tc>
        <w:tc>
          <w:tcPr>
            <w:tcW w:w="1244" w:type="dxa"/>
            <w:tcBorders>
              <w:left w:val="single" w:sz="4" w:space="0" w:color="000000"/>
            </w:tcBorders>
          </w:tcPr>
          <w:p>
            <w:pPr>
              <w:pStyle w:val="TableParagraph"/>
              <w:spacing w:line="164" w:lineRule="exact"/>
              <w:ind w:left="113" w:right="160"/>
              <w:rPr>
                <w:sz w:val="16"/>
              </w:rPr>
            </w:pPr>
            <w:r>
              <w:rPr>
                <w:sz w:val="16"/>
              </w:rPr>
              <w:t>40</w:t>
            </w:r>
          </w:p>
        </w:tc>
        <w:tc>
          <w:tcPr>
            <w:tcW w:w="1321" w:type="dxa"/>
          </w:tcPr>
          <w:p>
            <w:pPr>
              <w:pStyle w:val="TableParagraph"/>
              <w:spacing w:line="164" w:lineRule="exact"/>
              <w:ind w:left="160" w:right="202"/>
              <w:rPr>
                <w:sz w:val="16"/>
              </w:rPr>
            </w:pPr>
            <w:r>
              <w:rPr>
                <w:sz w:val="16"/>
              </w:rPr>
              <w:t>50</w:t>
            </w:r>
          </w:p>
        </w:tc>
      </w:tr>
      <w:tr>
        <w:trPr>
          <w:trHeight w:val="178" w:hRule="atLeast"/>
        </w:trPr>
        <w:tc>
          <w:tcPr>
            <w:tcW w:w="1942" w:type="dxa"/>
            <w:vMerge w:val="restart"/>
            <w:tcBorders>
              <w:top w:val="single" w:sz="4" w:space="0" w:color="000000"/>
              <w:bottom w:val="single" w:sz="4" w:space="0" w:color="000000"/>
            </w:tcBorders>
          </w:tcPr>
          <w:p>
            <w:pPr>
              <w:pStyle w:val="TableParagraph"/>
              <w:spacing w:before="89"/>
              <w:ind w:left="69"/>
              <w:jc w:val="left"/>
              <w:rPr>
                <w:sz w:val="16"/>
              </w:rPr>
            </w:pPr>
            <w:r>
              <w:rPr>
                <w:sz w:val="16"/>
              </w:rPr>
              <w:t>Inodoro</w:t>
            </w:r>
          </w:p>
        </w:tc>
        <w:tc>
          <w:tcPr>
            <w:tcW w:w="2073" w:type="dxa"/>
            <w:tcBorders>
              <w:top w:val="single" w:sz="4" w:space="0" w:color="000000"/>
              <w:right w:val="single" w:sz="4" w:space="0" w:color="000000"/>
            </w:tcBorders>
          </w:tcPr>
          <w:p>
            <w:pPr>
              <w:pStyle w:val="TableParagraph"/>
              <w:spacing w:line="159" w:lineRule="exact"/>
              <w:ind w:left="13"/>
              <w:jc w:val="left"/>
              <w:rPr>
                <w:sz w:val="16"/>
              </w:rPr>
            </w:pPr>
            <w:r>
              <w:rPr>
                <w:sz w:val="16"/>
              </w:rPr>
              <w:t>Con cisterna</w:t>
            </w:r>
          </w:p>
        </w:tc>
        <w:tc>
          <w:tcPr>
            <w:tcW w:w="1291" w:type="dxa"/>
            <w:tcBorders>
              <w:left w:val="single" w:sz="4" w:space="0" w:color="000000"/>
            </w:tcBorders>
          </w:tcPr>
          <w:p>
            <w:pPr>
              <w:pStyle w:val="TableParagraph"/>
              <w:spacing w:line="159" w:lineRule="exact"/>
              <w:ind w:left="27"/>
              <w:rPr>
                <w:sz w:val="16"/>
              </w:rPr>
            </w:pPr>
            <w:r>
              <w:rPr>
                <w:w w:val="99"/>
                <w:sz w:val="16"/>
              </w:rPr>
              <w:t>4</w:t>
            </w:r>
          </w:p>
        </w:tc>
        <w:tc>
          <w:tcPr>
            <w:tcW w:w="1222" w:type="dxa"/>
            <w:tcBorders>
              <w:right w:val="single" w:sz="4" w:space="0" w:color="000000"/>
            </w:tcBorders>
          </w:tcPr>
          <w:p>
            <w:pPr>
              <w:pStyle w:val="TableParagraph"/>
              <w:spacing w:line="159" w:lineRule="exact"/>
              <w:ind w:left="30"/>
              <w:rPr>
                <w:sz w:val="16"/>
              </w:rPr>
            </w:pPr>
            <w:r>
              <w:rPr>
                <w:w w:val="99"/>
                <w:sz w:val="16"/>
              </w:rPr>
              <w:t>5</w:t>
            </w:r>
          </w:p>
        </w:tc>
        <w:tc>
          <w:tcPr>
            <w:tcW w:w="1244" w:type="dxa"/>
            <w:tcBorders>
              <w:left w:val="single" w:sz="4" w:space="0" w:color="000000"/>
            </w:tcBorders>
          </w:tcPr>
          <w:p>
            <w:pPr>
              <w:pStyle w:val="TableParagraph"/>
              <w:spacing w:line="159" w:lineRule="exact"/>
              <w:ind w:left="113" w:right="160"/>
              <w:rPr>
                <w:sz w:val="16"/>
              </w:rPr>
            </w:pPr>
            <w:r>
              <w:rPr>
                <w:sz w:val="16"/>
              </w:rPr>
              <w:t>100</w:t>
            </w:r>
          </w:p>
        </w:tc>
        <w:tc>
          <w:tcPr>
            <w:tcW w:w="1321" w:type="dxa"/>
          </w:tcPr>
          <w:p>
            <w:pPr>
              <w:pStyle w:val="TableParagraph"/>
              <w:spacing w:line="159" w:lineRule="exact"/>
              <w:ind w:left="160" w:right="202"/>
              <w:rPr>
                <w:sz w:val="16"/>
              </w:rPr>
            </w:pPr>
            <w:r>
              <w:rPr>
                <w:sz w:val="16"/>
              </w:rPr>
              <w:t>100</w:t>
            </w:r>
          </w:p>
        </w:tc>
      </w:tr>
      <w:tr>
        <w:trPr>
          <w:trHeight w:val="179" w:hRule="atLeast"/>
        </w:trPr>
        <w:tc>
          <w:tcPr>
            <w:tcW w:w="1942" w:type="dxa"/>
            <w:vMerge/>
            <w:tcBorders>
              <w:top w:val="nil"/>
              <w:bottom w:val="single" w:sz="4" w:space="0" w:color="000000"/>
            </w:tcBorders>
          </w:tcPr>
          <w:p>
            <w:pPr>
              <w:rPr>
                <w:sz w:val="2"/>
                <w:szCs w:val="2"/>
              </w:rPr>
            </w:pPr>
          </w:p>
        </w:tc>
        <w:tc>
          <w:tcPr>
            <w:tcW w:w="2073" w:type="dxa"/>
            <w:tcBorders>
              <w:bottom w:val="single" w:sz="4" w:space="0" w:color="000000"/>
              <w:right w:val="single" w:sz="4" w:space="0" w:color="000000"/>
            </w:tcBorders>
          </w:tcPr>
          <w:p>
            <w:pPr>
              <w:pStyle w:val="TableParagraph"/>
              <w:spacing w:line="159" w:lineRule="exact"/>
              <w:ind w:left="13"/>
              <w:jc w:val="left"/>
              <w:rPr>
                <w:sz w:val="16"/>
              </w:rPr>
            </w:pPr>
            <w:r>
              <w:rPr>
                <w:sz w:val="16"/>
              </w:rPr>
              <w:t>Con fluxómetro</w:t>
            </w:r>
          </w:p>
        </w:tc>
        <w:tc>
          <w:tcPr>
            <w:tcW w:w="1291" w:type="dxa"/>
            <w:tcBorders>
              <w:left w:val="single" w:sz="4" w:space="0" w:color="000000"/>
            </w:tcBorders>
          </w:tcPr>
          <w:p>
            <w:pPr>
              <w:pStyle w:val="TableParagraph"/>
              <w:spacing w:line="159" w:lineRule="exact"/>
              <w:ind w:left="27"/>
              <w:rPr>
                <w:sz w:val="16"/>
              </w:rPr>
            </w:pPr>
            <w:r>
              <w:rPr>
                <w:w w:val="99"/>
                <w:sz w:val="16"/>
              </w:rPr>
              <w:t>8</w:t>
            </w:r>
          </w:p>
        </w:tc>
        <w:tc>
          <w:tcPr>
            <w:tcW w:w="1222" w:type="dxa"/>
            <w:tcBorders>
              <w:right w:val="single" w:sz="4" w:space="0" w:color="000000"/>
            </w:tcBorders>
          </w:tcPr>
          <w:p>
            <w:pPr>
              <w:pStyle w:val="TableParagraph"/>
              <w:spacing w:line="159" w:lineRule="exact"/>
              <w:ind w:left="145" w:right="115"/>
              <w:rPr>
                <w:sz w:val="16"/>
              </w:rPr>
            </w:pPr>
            <w:r>
              <w:rPr>
                <w:sz w:val="16"/>
              </w:rPr>
              <w:t>10</w:t>
            </w:r>
          </w:p>
        </w:tc>
        <w:tc>
          <w:tcPr>
            <w:tcW w:w="1244" w:type="dxa"/>
            <w:tcBorders>
              <w:left w:val="single" w:sz="4" w:space="0" w:color="000000"/>
            </w:tcBorders>
          </w:tcPr>
          <w:p>
            <w:pPr>
              <w:pStyle w:val="TableParagraph"/>
              <w:spacing w:line="159" w:lineRule="exact"/>
              <w:ind w:left="113" w:right="160"/>
              <w:rPr>
                <w:sz w:val="16"/>
              </w:rPr>
            </w:pPr>
            <w:r>
              <w:rPr>
                <w:sz w:val="16"/>
              </w:rPr>
              <w:t>100</w:t>
            </w:r>
          </w:p>
        </w:tc>
        <w:tc>
          <w:tcPr>
            <w:tcW w:w="1321" w:type="dxa"/>
          </w:tcPr>
          <w:p>
            <w:pPr>
              <w:pStyle w:val="TableParagraph"/>
              <w:spacing w:line="159" w:lineRule="exact"/>
              <w:ind w:left="160" w:right="202"/>
              <w:rPr>
                <w:sz w:val="16"/>
              </w:rPr>
            </w:pPr>
            <w:r>
              <w:rPr>
                <w:sz w:val="16"/>
              </w:rPr>
              <w:t>100</w:t>
            </w:r>
          </w:p>
        </w:tc>
      </w:tr>
      <w:tr>
        <w:trPr>
          <w:trHeight w:val="183" w:hRule="atLeast"/>
        </w:trPr>
        <w:tc>
          <w:tcPr>
            <w:tcW w:w="1942" w:type="dxa"/>
            <w:tcBorders>
              <w:top w:val="single" w:sz="4" w:space="0" w:color="000000"/>
            </w:tcBorders>
          </w:tcPr>
          <w:p>
            <w:pPr>
              <w:pStyle w:val="TableParagraph"/>
              <w:jc w:val="left"/>
              <w:rPr>
                <w:rFonts w:ascii="Times New Roman"/>
                <w:sz w:val="12"/>
              </w:rPr>
            </w:pPr>
          </w:p>
        </w:tc>
        <w:tc>
          <w:tcPr>
            <w:tcW w:w="2073" w:type="dxa"/>
            <w:tcBorders>
              <w:top w:val="single" w:sz="4" w:space="0" w:color="000000"/>
              <w:right w:val="single" w:sz="4" w:space="0" w:color="000000"/>
            </w:tcBorders>
          </w:tcPr>
          <w:p>
            <w:pPr>
              <w:pStyle w:val="TableParagraph"/>
              <w:spacing w:line="164" w:lineRule="exact"/>
              <w:ind w:left="13"/>
              <w:jc w:val="left"/>
              <w:rPr>
                <w:sz w:val="16"/>
              </w:rPr>
            </w:pPr>
            <w:r>
              <w:rPr>
                <w:sz w:val="16"/>
              </w:rPr>
              <w:t>Pedestal</w:t>
            </w:r>
          </w:p>
        </w:tc>
        <w:tc>
          <w:tcPr>
            <w:tcW w:w="1291" w:type="dxa"/>
            <w:tcBorders>
              <w:left w:val="single" w:sz="4" w:space="0" w:color="000000"/>
            </w:tcBorders>
          </w:tcPr>
          <w:p>
            <w:pPr>
              <w:pStyle w:val="TableParagraph"/>
              <w:spacing w:line="164" w:lineRule="exact"/>
              <w:ind w:left="27"/>
              <w:rPr>
                <w:sz w:val="16"/>
              </w:rPr>
            </w:pPr>
            <w:r>
              <w:rPr>
                <w:w w:val="99"/>
                <w:sz w:val="16"/>
              </w:rPr>
              <w:t>-</w:t>
            </w:r>
          </w:p>
        </w:tc>
        <w:tc>
          <w:tcPr>
            <w:tcW w:w="1222" w:type="dxa"/>
            <w:tcBorders>
              <w:right w:val="single" w:sz="4" w:space="0" w:color="000000"/>
            </w:tcBorders>
          </w:tcPr>
          <w:p>
            <w:pPr>
              <w:pStyle w:val="TableParagraph"/>
              <w:spacing w:line="164" w:lineRule="exact"/>
              <w:ind w:left="30"/>
              <w:rPr>
                <w:sz w:val="16"/>
              </w:rPr>
            </w:pPr>
            <w:r>
              <w:rPr>
                <w:w w:val="99"/>
                <w:sz w:val="16"/>
              </w:rPr>
              <w:t>4</w:t>
            </w:r>
          </w:p>
        </w:tc>
        <w:tc>
          <w:tcPr>
            <w:tcW w:w="1244" w:type="dxa"/>
            <w:tcBorders>
              <w:left w:val="single" w:sz="4" w:space="0" w:color="000000"/>
            </w:tcBorders>
          </w:tcPr>
          <w:p>
            <w:pPr>
              <w:pStyle w:val="TableParagraph"/>
              <w:spacing w:line="164" w:lineRule="exact"/>
              <w:ind w:right="47"/>
              <w:rPr>
                <w:sz w:val="16"/>
              </w:rPr>
            </w:pPr>
            <w:r>
              <w:rPr>
                <w:w w:val="99"/>
                <w:sz w:val="16"/>
              </w:rPr>
              <w:t>-</w:t>
            </w:r>
          </w:p>
        </w:tc>
        <w:tc>
          <w:tcPr>
            <w:tcW w:w="1321" w:type="dxa"/>
          </w:tcPr>
          <w:p>
            <w:pPr>
              <w:pStyle w:val="TableParagraph"/>
              <w:spacing w:line="164" w:lineRule="exact"/>
              <w:ind w:left="160" w:right="202"/>
              <w:rPr>
                <w:sz w:val="16"/>
              </w:rPr>
            </w:pPr>
            <w:r>
              <w:rPr>
                <w:sz w:val="16"/>
              </w:rPr>
              <w:t>50</w:t>
            </w:r>
          </w:p>
        </w:tc>
      </w:tr>
      <w:tr>
        <w:trPr>
          <w:trHeight w:val="184" w:hRule="atLeast"/>
        </w:trPr>
        <w:tc>
          <w:tcPr>
            <w:tcW w:w="1942" w:type="dxa"/>
          </w:tcPr>
          <w:p>
            <w:pPr>
              <w:pStyle w:val="TableParagraph"/>
              <w:spacing w:line="164" w:lineRule="exact"/>
              <w:ind w:left="69"/>
              <w:jc w:val="left"/>
              <w:rPr>
                <w:sz w:val="16"/>
              </w:rPr>
            </w:pPr>
            <w:r>
              <w:rPr>
                <w:sz w:val="16"/>
              </w:rPr>
              <w:t>Urinario</w:t>
            </w:r>
          </w:p>
        </w:tc>
        <w:tc>
          <w:tcPr>
            <w:tcW w:w="2073" w:type="dxa"/>
            <w:tcBorders>
              <w:right w:val="single" w:sz="4" w:space="0" w:color="000000"/>
            </w:tcBorders>
          </w:tcPr>
          <w:p>
            <w:pPr>
              <w:pStyle w:val="TableParagraph"/>
              <w:spacing w:line="164" w:lineRule="exact"/>
              <w:ind w:left="13"/>
              <w:jc w:val="left"/>
              <w:rPr>
                <w:sz w:val="16"/>
              </w:rPr>
            </w:pPr>
            <w:r>
              <w:rPr>
                <w:sz w:val="16"/>
              </w:rPr>
              <w:t>Suspendido</w:t>
            </w:r>
          </w:p>
        </w:tc>
        <w:tc>
          <w:tcPr>
            <w:tcW w:w="1291" w:type="dxa"/>
            <w:tcBorders>
              <w:left w:val="single" w:sz="4" w:space="0" w:color="000000"/>
            </w:tcBorders>
          </w:tcPr>
          <w:p>
            <w:pPr>
              <w:pStyle w:val="TableParagraph"/>
              <w:spacing w:line="164" w:lineRule="exact"/>
              <w:ind w:left="27"/>
              <w:rPr>
                <w:sz w:val="16"/>
              </w:rPr>
            </w:pPr>
            <w:r>
              <w:rPr>
                <w:w w:val="99"/>
                <w:sz w:val="16"/>
              </w:rPr>
              <w:t>-</w:t>
            </w:r>
          </w:p>
        </w:tc>
        <w:tc>
          <w:tcPr>
            <w:tcW w:w="1222" w:type="dxa"/>
            <w:tcBorders>
              <w:right w:val="single" w:sz="4" w:space="0" w:color="000000"/>
            </w:tcBorders>
          </w:tcPr>
          <w:p>
            <w:pPr>
              <w:pStyle w:val="TableParagraph"/>
              <w:spacing w:line="164" w:lineRule="exact"/>
              <w:ind w:left="30"/>
              <w:rPr>
                <w:sz w:val="16"/>
              </w:rPr>
            </w:pPr>
            <w:r>
              <w:rPr>
                <w:w w:val="99"/>
                <w:sz w:val="16"/>
              </w:rPr>
              <w:t>2</w:t>
            </w:r>
          </w:p>
        </w:tc>
        <w:tc>
          <w:tcPr>
            <w:tcW w:w="1244" w:type="dxa"/>
            <w:tcBorders>
              <w:left w:val="single" w:sz="4" w:space="0" w:color="000000"/>
            </w:tcBorders>
          </w:tcPr>
          <w:p>
            <w:pPr>
              <w:pStyle w:val="TableParagraph"/>
              <w:spacing w:line="164" w:lineRule="exact"/>
              <w:ind w:right="47"/>
              <w:rPr>
                <w:sz w:val="16"/>
              </w:rPr>
            </w:pPr>
            <w:r>
              <w:rPr>
                <w:w w:val="99"/>
                <w:sz w:val="16"/>
              </w:rPr>
              <w:t>-</w:t>
            </w:r>
          </w:p>
        </w:tc>
        <w:tc>
          <w:tcPr>
            <w:tcW w:w="1321" w:type="dxa"/>
          </w:tcPr>
          <w:p>
            <w:pPr>
              <w:pStyle w:val="TableParagraph"/>
              <w:spacing w:line="164" w:lineRule="exact"/>
              <w:ind w:left="160" w:right="202"/>
              <w:rPr>
                <w:sz w:val="16"/>
              </w:rPr>
            </w:pPr>
            <w:r>
              <w:rPr>
                <w:sz w:val="16"/>
              </w:rPr>
              <w:t>40</w:t>
            </w:r>
          </w:p>
        </w:tc>
      </w:tr>
      <w:tr>
        <w:trPr>
          <w:trHeight w:val="183" w:hRule="atLeast"/>
        </w:trPr>
        <w:tc>
          <w:tcPr>
            <w:tcW w:w="1942" w:type="dxa"/>
            <w:tcBorders>
              <w:bottom w:val="single" w:sz="4" w:space="0" w:color="000000"/>
            </w:tcBorders>
          </w:tcPr>
          <w:p>
            <w:pPr>
              <w:pStyle w:val="TableParagraph"/>
              <w:jc w:val="left"/>
              <w:rPr>
                <w:rFonts w:ascii="Times New Roman"/>
                <w:sz w:val="12"/>
              </w:rPr>
            </w:pPr>
          </w:p>
        </w:tc>
        <w:tc>
          <w:tcPr>
            <w:tcW w:w="2073" w:type="dxa"/>
            <w:tcBorders>
              <w:bottom w:val="single" w:sz="4" w:space="0" w:color="000000"/>
              <w:right w:val="single" w:sz="4" w:space="0" w:color="000000"/>
            </w:tcBorders>
          </w:tcPr>
          <w:p>
            <w:pPr>
              <w:pStyle w:val="TableParagraph"/>
              <w:spacing w:line="164" w:lineRule="exact"/>
              <w:ind w:left="13"/>
              <w:jc w:val="left"/>
              <w:rPr>
                <w:sz w:val="16"/>
              </w:rPr>
            </w:pPr>
            <w:r>
              <w:rPr>
                <w:sz w:val="16"/>
              </w:rPr>
              <w:t>En batería</w:t>
            </w:r>
          </w:p>
        </w:tc>
        <w:tc>
          <w:tcPr>
            <w:tcW w:w="1291" w:type="dxa"/>
            <w:tcBorders>
              <w:left w:val="single" w:sz="4" w:space="0" w:color="000000"/>
            </w:tcBorders>
          </w:tcPr>
          <w:p>
            <w:pPr>
              <w:pStyle w:val="TableParagraph"/>
              <w:spacing w:line="164" w:lineRule="exact"/>
              <w:ind w:left="27"/>
              <w:rPr>
                <w:sz w:val="16"/>
              </w:rPr>
            </w:pPr>
            <w:r>
              <w:rPr>
                <w:w w:val="99"/>
                <w:sz w:val="16"/>
              </w:rPr>
              <w:t>-</w:t>
            </w:r>
          </w:p>
        </w:tc>
        <w:tc>
          <w:tcPr>
            <w:tcW w:w="1222" w:type="dxa"/>
            <w:tcBorders>
              <w:right w:val="single" w:sz="4" w:space="0" w:color="000000"/>
            </w:tcBorders>
          </w:tcPr>
          <w:p>
            <w:pPr>
              <w:pStyle w:val="TableParagraph"/>
              <w:spacing w:line="164" w:lineRule="exact"/>
              <w:ind w:left="145" w:right="114"/>
              <w:rPr>
                <w:sz w:val="16"/>
              </w:rPr>
            </w:pPr>
            <w:r>
              <w:rPr>
                <w:sz w:val="16"/>
              </w:rPr>
              <w:t>3.5</w:t>
            </w:r>
          </w:p>
        </w:tc>
        <w:tc>
          <w:tcPr>
            <w:tcW w:w="1244" w:type="dxa"/>
            <w:tcBorders>
              <w:left w:val="single" w:sz="4" w:space="0" w:color="000000"/>
            </w:tcBorders>
          </w:tcPr>
          <w:p>
            <w:pPr>
              <w:pStyle w:val="TableParagraph"/>
              <w:spacing w:line="164" w:lineRule="exact"/>
              <w:ind w:right="47"/>
              <w:rPr>
                <w:sz w:val="16"/>
              </w:rPr>
            </w:pPr>
            <w:r>
              <w:rPr>
                <w:w w:val="99"/>
                <w:sz w:val="16"/>
              </w:rPr>
              <w:t>-</w:t>
            </w:r>
          </w:p>
        </w:tc>
        <w:tc>
          <w:tcPr>
            <w:tcW w:w="1321" w:type="dxa"/>
          </w:tcPr>
          <w:p>
            <w:pPr>
              <w:pStyle w:val="TableParagraph"/>
              <w:spacing w:line="164" w:lineRule="exact"/>
              <w:ind w:right="41"/>
              <w:rPr>
                <w:sz w:val="16"/>
              </w:rPr>
            </w:pPr>
            <w:r>
              <w:rPr>
                <w:w w:val="99"/>
                <w:sz w:val="16"/>
              </w:rPr>
              <w:t>-</w:t>
            </w:r>
          </w:p>
        </w:tc>
      </w:tr>
      <w:tr>
        <w:trPr>
          <w:trHeight w:val="183" w:hRule="atLeast"/>
        </w:trPr>
        <w:tc>
          <w:tcPr>
            <w:tcW w:w="1942" w:type="dxa"/>
            <w:tcBorders>
              <w:top w:val="single" w:sz="4" w:space="0" w:color="000000"/>
            </w:tcBorders>
          </w:tcPr>
          <w:p>
            <w:pPr>
              <w:pStyle w:val="TableParagraph"/>
              <w:jc w:val="left"/>
              <w:rPr>
                <w:rFonts w:ascii="Times New Roman"/>
                <w:sz w:val="12"/>
              </w:rPr>
            </w:pPr>
          </w:p>
        </w:tc>
        <w:tc>
          <w:tcPr>
            <w:tcW w:w="2073" w:type="dxa"/>
            <w:tcBorders>
              <w:top w:val="single" w:sz="4" w:space="0" w:color="000000"/>
              <w:right w:val="single" w:sz="4" w:space="0" w:color="000000"/>
            </w:tcBorders>
          </w:tcPr>
          <w:p>
            <w:pPr>
              <w:pStyle w:val="TableParagraph"/>
              <w:spacing w:line="164" w:lineRule="exact"/>
              <w:ind w:left="13"/>
              <w:jc w:val="left"/>
              <w:rPr>
                <w:sz w:val="16"/>
              </w:rPr>
            </w:pPr>
            <w:r>
              <w:rPr>
                <w:sz w:val="16"/>
              </w:rPr>
              <w:t>De cocina</w:t>
            </w:r>
          </w:p>
        </w:tc>
        <w:tc>
          <w:tcPr>
            <w:tcW w:w="1291" w:type="dxa"/>
            <w:tcBorders>
              <w:left w:val="single" w:sz="4" w:space="0" w:color="000000"/>
            </w:tcBorders>
          </w:tcPr>
          <w:p>
            <w:pPr>
              <w:pStyle w:val="TableParagraph"/>
              <w:spacing w:line="164" w:lineRule="exact"/>
              <w:ind w:left="27"/>
              <w:rPr>
                <w:sz w:val="16"/>
              </w:rPr>
            </w:pPr>
            <w:r>
              <w:rPr>
                <w:w w:val="99"/>
                <w:sz w:val="16"/>
              </w:rPr>
              <w:t>3</w:t>
            </w:r>
          </w:p>
        </w:tc>
        <w:tc>
          <w:tcPr>
            <w:tcW w:w="1222" w:type="dxa"/>
            <w:tcBorders>
              <w:right w:val="single" w:sz="4" w:space="0" w:color="000000"/>
            </w:tcBorders>
          </w:tcPr>
          <w:p>
            <w:pPr>
              <w:pStyle w:val="TableParagraph"/>
              <w:spacing w:line="164" w:lineRule="exact"/>
              <w:ind w:left="30"/>
              <w:rPr>
                <w:sz w:val="16"/>
              </w:rPr>
            </w:pPr>
            <w:r>
              <w:rPr>
                <w:w w:val="99"/>
                <w:sz w:val="16"/>
              </w:rPr>
              <w:t>6</w:t>
            </w:r>
          </w:p>
        </w:tc>
        <w:tc>
          <w:tcPr>
            <w:tcW w:w="1244" w:type="dxa"/>
            <w:tcBorders>
              <w:left w:val="single" w:sz="4" w:space="0" w:color="000000"/>
            </w:tcBorders>
          </w:tcPr>
          <w:p>
            <w:pPr>
              <w:pStyle w:val="TableParagraph"/>
              <w:spacing w:line="164" w:lineRule="exact"/>
              <w:ind w:left="113" w:right="160"/>
              <w:rPr>
                <w:sz w:val="16"/>
              </w:rPr>
            </w:pPr>
            <w:r>
              <w:rPr>
                <w:sz w:val="16"/>
              </w:rPr>
              <w:t>40</w:t>
            </w:r>
          </w:p>
        </w:tc>
        <w:tc>
          <w:tcPr>
            <w:tcW w:w="1321" w:type="dxa"/>
          </w:tcPr>
          <w:p>
            <w:pPr>
              <w:pStyle w:val="TableParagraph"/>
              <w:spacing w:line="164" w:lineRule="exact"/>
              <w:ind w:left="160" w:right="202"/>
              <w:rPr>
                <w:sz w:val="16"/>
              </w:rPr>
            </w:pPr>
            <w:r>
              <w:rPr>
                <w:sz w:val="16"/>
              </w:rPr>
              <w:t>50</w:t>
            </w:r>
          </w:p>
        </w:tc>
      </w:tr>
      <w:tr>
        <w:trPr>
          <w:trHeight w:val="367" w:hRule="atLeast"/>
        </w:trPr>
        <w:tc>
          <w:tcPr>
            <w:tcW w:w="1942" w:type="dxa"/>
            <w:tcBorders>
              <w:bottom w:val="single" w:sz="4" w:space="0" w:color="000000"/>
            </w:tcBorders>
          </w:tcPr>
          <w:p>
            <w:pPr>
              <w:pStyle w:val="TableParagraph"/>
              <w:spacing w:line="181" w:lineRule="exact"/>
              <w:ind w:left="69"/>
              <w:jc w:val="left"/>
              <w:rPr>
                <w:sz w:val="16"/>
              </w:rPr>
            </w:pPr>
            <w:r>
              <w:rPr>
                <w:sz w:val="16"/>
              </w:rPr>
              <w:t>Fregadero</w:t>
            </w:r>
          </w:p>
        </w:tc>
        <w:tc>
          <w:tcPr>
            <w:tcW w:w="2073" w:type="dxa"/>
            <w:tcBorders>
              <w:bottom w:val="single" w:sz="4" w:space="0" w:color="000000"/>
              <w:right w:val="single" w:sz="4" w:space="0" w:color="000000"/>
            </w:tcBorders>
          </w:tcPr>
          <w:p>
            <w:pPr>
              <w:pStyle w:val="TableParagraph"/>
              <w:spacing w:line="181" w:lineRule="exact"/>
              <w:ind w:left="13"/>
              <w:jc w:val="left"/>
              <w:rPr>
                <w:sz w:val="16"/>
              </w:rPr>
            </w:pPr>
            <w:r>
              <w:rPr>
                <w:sz w:val="16"/>
              </w:rPr>
              <w:t>De laboratorio, restaurante,</w:t>
            </w:r>
          </w:p>
          <w:p>
            <w:pPr>
              <w:pStyle w:val="TableParagraph"/>
              <w:spacing w:line="166" w:lineRule="exact" w:before="1"/>
              <w:ind w:left="13"/>
              <w:jc w:val="left"/>
              <w:rPr>
                <w:sz w:val="16"/>
              </w:rPr>
            </w:pPr>
            <w:r>
              <w:rPr>
                <w:sz w:val="16"/>
              </w:rPr>
              <w:t>etc.</w:t>
            </w:r>
          </w:p>
        </w:tc>
        <w:tc>
          <w:tcPr>
            <w:tcW w:w="1291" w:type="dxa"/>
            <w:tcBorders>
              <w:left w:val="single" w:sz="4" w:space="0" w:color="000000"/>
            </w:tcBorders>
          </w:tcPr>
          <w:p>
            <w:pPr>
              <w:pStyle w:val="TableParagraph"/>
              <w:spacing w:before="89"/>
              <w:ind w:left="27"/>
              <w:rPr>
                <w:sz w:val="16"/>
              </w:rPr>
            </w:pPr>
            <w:r>
              <w:rPr>
                <w:w w:val="99"/>
                <w:sz w:val="16"/>
              </w:rPr>
              <w:t>-</w:t>
            </w:r>
          </w:p>
        </w:tc>
        <w:tc>
          <w:tcPr>
            <w:tcW w:w="1222" w:type="dxa"/>
            <w:tcBorders>
              <w:right w:val="single" w:sz="4" w:space="0" w:color="000000"/>
            </w:tcBorders>
          </w:tcPr>
          <w:p>
            <w:pPr>
              <w:pStyle w:val="TableParagraph"/>
              <w:spacing w:before="89"/>
              <w:ind w:left="30"/>
              <w:rPr>
                <w:sz w:val="16"/>
              </w:rPr>
            </w:pPr>
            <w:r>
              <w:rPr>
                <w:w w:val="99"/>
                <w:sz w:val="16"/>
              </w:rPr>
              <w:t>2</w:t>
            </w:r>
          </w:p>
        </w:tc>
        <w:tc>
          <w:tcPr>
            <w:tcW w:w="1244" w:type="dxa"/>
            <w:tcBorders>
              <w:left w:val="single" w:sz="4" w:space="0" w:color="000000"/>
            </w:tcBorders>
          </w:tcPr>
          <w:p>
            <w:pPr>
              <w:pStyle w:val="TableParagraph"/>
              <w:spacing w:before="89"/>
              <w:ind w:right="47"/>
              <w:rPr>
                <w:sz w:val="16"/>
              </w:rPr>
            </w:pPr>
            <w:r>
              <w:rPr>
                <w:w w:val="99"/>
                <w:sz w:val="16"/>
              </w:rPr>
              <w:t>-</w:t>
            </w:r>
          </w:p>
        </w:tc>
        <w:tc>
          <w:tcPr>
            <w:tcW w:w="1321" w:type="dxa"/>
          </w:tcPr>
          <w:p>
            <w:pPr>
              <w:pStyle w:val="TableParagraph"/>
              <w:spacing w:before="89"/>
              <w:ind w:left="160" w:right="202"/>
              <w:rPr>
                <w:sz w:val="16"/>
              </w:rPr>
            </w:pPr>
            <w:r>
              <w:rPr>
                <w:sz w:val="16"/>
              </w:rPr>
              <w:t>40</w:t>
            </w:r>
          </w:p>
        </w:tc>
      </w:tr>
      <w:tr>
        <w:trPr>
          <w:trHeight w:val="184" w:hRule="atLeast"/>
        </w:trPr>
        <w:tc>
          <w:tcPr>
            <w:tcW w:w="1942" w:type="dxa"/>
            <w:tcBorders>
              <w:top w:val="single" w:sz="4" w:space="0" w:color="000000"/>
            </w:tcBorders>
          </w:tcPr>
          <w:p>
            <w:pPr>
              <w:pStyle w:val="TableParagraph"/>
              <w:spacing w:line="164" w:lineRule="exact"/>
              <w:ind w:left="69"/>
              <w:jc w:val="left"/>
              <w:rPr>
                <w:sz w:val="16"/>
              </w:rPr>
            </w:pPr>
            <w:r>
              <w:rPr>
                <w:sz w:val="16"/>
              </w:rPr>
              <w:t>Lavadero</w:t>
            </w:r>
          </w:p>
        </w:tc>
        <w:tc>
          <w:tcPr>
            <w:tcW w:w="2073" w:type="dxa"/>
            <w:tcBorders>
              <w:top w:val="single" w:sz="4" w:space="0" w:color="000000"/>
              <w:right w:val="single" w:sz="4" w:space="0" w:color="000000"/>
            </w:tcBorders>
          </w:tcPr>
          <w:p>
            <w:pPr>
              <w:pStyle w:val="TableParagraph"/>
              <w:jc w:val="left"/>
              <w:rPr>
                <w:rFonts w:ascii="Times New Roman"/>
                <w:sz w:val="12"/>
              </w:rPr>
            </w:pPr>
          </w:p>
        </w:tc>
        <w:tc>
          <w:tcPr>
            <w:tcW w:w="1291" w:type="dxa"/>
            <w:tcBorders>
              <w:left w:val="single" w:sz="4" w:space="0" w:color="000000"/>
            </w:tcBorders>
          </w:tcPr>
          <w:p>
            <w:pPr>
              <w:pStyle w:val="TableParagraph"/>
              <w:spacing w:line="164" w:lineRule="exact"/>
              <w:ind w:left="27"/>
              <w:rPr>
                <w:sz w:val="16"/>
              </w:rPr>
            </w:pPr>
            <w:r>
              <w:rPr>
                <w:w w:val="99"/>
                <w:sz w:val="16"/>
              </w:rPr>
              <w:t>3</w:t>
            </w:r>
          </w:p>
        </w:tc>
        <w:tc>
          <w:tcPr>
            <w:tcW w:w="1222" w:type="dxa"/>
            <w:tcBorders>
              <w:right w:val="single" w:sz="4" w:space="0" w:color="000000"/>
            </w:tcBorders>
          </w:tcPr>
          <w:p>
            <w:pPr>
              <w:pStyle w:val="TableParagraph"/>
              <w:spacing w:line="164" w:lineRule="exact"/>
              <w:ind w:left="30"/>
              <w:rPr>
                <w:sz w:val="16"/>
              </w:rPr>
            </w:pPr>
            <w:r>
              <w:rPr>
                <w:w w:val="99"/>
                <w:sz w:val="16"/>
              </w:rPr>
              <w:t>-</w:t>
            </w:r>
          </w:p>
        </w:tc>
        <w:tc>
          <w:tcPr>
            <w:tcW w:w="1244" w:type="dxa"/>
            <w:tcBorders>
              <w:left w:val="single" w:sz="4" w:space="0" w:color="000000"/>
            </w:tcBorders>
          </w:tcPr>
          <w:p>
            <w:pPr>
              <w:pStyle w:val="TableParagraph"/>
              <w:spacing w:line="164" w:lineRule="exact"/>
              <w:ind w:left="113" w:right="160"/>
              <w:rPr>
                <w:sz w:val="16"/>
              </w:rPr>
            </w:pPr>
            <w:r>
              <w:rPr>
                <w:sz w:val="16"/>
              </w:rPr>
              <w:t>40</w:t>
            </w:r>
          </w:p>
        </w:tc>
        <w:tc>
          <w:tcPr>
            <w:tcW w:w="1321" w:type="dxa"/>
          </w:tcPr>
          <w:p>
            <w:pPr>
              <w:pStyle w:val="TableParagraph"/>
              <w:spacing w:line="164" w:lineRule="exact"/>
              <w:ind w:right="41"/>
              <w:rPr>
                <w:sz w:val="16"/>
              </w:rPr>
            </w:pPr>
            <w:r>
              <w:rPr>
                <w:w w:val="99"/>
                <w:sz w:val="16"/>
              </w:rPr>
              <w:t>-</w:t>
            </w:r>
          </w:p>
        </w:tc>
      </w:tr>
      <w:tr>
        <w:trPr>
          <w:trHeight w:val="184" w:hRule="atLeast"/>
        </w:trPr>
        <w:tc>
          <w:tcPr>
            <w:tcW w:w="1942" w:type="dxa"/>
          </w:tcPr>
          <w:p>
            <w:pPr>
              <w:pStyle w:val="TableParagraph"/>
              <w:spacing w:line="164" w:lineRule="exact"/>
              <w:ind w:left="69"/>
              <w:jc w:val="left"/>
              <w:rPr>
                <w:sz w:val="16"/>
              </w:rPr>
            </w:pPr>
            <w:r>
              <w:rPr>
                <w:sz w:val="16"/>
              </w:rPr>
              <w:t>Vertedero</w:t>
            </w:r>
          </w:p>
        </w:tc>
        <w:tc>
          <w:tcPr>
            <w:tcW w:w="2073" w:type="dxa"/>
            <w:tcBorders>
              <w:right w:val="single" w:sz="4" w:space="0" w:color="000000"/>
            </w:tcBorders>
          </w:tcPr>
          <w:p>
            <w:pPr>
              <w:pStyle w:val="TableParagraph"/>
              <w:jc w:val="left"/>
              <w:rPr>
                <w:rFonts w:ascii="Times New Roman"/>
                <w:sz w:val="12"/>
              </w:rPr>
            </w:pPr>
          </w:p>
        </w:tc>
        <w:tc>
          <w:tcPr>
            <w:tcW w:w="1291" w:type="dxa"/>
            <w:tcBorders>
              <w:left w:val="single" w:sz="4" w:space="0" w:color="000000"/>
            </w:tcBorders>
          </w:tcPr>
          <w:p>
            <w:pPr>
              <w:pStyle w:val="TableParagraph"/>
              <w:spacing w:line="164" w:lineRule="exact"/>
              <w:ind w:left="27"/>
              <w:rPr>
                <w:sz w:val="16"/>
              </w:rPr>
            </w:pPr>
            <w:r>
              <w:rPr>
                <w:w w:val="99"/>
                <w:sz w:val="16"/>
              </w:rPr>
              <w:t>-</w:t>
            </w:r>
          </w:p>
        </w:tc>
        <w:tc>
          <w:tcPr>
            <w:tcW w:w="1222" w:type="dxa"/>
            <w:tcBorders>
              <w:right w:val="single" w:sz="4" w:space="0" w:color="000000"/>
            </w:tcBorders>
          </w:tcPr>
          <w:p>
            <w:pPr>
              <w:pStyle w:val="TableParagraph"/>
              <w:spacing w:line="164" w:lineRule="exact"/>
              <w:ind w:left="30"/>
              <w:rPr>
                <w:sz w:val="16"/>
              </w:rPr>
            </w:pPr>
            <w:r>
              <w:rPr>
                <w:w w:val="99"/>
                <w:sz w:val="16"/>
              </w:rPr>
              <w:t>8</w:t>
            </w:r>
          </w:p>
        </w:tc>
        <w:tc>
          <w:tcPr>
            <w:tcW w:w="1244" w:type="dxa"/>
            <w:tcBorders>
              <w:left w:val="single" w:sz="4" w:space="0" w:color="000000"/>
            </w:tcBorders>
          </w:tcPr>
          <w:p>
            <w:pPr>
              <w:pStyle w:val="TableParagraph"/>
              <w:spacing w:line="164" w:lineRule="exact"/>
              <w:ind w:right="47"/>
              <w:rPr>
                <w:sz w:val="16"/>
              </w:rPr>
            </w:pPr>
            <w:r>
              <w:rPr>
                <w:w w:val="99"/>
                <w:sz w:val="16"/>
              </w:rPr>
              <w:t>-</w:t>
            </w:r>
          </w:p>
        </w:tc>
        <w:tc>
          <w:tcPr>
            <w:tcW w:w="1321" w:type="dxa"/>
          </w:tcPr>
          <w:p>
            <w:pPr>
              <w:pStyle w:val="TableParagraph"/>
              <w:spacing w:line="164" w:lineRule="exact"/>
              <w:ind w:left="160" w:right="202"/>
              <w:rPr>
                <w:sz w:val="16"/>
              </w:rPr>
            </w:pPr>
            <w:r>
              <w:rPr>
                <w:sz w:val="16"/>
              </w:rPr>
              <w:t>100</w:t>
            </w:r>
          </w:p>
        </w:tc>
      </w:tr>
      <w:tr>
        <w:trPr>
          <w:trHeight w:val="183" w:hRule="atLeast"/>
        </w:trPr>
        <w:tc>
          <w:tcPr>
            <w:tcW w:w="1942" w:type="dxa"/>
          </w:tcPr>
          <w:p>
            <w:pPr>
              <w:pStyle w:val="TableParagraph"/>
              <w:spacing w:line="164" w:lineRule="exact"/>
              <w:ind w:left="69"/>
              <w:jc w:val="left"/>
              <w:rPr>
                <w:sz w:val="16"/>
              </w:rPr>
            </w:pPr>
            <w:r>
              <w:rPr>
                <w:sz w:val="16"/>
              </w:rPr>
              <w:t>Fuente para beber</w:t>
            </w:r>
          </w:p>
        </w:tc>
        <w:tc>
          <w:tcPr>
            <w:tcW w:w="2073" w:type="dxa"/>
            <w:tcBorders>
              <w:right w:val="single" w:sz="4" w:space="0" w:color="000000"/>
            </w:tcBorders>
          </w:tcPr>
          <w:p>
            <w:pPr>
              <w:pStyle w:val="TableParagraph"/>
              <w:jc w:val="left"/>
              <w:rPr>
                <w:rFonts w:ascii="Times New Roman"/>
                <w:sz w:val="12"/>
              </w:rPr>
            </w:pPr>
          </w:p>
        </w:tc>
        <w:tc>
          <w:tcPr>
            <w:tcW w:w="1291" w:type="dxa"/>
            <w:tcBorders>
              <w:left w:val="single" w:sz="4" w:space="0" w:color="000000"/>
            </w:tcBorders>
          </w:tcPr>
          <w:p>
            <w:pPr>
              <w:pStyle w:val="TableParagraph"/>
              <w:spacing w:line="164" w:lineRule="exact"/>
              <w:ind w:left="27"/>
              <w:rPr>
                <w:sz w:val="16"/>
              </w:rPr>
            </w:pPr>
            <w:r>
              <w:rPr>
                <w:w w:val="99"/>
                <w:sz w:val="16"/>
              </w:rPr>
              <w:t>-</w:t>
            </w:r>
          </w:p>
        </w:tc>
        <w:tc>
          <w:tcPr>
            <w:tcW w:w="1222" w:type="dxa"/>
            <w:tcBorders>
              <w:right w:val="single" w:sz="4" w:space="0" w:color="000000"/>
            </w:tcBorders>
          </w:tcPr>
          <w:p>
            <w:pPr>
              <w:pStyle w:val="TableParagraph"/>
              <w:spacing w:line="164" w:lineRule="exact"/>
              <w:ind w:left="145" w:right="114"/>
              <w:rPr>
                <w:sz w:val="16"/>
              </w:rPr>
            </w:pPr>
            <w:r>
              <w:rPr>
                <w:sz w:val="16"/>
              </w:rPr>
              <w:t>0.5</w:t>
            </w:r>
          </w:p>
        </w:tc>
        <w:tc>
          <w:tcPr>
            <w:tcW w:w="1244" w:type="dxa"/>
            <w:tcBorders>
              <w:left w:val="single" w:sz="4" w:space="0" w:color="000000"/>
            </w:tcBorders>
          </w:tcPr>
          <w:p>
            <w:pPr>
              <w:pStyle w:val="TableParagraph"/>
              <w:spacing w:line="164" w:lineRule="exact"/>
              <w:ind w:right="47"/>
              <w:rPr>
                <w:sz w:val="16"/>
              </w:rPr>
            </w:pPr>
            <w:r>
              <w:rPr>
                <w:w w:val="99"/>
                <w:sz w:val="16"/>
              </w:rPr>
              <w:t>-</w:t>
            </w:r>
          </w:p>
        </w:tc>
        <w:tc>
          <w:tcPr>
            <w:tcW w:w="1321" w:type="dxa"/>
          </w:tcPr>
          <w:p>
            <w:pPr>
              <w:pStyle w:val="TableParagraph"/>
              <w:spacing w:line="164" w:lineRule="exact"/>
              <w:ind w:left="160" w:right="202"/>
              <w:rPr>
                <w:sz w:val="16"/>
              </w:rPr>
            </w:pPr>
            <w:r>
              <w:rPr>
                <w:sz w:val="16"/>
              </w:rPr>
              <w:t>25</w:t>
            </w:r>
          </w:p>
        </w:tc>
      </w:tr>
      <w:tr>
        <w:trPr>
          <w:trHeight w:val="184" w:hRule="atLeast"/>
        </w:trPr>
        <w:tc>
          <w:tcPr>
            <w:tcW w:w="1942" w:type="dxa"/>
          </w:tcPr>
          <w:p>
            <w:pPr>
              <w:pStyle w:val="TableParagraph"/>
              <w:spacing w:line="164" w:lineRule="exact"/>
              <w:ind w:left="69"/>
              <w:jc w:val="left"/>
              <w:rPr>
                <w:sz w:val="16"/>
              </w:rPr>
            </w:pPr>
            <w:r>
              <w:rPr>
                <w:sz w:val="16"/>
              </w:rPr>
              <w:t>Sumidero sifónico</w:t>
            </w:r>
          </w:p>
        </w:tc>
        <w:tc>
          <w:tcPr>
            <w:tcW w:w="2073" w:type="dxa"/>
            <w:tcBorders>
              <w:right w:val="single" w:sz="4" w:space="0" w:color="000000"/>
            </w:tcBorders>
          </w:tcPr>
          <w:p>
            <w:pPr>
              <w:pStyle w:val="TableParagraph"/>
              <w:jc w:val="left"/>
              <w:rPr>
                <w:rFonts w:ascii="Times New Roman"/>
                <w:sz w:val="12"/>
              </w:rPr>
            </w:pPr>
          </w:p>
        </w:tc>
        <w:tc>
          <w:tcPr>
            <w:tcW w:w="1291" w:type="dxa"/>
            <w:tcBorders>
              <w:left w:val="single" w:sz="4" w:space="0" w:color="000000"/>
            </w:tcBorders>
          </w:tcPr>
          <w:p>
            <w:pPr>
              <w:pStyle w:val="TableParagraph"/>
              <w:spacing w:line="164" w:lineRule="exact"/>
              <w:ind w:left="27"/>
              <w:rPr>
                <w:sz w:val="16"/>
              </w:rPr>
            </w:pPr>
            <w:r>
              <w:rPr>
                <w:w w:val="99"/>
                <w:sz w:val="16"/>
              </w:rPr>
              <w:t>1</w:t>
            </w:r>
          </w:p>
        </w:tc>
        <w:tc>
          <w:tcPr>
            <w:tcW w:w="1222" w:type="dxa"/>
            <w:tcBorders>
              <w:right w:val="single" w:sz="4" w:space="0" w:color="000000"/>
            </w:tcBorders>
          </w:tcPr>
          <w:p>
            <w:pPr>
              <w:pStyle w:val="TableParagraph"/>
              <w:spacing w:line="164" w:lineRule="exact"/>
              <w:ind w:left="30"/>
              <w:rPr>
                <w:sz w:val="16"/>
              </w:rPr>
            </w:pPr>
            <w:r>
              <w:rPr>
                <w:w w:val="99"/>
                <w:sz w:val="16"/>
              </w:rPr>
              <w:t>3</w:t>
            </w:r>
          </w:p>
        </w:tc>
        <w:tc>
          <w:tcPr>
            <w:tcW w:w="1244" w:type="dxa"/>
            <w:tcBorders>
              <w:left w:val="single" w:sz="4" w:space="0" w:color="000000"/>
            </w:tcBorders>
          </w:tcPr>
          <w:p>
            <w:pPr>
              <w:pStyle w:val="TableParagraph"/>
              <w:spacing w:line="164" w:lineRule="exact"/>
              <w:ind w:left="113" w:right="160"/>
              <w:rPr>
                <w:sz w:val="16"/>
              </w:rPr>
            </w:pPr>
            <w:r>
              <w:rPr>
                <w:sz w:val="16"/>
              </w:rPr>
              <w:t>40</w:t>
            </w:r>
          </w:p>
        </w:tc>
        <w:tc>
          <w:tcPr>
            <w:tcW w:w="1321" w:type="dxa"/>
          </w:tcPr>
          <w:p>
            <w:pPr>
              <w:pStyle w:val="TableParagraph"/>
              <w:spacing w:line="164" w:lineRule="exact"/>
              <w:ind w:left="160" w:right="202"/>
              <w:rPr>
                <w:sz w:val="16"/>
              </w:rPr>
            </w:pPr>
            <w:r>
              <w:rPr>
                <w:sz w:val="16"/>
              </w:rPr>
              <w:t>50</w:t>
            </w:r>
          </w:p>
        </w:tc>
      </w:tr>
      <w:tr>
        <w:trPr>
          <w:trHeight w:val="184" w:hRule="atLeast"/>
        </w:trPr>
        <w:tc>
          <w:tcPr>
            <w:tcW w:w="1942" w:type="dxa"/>
          </w:tcPr>
          <w:p>
            <w:pPr>
              <w:pStyle w:val="TableParagraph"/>
              <w:spacing w:line="164" w:lineRule="exact"/>
              <w:ind w:left="69"/>
              <w:jc w:val="left"/>
              <w:rPr>
                <w:sz w:val="16"/>
              </w:rPr>
            </w:pPr>
            <w:r>
              <w:rPr>
                <w:sz w:val="16"/>
              </w:rPr>
              <w:t>Lavavajillas</w:t>
            </w:r>
          </w:p>
        </w:tc>
        <w:tc>
          <w:tcPr>
            <w:tcW w:w="2073" w:type="dxa"/>
            <w:tcBorders>
              <w:right w:val="single" w:sz="4" w:space="0" w:color="000000"/>
            </w:tcBorders>
          </w:tcPr>
          <w:p>
            <w:pPr>
              <w:pStyle w:val="TableParagraph"/>
              <w:jc w:val="left"/>
              <w:rPr>
                <w:rFonts w:ascii="Times New Roman"/>
                <w:sz w:val="12"/>
              </w:rPr>
            </w:pPr>
          </w:p>
        </w:tc>
        <w:tc>
          <w:tcPr>
            <w:tcW w:w="1291" w:type="dxa"/>
            <w:tcBorders>
              <w:left w:val="single" w:sz="4" w:space="0" w:color="000000"/>
            </w:tcBorders>
          </w:tcPr>
          <w:p>
            <w:pPr>
              <w:pStyle w:val="TableParagraph"/>
              <w:spacing w:line="164" w:lineRule="exact"/>
              <w:ind w:left="27"/>
              <w:rPr>
                <w:sz w:val="16"/>
              </w:rPr>
            </w:pPr>
            <w:r>
              <w:rPr>
                <w:w w:val="99"/>
                <w:sz w:val="16"/>
              </w:rPr>
              <w:t>3</w:t>
            </w:r>
          </w:p>
        </w:tc>
        <w:tc>
          <w:tcPr>
            <w:tcW w:w="1222" w:type="dxa"/>
            <w:tcBorders>
              <w:right w:val="single" w:sz="4" w:space="0" w:color="000000"/>
            </w:tcBorders>
          </w:tcPr>
          <w:p>
            <w:pPr>
              <w:pStyle w:val="TableParagraph"/>
              <w:spacing w:line="164" w:lineRule="exact"/>
              <w:ind w:left="30"/>
              <w:rPr>
                <w:sz w:val="16"/>
              </w:rPr>
            </w:pPr>
            <w:r>
              <w:rPr>
                <w:w w:val="99"/>
                <w:sz w:val="16"/>
              </w:rPr>
              <w:t>6</w:t>
            </w:r>
          </w:p>
        </w:tc>
        <w:tc>
          <w:tcPr>
            <w:tcW w:w="1244" w:type="dxa"/>
            <w:tcBorders>
              <w:left w:val="single" w:sz="4" w:space="0" w:color="000000"/>
            </w:tcBorders>
          </w:tcPr>
          <w:p>
            <w:pPr>
              <w:pStyle w:val="TableParagraph"/>
              <w:spacing w:line="164" w:lineRule="exact"/>
              <w:ind w:left="113" w:right="160"/>
              <w:rPr>
                <w:sz w:val="16"/>
              </w:rPr>
            </w:pPr>
            <w:r>
              <w:rPr>
                <w:sz w:val="16"/>
              </w:rPr>
              <w:t>40</w:t>
            </w:r>
          </w:p>
        </w:tc>
        <w:tc>
          <w:tcPr>
            <w:tcW w:w="1321" w:type="dxa"/>
          </w:tcPr>
          <w:p>
            <w:pPr>
              <w:pStyle w:val="TableParagraph"/>
              <w:spacing w:line="164" w:lineRule="exact"/>
              <w:ind w:left="160" w:right="202"/>
              <w:rPr>
                <w:sz w:val="16"/>
              </w:rPr>
            </w:pPr>
            <w:r>
              <w:rPr>
                <w:sz w:val="16"/>
              </w:rPr>
              <w:t>50</w:t>
            </w:r>
          </w:p>
        </w:tc>
      </w:tr>
      <w:tr>
        <w:trPr>
          <w:trHeight w:val="182" w:hRule="atLeast"/>
        </w:trPr>
        <w:tc>
          <w:tcPr>
            <w:tcW w:w="1942" w:type="dxa"/>
            <w:tcBorders>
              <w:bottom w:val="single" w:sz="4" w:space="0" w:color="000000"/>
            </w:tcBorders>
          </w:tcPr>
          <w:p>
            <w:pPr>
              <w:pStyle w:val="TableParagraph"/>
              <w:spacing w:line="163" w:lineRule="exact"/>
              <w:ind w:left="69"/>
              <w:jc w:val="left"/>
              <w:rPr>
                <w:sz w:val="16"/>
              </w:rPr>
            </w:pPr>
            <w:r>
              <w:rPr>
                <w:sz w:val="16"/>
              </w:rPr>
              <w:t>Lavadora</w:t>
            </w:r>
          </w:p>
        </w:tc>
        <w:tc>
          <w:tcPr>
            <w:tcW w:w="2073" w:type="dxa"/>
            <w:tcBorders>
              <w:bottom w:val="single" w:sz="4" w:space="0" w:color="000000"/>
              <w:right w:val="single" w:sz="4" w:space="0" w:color="000000"/>
            </w:tcBorders>
          </w:tcPr>
          <w:p>
            <w:pPr>
              <w:pStyle w:val="TableParagraph"/>
              <w:jc w:val="left"/>
              <w:rPr>
                <w:rFonts w:ascii="Times New Roman"/>
                <w:sz w:val="12"/>
              </w:rPr>
            </w:pPr>
          </w:p>
        </w:tc>
        <w:tc>
          <w:tcPr>
            <w:tcW w:w="1291" w:type="dxa"/>
            <w:tcBorders>
              <w:left w:val="single" w:sz="4" w:space="0" w:color="000000"/>
            </w:tcBorders>
          </w:tcPr>
          <w:p>
            <w:pPr>
              <w:pStyle w:val="TableParagraph"/>
              <w:spacing w:line="163" w:lineRule="exact"/>
              <w:ind w:left="27"/>
              <w:rPr>
                <w:sz w:val="16"/>
              </w:rPr>
            </w:pPr>
            <w:r>
              <w:rPr>
                <w:w w:val="99"/>
                <w:sz w:val="16"/>
              </w:rPr>
              <w:t>3</w:t>
            </w:r>
          </w:p>
        </w:tc>
        <w:tc>
          <w:tcPr>
            <w:tcW w:w="1222" w:type="dxa"/>
            <w:tcBorders>
              <w:right w:val="single" w:sz="4" w:space="0" w:color="000000"/>
            </w:tcBorders>
          </w:tcPr>
          <w:p>
            <w:pPr>
              <w:pStyle w:val="TableParagraph"/>
              <w:spacing w:line="163" w:lineRule="exact"/>
              <w:ind w:left="30"/>
              <w:rPr>
                <w:sz w:val="16"/>
              </w:rPr>
            </w:pPr>
            <w:r>
              <w:rPr>
                <w:w w:val="99"/>
                <w:sz w:val="16"/>
              </w:rPr>
              <w:t>6</w:t>
            </w:r>
          </w:p>
        </w:tc>
        <w:tc>
          <w:tcPr>
            <w:tcW w:w="1244" w:type="dxa"/>
            <w:tcBorders>
              <w:left w:val="single" w:sz="4" w:space="0" w:color="000000"/>
            </w:tcBorders>
          </w:tcPr>
          <w:p>
            <w:pPr>
              <w:pStyle w:val="TableParagraph"/>
              <w:spacing w:line="163" w:lineRule="exact"/>
              <w:ind w:left="113" w:right="160"/>
              <w:rPr>
                <w:sz w:val="16"/>
              </w:rPr>
            </w:pPr>
            <w:r>
              <w:rPr>
                <w:sz w:val="16"/>
              </w:rPr>
              <w:t>40</w:t>
            </w:r>
          </w:p>
        </w:tc>
        <w:tc>
          <w:tcPr>
            <w:tcW w:w="1321" w:type="dxa"/>
          </w:tcPr>
          <w:p>
            <w:pPr>
              <w:pStyle w:val="TableParagraph"/>
              <w:spacing w:line="163" w:lineRule="exact"/>
              <w:ind w:left="160" w:right="202"/>
              <w:rPr>
                <w:sz w:val="16"/>
              </w:rPr>
            </w:pPr>
            <w:r>
              <w:rPr>
                <w:sz w:val="16"/>
              </w:rPr>
              <w:t>50</w:t>
            </w:r>
          </w:p>
        </w:tc>
      </w:tr>
      <w:tr>
        <w:trPr>
          <w:trHeight w:val="226" w:hRule="atLeast"/>
        </w:trPr>
        <w:tc>
          <w:tcPr>
            <w:tcW w:w="1942" w:type="dxa"/>
            <w:vMerge w:val="restart"/>
            <w:tcBorders>
              <w:top w:val="single" w:sz="4" w:space="0" w:color="000000"/>
              <w:bottom w:val="single" w:sz="4" w:space="0" w:color="000000"/>
            </w:tcBorders>
          </w:tcPr>
          <w:p>
            <w:pPr>
              <w:pStyle w:val="TableParagraph"/>
              <w:spacing w:line="182" w:lineRule="exact"/>
              <w:ind w:left="69"/>
              <w:jc w:val="left"/>
              <w:rPr>
                <w:sz w:val="16"/>
              </w:rPr>
            </w:pPr>
            <w:r>
              <w:rPr>
                <w:sz w:val="16"/>
              </w:rPr>
              <w:t>Cuarto de baño</w:t>
            </w:r>
          </w:p>
          <w:p>
            <w:pPr>
              <w:pStyle w:val="TableParagraph"/>
              <w:spacing w:line="184" w:lineRule="exact" w:before="2"/>
              <w:ind w:left="69" w:right="-6"/>
              <w:jc w:val="left"/>
              <w:rPr>
                <w:sz w:val="16"/>
              </w:rPr>
            </w:pPr>
            <w:r>
              <w:rPr>
                <w:sz w:val="16"/>
              </w:rPr>
              <w:t>(lavabo, inodoro, bañera y bidé)</w:t>
            </w:r>
          </w:p>
        </w:tc>
        <w:tc>
          <w:tcPr>
            <w:tcW w:w="2073" w:type="dxa"/>
            <w:tcBorders>
              <w:top w:val="single" w:sz="4" w:space="0" w:color="000000"/>
              <w:right w:val="single" w:sz="4" w:space="0" w:color="000000"/>
            </w:tcBorders>
          </w:tcPr>
          <w:p>
            <w:pPr>
              <w:pStyle w:val="TableParagraph"/>
              <w:spacing w:line="183" w:lineRule="exact"/>
              <w:ind w:left="303"/>
              <w:jc w:val="left"/>
              <w:rPr>
                <w:sz w:val="16"/>
              </w:rPr>
            </w:pPr>
            <w:r>
              <w:rPr>
                <w:sz w:val="16"/>
              </w:rPr>
              <w:t>Inodoro con cisterna</w:t>
            </w:r>
          </w:p>
        </w:tc>
        <w:tc>
          <w:tcPr>
            <w:tcW w:w="1291" w:type="dxa"/>
            <w:tcBorders>
              <w:left w:val="single" w:sz="4" w:space="0" w:color="000000"/>
            </w:tcBorders>
          </w:tcPr>
          <w:p>
            <w:pPr>
              <w:pStyle w:val="TableParagraph"/>
              <w:spacing w:line="183" w:lineRule="exact"/>
              <w:ind w:left="27"/>
              <w:rPr>
                <w:sz w:val="16"/>
              </w:rPr>
            </w:pPr>
            <w:r>
              <w:rPr>
                <w:w w:val="99"/>
                <w:sz w:val="16"/>
              </w:rPr>
              <w:t>7</w:t>
            </w:r>
          </w:p>
        </w:tc>
        <w:tc>
          <w:tcPr>
            <w:tcW w:w="1222" w:type="dxa"/>
            <w:tcBorders>
              <w:right w:val="single" w:sz="4" w:space="0" w:color="000000"/>
            </w:tcBorders>
          </w:tcPr>
          <w:p>
            <w:pPr>
              <w:pStyle w:val="TableParagraph"/>
              <w:spacing w:line="183" w:lineRule="exact"/>
              <w:ind w:left="30"/>
              <w:rPr>
                <w:sz w:val="16"/>
              </w:rPr>
            </w:pPr>
            <w:r>
              <w:rPr>
                <w:w w:val="99"/>
                <w:sz w:val="16"/>
              </w:rPr>
              <w:t>-</w:t>
            </w:r>
          </w:p>
        </w:tc>
        <w:tc>
          <w:tcPr>
            <w:tcW w:w="1244" w:type="dxa"/>
            <w:tcBorders>
              <w:left w:val="single" w:sz="4" w:space="0" w:color="000000"/>
            </w:tcBorders>
          </w:tcPr>
          <w:p>
            <w:pPr>
              <w:pStyle w:val="TableParagraph"/>
              <w:spacing w:line="183" w:lineRule="exact"/>
              <w:ind w:left="113" w:right="160"/>
              <w:rPr>
                <w:sz w:val="16"/>
              </w:rPr>
            </w:pPr>
            <w:r>
              <w:rPr>
                <w:sz w:val="16"/>
              </w:rPr>
              <w:t>100</w:t>
            </w:r>
          </w:p>
        </w:tc>
        <w:tc>
          <w:tcPr>
            <w:tcW w:w="1321" w:type="dxa"/>
          </w:tcPr>
          <w:p>
            <w:pPr>
              <w:pStyle w:val="TableParagraph"/>
              <w:spacing w:line="183" w:lineRule="exact"/>
              <w:ind w:right="41"/>
              <w:rPr>
                <w:sz w:val="16"/>
              </w:rPr>
            </w:pPr>
            <w:r>
              <w:rPr>
                <w:w w:val="99"/>
                <w:sz w:val="16"/>
              </w:rPr>
              <w:t>-</w:t>
            </w:r>
          </w:p>
        </w:tc>
      </w:tr>
      <w:tr>
        <w:trPr>
          <w:trHeight w:val="316" w:hRule="atLeast"/>
        </w:trPr>
        <w:tc>
          <w:tcPr>
            <w:tcW w:w="1942" w:type="dxa"/>
            <w:vMerge/>
            <w:tcBorders>
              <w:top w:val="nil"/>
              <w:bottom w:val="single" w:sz="4" w:space="0" w:color="000000"/>
            </w:tcBorders>
          </w:tcPr>
          <w:p>
            <w:pPr>
              <w:rPr>
                <w:sz w:val="2"/>
                <w:szCs w:val="2"/>
              </w:rPr>
            </w:pPr>
          </w:p>
        </w:tc>
        <w:tc>
          <w:tcPr>
            <w:tcW w:w="2073" w:type="dxa"/>
            <w:tcBorders>
              <w:bottom w:val="single" w:sz="4" w:space="0" w:color="000000"/>
              <w:right w:val="single" w:sz="4" w:space="0" w:color="000000"/>
            </w:tcBorders>
          </w:tcPr>
          <w:p>
            <w:pPr>
              <w:pStyle w:val="TableParagraph"/>
              <w:spacing w:before="38"/>
              <w:ind w:right="127"/>
              <w:jc w:val="right"/>
              <w:rPr>
                <w:sz w:val="16"/>
              </w:rPr>
            </w:pPr>
            <w:r>
              <w:rPr>
                <w:sz w:val="16"/>
              </w:rPr>
              <w:t>Inodoro con fluxómetro</w:t>
            </w:r>
          </w:p>
        </w:tc>
        <w:tc>
          <w:tcPr>
            <w:tcW w:w="1291" w:type="dxa"/>
            <w:tcBorders>
              <w:left w:val="single" w:sz="4" w:space="0" w:color="000000"/>
            </w:tcBorders>
          </w:tcPr>
          <w:p>
            <w:pPr>
              <w:pStyle w:val="TableParagraph"/>
              <w:spacing w:before="38"/>
              <w:ind w:left="27"/>
              <w:rPr>
                <w:sz w:val="16"/>
              </w:rPr>
            </w:pPr>
            <w:r>
              <w:rPr>
                <w:w w:val="99"/>
                <w:sz w:val="16"/>
              </w:rPr>
              <w:t>8</w:t>
            </w:r>
          </w:p>
        </w:tc>
        <w:tc>
          <w:tcPr>
            <w:tcW w:w="1222" w:type="dxa"/>
            <w:tcBorders>
              <w:right w:val="single" w:sz="4" w:space="0" w:color="000000"/>
            </w:tcBorders>
          </w:tcPr>
          <w:p>
            <w:pPr>
              <w:pStyle w:val="TableParagraph"/>
              <w:spacing w:before="38"/>
              <w:ind w:left="30"/>
              <w:rPr>
                <w:sz w:val="16"/>
              </w:rPr>
            </w:pPr>
            <w:r>
              <w:rPr>
                <w:w w:val="99"/>
                <w:sz w:val="16"/>
              </w:rPr>
              <w:t>-</w:t>
            </w:r>
          </w:p>
        </w:tc>
        <w:tc>
          <w:tcPr>
            <w:tcW w:w="1244" w:type="dxa"/>
            <w:tcBorders>
              <w:left w:val="single" w:sz="4" w:space="0" w:color="000000"/>
            </w:tcBorders>
          </w:tcPr>
          <w:p>
            <w:pPr>
              <w:pStyle w:val="TableParagraph"/>
              <w:spacing w:before="38"/>
              <w:ind w:left="113" w:right="160"/>
              <w:rPr>
                <w:sz w:val="16"/>
              </w:rPr>
            </w:pPr>
            <w:r>
              <w:rPr>
                <w:sz w:val="16"/>
              </w:rPr>
              <w:t>100</w:t>
            </w:r>
          </w:p>
        </w:tc>
        <w:tc>
          <w:tcPr>
            <w:tcW w:w="1321" w:type="dxa"/>
          </w:tcPr>
          <w:p>
            <w:pPr>
              <w:pStyle w:val="TableParagraph"/>
              <w:spacing w:before="38"/>
              <w:ind w:right="41"/>
              <w:rPr>
                <w:sz w:val="16"/>
              </w:rPr>
            </w:pPr>
            <w:r>
              <w:rPr>
                <w:w w:val="99"/>
                <w:sz w:val="16"/>
              </w:rPr>
              <w:t>-</w:t>
            </w:r>
          </w:p>
        </w:tc>
      </w:tr>
      <w:tr>
        <w:trPr>
          <w:trHeight w:val="178" w:hRule="atLeast"/>
        </w:trPr>
        <w:tc>
          <w:tcPr>
            <w:tcW w:w="1942" w:type="dxa"/>
            <w:vMerge w:val="restart"/>
            <w:tcBorders>
              <w:top w:val="single" w:sz="4" w:space="0" w:color="000000"/>
              <w:bottom w:val="single" w:sz="4" w:space="0" w:color="000000"/>
            </w:tcBorders>
          </w:tcPr>
          <w:p>
            <w:pPr>
              <w:pStyle w:val="TableParagraph"/>
              <w:spacing w:line="181" w:lineRule="exact"/>
              <w:ind w:left="69"/>
              <w:jc w:val="left"/>
              <w:rPr>
                <w:sz w:val="16"/>
              </w:rPr>
            </w:pPr>
            <w:r>
              <w:rPr>
                <w:sz w:val="16"/>
              </w:rPr>
              <w:t>Cuarto de aseo</w:t>
            </w:r>
          </w:p>
          <w:p>
            <w:pPr>
              <w:pStyle w:val="TableParagraph"/>
              <w:spacing w:line="167" w:lineRule="exact"/>
              <w:ind w:left="69"/>
              <w:jc w:val="left"/>
              <w:rPr>
                <w:sz w:val="16"/>
              </w:rPr>
            </w:pPr>
            <w:r>
              <w:rPr>
                <w:sz w:val="16"/>
              </w:rPr>
              <w:t>(lavabo, inodoro y ducha)</w:t>
            </w:r>
          </w:p>
        </w:tc>
        <w:tc>
          <w:tcPr>
            <w:tcW w:w="2073" w:type="dxa"/>
            <w:tcBorders>
              <w:top w:val="single" w:sz="4" w:space="0" w:color="000000"/>
              <w:right w:val="single" w:sz="4" w:space="0" w:color="000000"/>
            </w:tcBorders>
          </w:tcPr>
          <w:p>
            <w:pPr>
              <w:pStyle w:val="TableParagraph"/>
              <w:spacing w:line="159" w:lineRule="exact"/>
              <w:ind w:left="303"/>
              <w:jc w:val="left"/>
              <w:rPr>
                <w:sz w:val="16"/>
              </w:rPr>
            </w:pPr>
            <w:r>
              <w:rPr>
                <w:sz w:val="16"/>
              </w:rPr>
              <w:t>Inodoro con cisterna</w:t>
            </w:r>
          </w:p>
        </w:tc>
        <w:tc>
          <w:tcPr>
            <w:tcW w:w="1291" w:type="dxa"/>
            <w:tcBorders>
              <w:left w:val="single" w:sz="4" w:space="0" w:color="000000"/>
            </w:tcBorders>
          </w:tcPr>
          <w:p>
            <w:pPr>
              <w:pStyle w:val="TableParagraph"/>
              <w:spacing w:line="159" w:lineRule="exact"/>
              <w:ind w:left="27"/>
              <w:rPr>
                <w:sz w:val="16"/>
              </w:rPr>
            </w:pPr>
            <w:r>
              <w:rPr>
                <w:w w:val="99"/>
                <w:sz w:val="16"/>
              </w:rPr>
              <w:t>6</w:t>
            </w:r>
          </w:p>
        </w:tc>
        <w:tc>
          <w:tcPr>
            <w:tcW w:w="1222" w:type="dxa"/>
            <w:tcBorders>
              <w:right w:val="single" w:sz="4" w:space="0" w:color="000000"/>
            </w:tcBorders>
          </w:tcPr>
          <w:p>
            <w:pPr>
              <w:pStyle w:val="TableParagraph"/>
              <w:spacing w:line="159" w:lineRule="exact"/>
              <w:ind w:left="30"/>
              <w:rPr>
                <w:sz w:val="16"/>
              </w:rPr>
            </w:pPr>
            <w:r>
              <w:rPr>
                <w:w w:val="99"/>
                <w:sz w:val="16"/>
              </w:rPr>
              <w:t>-</w:t>
            </w:r>
          </w:p>
        </w:tc>
        <w:tc>
          <w:tcPr>
            <w:tcW w:w="1244" w:type="dxa"/>
            <w:tcBorders>
              <w:left w:val="single" w:sz="4" w:space="0" w:color="000000"/>
            </w:tcBorders>
          </w:tcPr>
          <w:p>
            <w:pPr>
              <w:pStyle w:val="TableParagraph"/>
              <w:spacing w:line="159" w:lineRule="exact"/>
              <w:ind w:left="113" w:right="160"/>
              <w:rPr>
                <w:sz w:val="16"/>
              </w:rPr>
            </w:pPr>
            <w:r>
              <w:rPr>
                <w:sz w:val="16"/>
              </w:rPr>
              <w:t>100</w:t>
            </w:r>
          </w:p>
        </w:tc>
        <w:tc>
          <w:tcPr>
            <w:tcW w:w="1321" w:type="dxa"/>
          </w:tcPr>
          <w:p>
            <w:pPr>
              <w:pStyle w:val="TableParagraph"/>
              <w:spacing w:line="159" w:lineRule="exact"/>
              <w:ind w:right="41"/>
              <w:rPr>
                <w:sz w:val="16"/>
              </w:rPr>
            </w:pPr>
            <w:r>
              <w:rPr>
                <w:w w:val="99"/>
                <w:sz w:val="16"/>
              </w:rPr>
              <w:t>-</w:t>
            </w:r>
          </w:p>
        </w:tc>
      </w:tr>
      <w:tr>
        <w:trPr>
          <w:trHeight w:val="179" w:hRule="atLeast"/>
        </w:trPr>
        <w:tc>
          <w:tcPr>
            <w:tcW w:w="1942" w:type="dxa"/>
            <w:vMerge/>
            <w:tcBorders>
              <w:top w:val="nil"/>
              <w:bottom w:val="single" w:sz="4" w:space="0" w:color="000000"/>
            </w:tcBorders>
          </w:tcPr>
          <w:p>
            <w:pPr>
              <w:rPr>
                <w:sz w:val="2"/>
                <w:szCs w:val="2"/>
              </w:rPr>
            </w:pPr>
          </w:p>
        </w:tc>
        <w:tc>
          <w:tcPr>
            <w:tcW w:w="2073" w:type="dxa"/>
            <w:tcBorders>
              <w:bottom w:val="single" w:sz="4" w:space="0" w:color="000000"/>
              <w:right w:val="single" w:sz="4" w:space="0" w:color="000000"/>
            </w:tcBorders>
          </w:tcPr>
          <w:p>
            <w:pPr>
              <w:pStyle w:val="TableParagraph"/>
              <w:spacing w:line="159" w:lineRule="exact"/>
              <w:ind w:right="127"/>
              <w:jc w:val="right"/>
              <w:rPr>
                <w:sz w:val="16"/>
              </w:rPr>
            </w:pPr>
            <w:r>
              <w:rPr>
                <w:sz w:val="16"/>
              </w:rPr>
              <w:t>Inodoro con fluxómetro</w:t>
            </w:r>
          </w:p>
        </w:tc>
        <w:tc>
          <w:tcPr>
            <w:tcW w:w="1291" w:type="dxa"/>
            <w:tcBorders>
              <w:left w:val="single" w:sz="4" w:space="0" w:color="000000"/>
              <w:bottom w:val="single" w:sz="4" w:space="0" w:color="000000"/>
            </w:tcBorders>
          </w:tcPr>
          <w:p>
            <w:pPr>
              <w:pStyle w:val="TableParagraph"/>
              <w:spacing w:line="159" w:lineRule="exact"/>
              <w:ind w:left="27"/>
              <w:rPr>
                <w:sz w:val="16"/>
              </w:rPr>
            </w:pPr>
            <w:r>
              <w:rPr>
                <w:w w:val="99"/>
                <w:sz w:val="16"/>
              </w:rPr>
              <w:t>8</w:t>
            </w:r>
          </w:p>
        </w:tc>
        <w:tc>
          <w:tcPr>
            <w:tcW w:w="1222" w:type="dxa"/>
            <w:tcBorders>
              <w:bottom w:val="single" w:sz="4" w:space="0" w:color="000000"/>
              <w:right w:val="single" w:sz="4" w:space="0" w:color="000000"/>
            </w:tcBorders>
          </w:tcPr>
          <w:p>
            <w:pPr>
              <w:pStyle w:val="TableParagraph"/>
              <w:spacing w:line="159" w:lineRule="exact"/>
              <w:ind w:left="30"/>
              <w:rPr>
                <w:sz w:val="16"/>
              </w:rPr>
            </w:pPr>
            <w:r>
              <w:rPr>
                <w:w w:val="99"/>
                <w:sz w:val="16"/>
              </w:rPr>
              <w:t>-</w:t>
            </w:r>
          </w:p>
        </w:tc>
        <w:tc>
          <w:tcPr>
            <w:tcW w:w="1244" w:type="dxa"/>
            <w:tcBorders>
              <w:left w:val="single" w:sz="4" w:space="0" w:color="000000"/>
              <w:bottom w:val="single" w:sz="4" w:space="0" w:color="000000"/>
            </w:tcBorders>
          </w:tcPr>
          <w:p>
            <w:pPr>
              <w:pStyle w:val="TableParagraph"/>
              <w:spacing w:line="159" w:lineRule="exact"/>
              <w:ind w:left="113" w:right="160"/>
              <w:rPr>
                <w:sz w:val="16"/>
              </w:rPr>
            </w:pPr>
            <w:r>
              <w:rPr>
                <w:sz w:val="16"/>
              </w:rPr>
              <w:t>100</w:t>
            </w:r>
          </w:p>
        </w:tc>
        <w:tc>
          <w:tcPr>
            <w:tcW w:w="1321" w:type="dxa"/>
            <w:tcBorders>
              <w:bottom w:val="single" w:sz="4" w:space="0" w:color="000000"/>
            </w:tcBorders>
          </w:tcPr>
          <w:p>
            <w:pPr>
              <w:pStyle w:val="TableParagraph"/>
              <w:spacing w:line="159" w:lineRule="exact"/>
              <w:ind w:right="41"/>
              <w:rPr>
                <w:sz w:val="16"/>
              </w:rPr>
            </w:pPr>
            <w:r>
              <w:rPr>
                <w:w w:val="99"/>
                <w:sz w:val="16"/>
              </w:rPr>
              <w:t>-</w:t>
            </w:r>
          </w:p>
        </w:tc>
      </w:tr>
    </w:tbl>
    <w:p>
      <w:pPr>
        <w:pStyle w:val="ListParagraph"/>
        <w:numPr>
          <w:ilvl w:val="0"/>
          <w:numId w:val="243"/>
        </w:numPr>
        <w:tabs>
          <w:tab w:pos="673" w:val="left" w:leader="none"/>
        </w:tabs>
        <w:spacing w:line="240" w:lineRule="auto" w:before="57" w:after="0"/>
        <w:ind w:left="672" w:right="442" w:hanging="454"/>
        <w:jc w:val="both"/>
        <w:rPr>
          <w:sz w:val="20"/>
        </w:rPr>
      </w:pPr>
      <w:r>
        <w:rPr>
          <w:sz w:val="20"/>
        </w:rPr>
        <w:t>Los diámetros indicados en la tabla 4.1 se consideran válidos para ramales individuales cuya longi- tud sea igual a 1,5 m. Para ramales mayores debe efectuarse un cálculo pormenorizado, en función de la longitud, la pendiente y el caudal a</w:t>
      </w:r>
      <w:r>
        <w:rPr>
          <w:spacing w:val="-9"/>
          <w:sz w:val="20"/>
        </w:rPr>
        <w:t> </w:t>
      </w:r>
      <w:r>
        <w:rPr>
          <w:sz w:val="20"/>
        </w:rPr>
        <w:t>evacuar.</w:t>
      </w:r>
    </w:p>
    <w:p>
      <w:pPr>
        <w:pStyle w:val="ListParagraph"/>
        <w:numPr>
          <w:ilvl w:val="0"/>
          <w:numId w:val="243"/>
        </w:numPr>
        <w:tabs>
          <w:tab w:pos="673" w:val="left" w:leader="none"/>
        </w:tabs>
        <w:spacing w:line="240" w:lineRule="auto" w:before="60" w:after="0"/>
        <w:ind w:left="672" w:right="0" w:hanging="455"/>
        <w:jc w:val="both"/>
        <w:rPr>
          <w:sz w:val="20"/>
        </w:rPr>
      </w:pPr>
      <w:r>
        <w:rPr>
          <w:sz w:val="20"/>
        </w:rPr>
        <w:t>El diámetro de las conducciones no debe ser menor que el de los tramos situados aguas</w:t>
      </w:r>
      <w:r>
        <w:rPr>
          <w:spacing w:val="-7"/>
          <w:sz w:val="20"/>
        </w:rPr>
        <w:t> </w:t>
      </w:r>
      <w:r>
        <w:rPr>
          <w:sz w:val="20"/>
        </w:rPr>
        <w:t>arriba.</w:t>
      </w:r>
    </w:p>
    <w:p>
      <w:pPr>
        <w:pStyle w:val="ListParagraph"/>
        <w:numPr>
          <w:ilvl w:val="0"/>
          <w:numId w:val="243"/>
        </w:numPr>
        <w:tabs>
          <w:tab w:pos="672" w:val="left" w:leader="none"/>
          <w:tab w:pos="673" w:val="left" w:leader="none"/>
        </w:tabs>
        <w:spacing w:line="240" w:lineRule="auto" w:before="60" w:after="0"/>
        <w:ind w:left="672" w:right="585" w:hanging="454"/>
        <w:jc w:val="left"/>
        <w:rPr>
          <w:sz w:val="20"/>
        </w:rPr>
      </w:pPr>
      <w:r>
        <w:rPr>
          <w:sz w:val="20"/>
        </w:rPr>
        <w:t>Para el cálculo de las UDs de aparatos sanitarios o equipos que no estén incluidos en la tabla 4.1, pueden utilizarse los valores que se indican en la tabla 4.2 en función del diámetro del tubo de desagüe:</w:t>
      </w:r>
    </w:p>
    <w:p>
      <w:pPr>
        <w:spacing w:before="60" w:after="3"/>
        <w:ind w:left="1181" w:right="1355" w:firstLine="0"/>
        <w:jc w:val="center"/>
        <w:rPr>
          <w:b/>
          <w:sz w:val="18"/>
        </w:rPr>
      </w:pPr>
      <w:r>
        <w:rPr>
          <w:b/>
          <w:sz w:val="18"/>
        </w:rPr>
        <w:t>Tabla 4.2 UDs de otros aparatos sanitarios y equipos</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4"/>
        <w:gridCol w:w="4234"/>
      </w:tblGrid>
      <w:tr>
        <w:trPr>
          <w:trHeight w:val="184" w:hRule="atLeast"/>
        </w:trPr>
        <w:tc>
          <w:tcPr>
            <w:tcW w:w="4674" w:type="dxa"/>
            <w:tcBorders>
              <w:top w:val="single" w:sz="4" w:space="0" w:color="000000"/>
              <w:bottom w:val="single" w:sz="4" w:space="0" w:color="000000"/>
              <w:right w:val="single" w:sz="4" w:space="0" w:color="000000"/>
            </w:tcBorders>
          </w:tcPr>
          <w:p>
            <w:pPr>
              <w:pStyle w:val="TableParagraph"/>
              <w:spacing w:line="164" w:lineRule="exact"/>
              <w:ind w:left="1273" w:right="1256"/>
              <w:rPr>
                <w:b/>
                <w:sz w:val="16"/>
              </w:rPr>
            </w:pPr>
            <w:r>
              <w:rPr>
                <w:b/>
                <w:sz w:val="16"/>
              </w:rPr>
              <w:t>Diámetro del desagüe (mm)</w:t>
            </w:r>
          </w:p>
        </w:tc>
        <w:tc>
          <w:tcPr>
            <w:tcW w:w="4234" w:type="dxa"/>
            <w:tcBorders>
              <w:top w:val="single" w:sz="4" w:space="0" w:color="000000"/>
              <w:left w:val="single" w:sz="4" w:space="0" w:color="000000"/>
              <w:bottom w:val="single" w:sz="4" w:space="0" w:color="000000"/>
            </w:tcBorders>
          </w:tcPr>
          <w:p>
            <w:pPr>
              <w:pStyle w:val="TableParagraph"/>
              <w:spacing w:line="164" w:lineRule="exact"/>
              <w:ind w:left="1132" w:right="1135"/>
              <w:rPr>
                <w:b/>
                <w:sz w:val="16"/>
              </w:rPr>
            </w:pPr>
            <w:r>
              <w:rPr>
                <w:b/>
                <w:sz w:val="16"/>
              </w:rPr>
              <w:t>Unidades de desagüe UD</w:t>
            </w:r>
          </w:p>
        </w:tc>
      </w:tr>
      <w:tr>
        <w:trPr>
          <w:trHeight w:val="183" w:hRule="atLeast"/>
        </w:trPr>
        <w:tc>
          <w:tcPr>
            <w:tcW w:w="4674" w:type="dxa"/>
            <w:tcBorders>
              <w:top w:val="single" w:sz="4" w:space="0" w:color="000000"/>
              <w:right w:val="single" w:sz="4" w:space="0" w:color="000000"/>
            </w:tcBorders>
          </w:tcPr>
          <w:p>
            <w:pPr>
              <w:pStyle w:val="TableParagraph"/>
              <w:spacing w:line="164" w:lineRule="exact"/>
              <w:ind w:left="1273" w:right="1255"/>
              <w:rPr>
                <w:sz w:val="16"/>
              </w:rPr>
            </w:pPr>
            <w:r>
              <w:rPr>
                <w:sz w:val="16"/>
              </w:rPr>
              <w:t>32</w:t>
            </w:r>
          </w:p>
        </w:tc>
        <w:tc>
          <w:tcPr>
            <w:tcW w:w="4234" w:type="dxa"/>
            <w:tcBorders>
              <w:top w:val="single" w:sz="4" w:space="0" w:color="000000"/>
              <w:left w:val="single" w:sz="4" w:space="0" w:color="000000"/>
            </w:tcBorders>
          </w:tcPr>
          <w:p>
            <w:pPr>
              <w:pStyle w:val="TableParagraph"/>
              <w:spacing w:line="164" w:lineRule="exact"/>
              <w:ind w:right="1"/>
              <w:rPr>
                <w:sz w:val="16"/>
              </w:rPr>
            </w:pPr>
            <w:r>
              <w:rPr>
                <w:w w:val="99"/>
                <w:sz w:val="16"/>
              </w:rPr>
              <w:t>1</w:t>
            </w:r>
          </w:p>
        </w:tc>
      </w:tr>
      <w:tr>
        <w:trPr>
          <w:trHeight w:val="184" w:hRule="atLeast"/>
        </w:trPr>
        <w:tc>
          <w:tcPr>
            <w:tcW w:w="4674" w:type="dxa"/>
            <w:tcBorders>
              <w:right w:val="single" w:sz="4" w:space="0" w:color="000000"/>
            </w:tcBorders>
          </w:tcPr>
          <w:p>
            <w:pPr>
              <w:pStyle w:val="TableParagraph"/>
              <w:spacing w:line="164" w:lineRule="exact"/>
              <w:ind w:left="1273" w:right="1255"/>
              <w:rPr>
                <w:sz w:val="16"/>
              </w:rPr>
            </w:pPr>
            <w:r>
              <w:rPr>
                <w:sz w:val="16"/>
              </w:rPr>
              <w:t>40</w:t>
            </w:r>
          </w:p>
        </w:tc>
        <w:tc>
          <w:tcPr>
            <w:tcW w:w="4234" w:type="dxa"/>
            <w:tcBorders>
              <w:left w:val="single" w:sz="4" w:space="0" w:color="000000"/>
            </w:tcBorders>
          </w:tcPr>
          <w:p>
            <w:pPr>
              <w:pStyle w:val="TableParagraph"/>
              <w:spacing w:line="164" w:lineRule="exact"/>
              <w:ind w:right="1"/>
              <w:rPr>
                <w:sz w:val="16"/>
              </w:rPr>
            </w:pPr>
            <w:r>
              <w:rPr>
                <w:w w:val="99"/>
                <w:sz w:val="16"/>
              </w:rPr>
              <w:t>2</w:t>
            </w:r>
          </w:p>
        </w:tc>
      </w:tr>
      <w:tr>
        <w:trPr>
          <w:trHeight w:val="184" w:hRule="atLeast"/>
        </w:trPr>
        <w:tc>
          <w:tcPr>
            <w:tcW w:w="4674" w:type="dxa"/>
            <w:tcBorders>
              <w:right w:val="single" w:sz="4" w:space="0" w:color="000000"/>
            </w:tcBorders>
          </w:tcPr>
          <w:p>
            <w:pPr>
              <w:pStyle w:val="TableParagraph"/>
              <w:spacing w:line="164" w:lineRule="exact"/>
              <w:ind w:left="1273" w:right="1255"/>
              <w:rPr>
                <w:sz w:val="16"/>
              </w:rPr>
            </w:pPr>
            <w:r>
              <w:rPr>
                <w:sz w:val="16"/>
              </w:rPr>
              <w:t>50</w:t>
            </w:r>
          </w:p>
        </w:tc>
        <w:tc>
          <w:tcPr>
            <w:tcW w:w="4234" w:type="dxa"/>
            <w:tcBorders>
              <w:left w:val="single" w:sz="4" w:space="0" w:color="000000"/>
            </w:tcBorders>
          </w:tcPr>
          <w:p>
            <w:pPr>
              <w:pStyle w:val="TableParagraph"/>
              <w:spacing w:line="164" w:lineRule="exact"/>
              <w:ind w:right="1"/>
              <w:rPr>
                <w:sz w:val="16"/>
              </w:rPr>
            </w:pPr>
            <w:r>
              <w:rPr>
                <w:w w:val="99"/>
                <w:sz w:val="16"/>
              </w:rPr>
              <w:t>3</w:t>
            </w:r>
          </w:p>
        </w:tc>
      </w:tr>
      <w:tr>
        <w:trPr>
          <w:trHeight w:val="183" w:hRule="atLeast"/>
        </w:trPr>
        <w:tc>
          <w:tcPr>
            <w:tcW w:w="4674" w:type="dxa"/>
            <w:tcBorders>
              <w:right w:val="single" w:sz="4" w:space="0" w:color="000000"/>
            </w:tcBorders>
          </w:tcPr>
          <w:p>
            <w:pPr>
              <w:pStyle w:val="TableParagraph"/>
              <w:spacing w:line="164" w:lineRule="exact"/>
              <w:ind w:left="1273" w:right="1255"/>
              <w:rPr>
                <w:sz w:val="16"/>
              </w:rPr>
            </w:pPr>
            <w:r>
              <w:rPr>
                <w:sz w:val="16"/>
              </w:rPr>
              <w:t>60</w:t>
            </w:r>
          </w:p>
        </w:tc>
        <w:tc>
          <w:tcPr>
            <w:tcW w:w="4234" w:type="dxa"/>
            <w:tcBorders>
              <w:left w:val="single" w:sz="4" w:space="0" w:color="000000"/>
            </w:tcBorders>
          </w:tcPr>
          <w:p>
            <w:pPr>
              <w:pStyle w:val="TableParagraph"/>
              <w:spacing w:line="164" w:lineRule="exact"/>
              <w:ind w:right="1"/>
              <w:rPr>
                <w:sz w:val="16"/>
              </w:rPr>
            </w:pPr>
            <w:r>
              <w:rPr>
                <w:w w:val="99"/>
                <w:sz w:val="16"/>
              </w:rPr>
              <w:t>4</w:t>
            </w:r>
          </w:p>
        </w:tc>
      </w:tr>
      <w:tr>
        <w:trPr>
          <w:trHeight w:val="184" w:hRule="atLeast"/>
        </w:trPr>
        <w:tc>
          <w:tcPr>
            <w:tcW w:w="4674" w:type="dxa"/>
            <w:tcBorders>
              <w:right w:val="single" w:sz="4" w:space="0" w:color="000000"/>
            </w:tcBorders>
          </w:tcPr>
          <w:p>
            <w:pPr>
              <w:pStyle w:val="TableParagraph"/>
              <w:spacing w:line="164" w:lineRule="exact"/>
              <w:ind w:left="1273" w:right="1255"/>
              <w:rPr>
                <w:sz w:val="16"/>
              </w:rPr>
            </w:pPr>
            <w:r>
              <w:rPr>
                <w:sz w:val="16"/>
              </w:rPr>
              <w:t>80</w:t>
            </w:r>
          </w:p>
        </w:tc>
        <w:tc>
          <w:tcPr>
            <w:tcW w:w="4234" w:type="dxa"/>
            <w:tcBorders>
              <w:left w:val="single" w:sz="4" w:space="0" w:color="000000"/>
            </w:tcBorders>
          </w:tcPr>
          <w:p>
            <w:pPr>
              <w:pStyle w:val="TableParagraph"/>
              <w:spacing w:line="164" w:lineRule="exact"/>
              <w:ind w:right="1"/>
              <w:rPr>
                <w:sz w:val="16"/>
              </w:rPr>
            </w:pPr>
            <w:r>
              <w:rPr>
                <w:w w:val="99"/>
                <w:sz w:val="16"/>
              </w:rPr>
              <w:t>5</w:t>
            </w:r>
          </w:p>
        </w:tc>
      </w:tr>
      <w:tr>
        <w:trPr>
          <w:trHeight w:val="183" w:hRule="atLeast"/>
        </w:trPr>
        <w:tc>
          <w:tcPr>
            <w:tcW w:w="4674" w:type="dxa"/>
            <w:tcBorders>
              <w:bottom w:val="single" w:sz="4" w:space="0" w:color="000000"/>
              <w:right w:val="single" w:sz="4" w:space="0" w:color="000000"/>
            </w:tcBorders>
          </w:tcPr>
          <w:p>
            <w:pPr>
              <w:pStyle w:val="TableParagraph"/>
              <w:spacing w:line="164" w:lineRule="exact"/>
              <w:ind w:left="1273" w:right="1255"/>
              <w:rPr>
                <w:sz w:val="16"/>
              </w:rPr>
            </w:pPr>
            <w:r>
              <w:rPr>
                <w:sz w:val="16"/>
              </w:rPr>
              <w:t>100</w:t>
            </w:r>
          </w:p>
        </w:tc>
        <w:tc>
          <w:tcPr>
            <w:tcW w:w="4234" w:type="dxa"/>
            <w:tcBorders>
              <w:left w:val="single" w:sz="4" w:space="0" w:color="000000"/>
              <w:bottom w:val="single" w:sz="4" w:space="0" w:color="000000"/>
            </w:tcBorders>
          </w:tcPr>
          <w:p>
            <w:pPr>
              <w:pStyle w:val="TableParagraph"/>
              <w:spacing w:line="164" w:lineRule="exact"/>
              <w:ind w:right="1"/>
              <w:rPr>
                <w:sz w:val="16"/>
              </w:rPr>
            </w:pPr>
            <w:r>
              <w:rPr>
                <w:w w:val="99"/>
                <w:sz w:val="16"/>
              </w:rPr>
              <w:t>6</w:t>
            </w:r>
          </w:p>
        </w:tc>
      </w:tr>
    </w:tbl>
    <w:p>
      <w:pPr>
        <w:pStyle w:val="BodyText"/>
        <w:spacing w:before="2"/>
        <w:rPr>
          <w:b/>
          <w:sz w:val="17"/>
        </w:rPr>
      </w:pPr>
    </w:p>
    <w:p>
      <w:pPr>
        <w:pStyle w:val="Heading5"/>
        <w:numPr>
          <w:ilvl w:val="3"/>
          <w:numId w:val="241"/>
        </w:numPr>
        <w:tabs>
          <w:tab w:pos="1352" w:val="left" w:leader="none"/>
          <w:tab w:pos="1353" w:val="left" w:leader="none"/>
        </w:tabs>
        <w:spacing w:line="240" w:lineRule="auto" w:before="0" w:after="0"/>
        <w:ind w:left="1352" w:right="0" w:hanging="1135"/>
        <w:jc w:val="left"/>
      </w:pPr>
      <w:r>
        <w:rPr/>
        <w:t>Botes sifónicos o sifones</w:t>
      </w:r>
      <w:r>
        <w:rPr>
          <w:spacing w:val="-2"/>
        </w:rPr>
        <w:t> </w:t>
      </w:r>
      <w:r>
        <w:rPr/>
        <w:t>individuales</w:t>
      </w:r>
    </w:p>
    <w:p>
      <w:pPr>
        <w:pStyle w:val="ListParagraph"/>
        <w:numPr>
          <w:ilvl w:val="0"/>
          <w:numId w:val="244"/>
        </w:numPr>
        <w:tabs>
          <w:tab w:pos="672" w:val="left" w:leader="none"/>
          <w:tab w:pos="673" w:val="left" w:leader="none"/>
        </w:tabs>
        <w:spacing w:line="240" w:lineRule="auto" w:before="79" w:after="0"/>
        <w:ind w:left="672" w:right="0" w:hanging="455"/>
        <w:jc w:val="left"/>
        <w:rPr>
          <w:sz w:val="20"/>
        </w:rPr>
      </w:pPr>
      <w:r>
        <w:rPr>
          <w:sz w:val="20"/>
        </w:rPr>
        <w:t>Los sifones individuales deben tener el mismo diámetro que la válvula de desagüe</w:t>
      </w:r>
      <w:r>
        <w:rPr>
          <w:spacing w:val="-5"/>
          <w:sz w:val="20"/>
        </w:rPr>
        <w:t> </w:t>
      </w:r>
      <w:r>
        <w:rPr>
          <w:sz w:val="20"/>
        </w:rPr>
        <w:t>conectada.</w:t>
      </w:r>
    </w:p>
    <w:p>
      <w:pPr>
        <w:pStyle w:val="ListParagraph"/>
        <w:numPr>
          <w:ilvl w:val="0"/>
          <w:numId w:val="244"/>
        </w:numPr>
        <w:tabs>
          <w:tab w:pos="672" w:val="left" w:leader="none"/>
          <w:tab w:pos="673" w:val="left" w:leader="none"/>
        </w:tabs>
        <w:spacing w:line="240" w:lineRule="auto" w:before="61" w:after="0"/>
        <w:ind w:left="672" w:right="597" w:hanging="454"/>
        <w:jc w:val="left"/>
        <w:rPr>
          <w:sz w:val="20"/>
        </w:rPr>
      </w:pPr>
      <w:r>
        <w:rPr>
          <w:sz w:val="20"/>
        </w:rPr>
        <w:t>Los botes sifónicos deben tener el número y tamaño de entradas adecuado y una altura suficiente para evitar que la descarga de un aparato sanitario alto salga por otro de menor</w:t>
      </w:r>
      <w:r>
        <w:rPr>
          <w:spacing w:val="-9"/>
          <w:sz w:val="20"/>
        </w:rPr>
        <w:t> </w:t>
      </w:r>
      <w:r>
        <w:rPr>
          <w:sz w:val="20"/>
        </w:rPr>
        <w:t>altura.</w:t>
      </w:r>
    </w:p>
    <w:p>
      <w:pPr>
        <w:pStyle w:val="BodyText"/>
        <w:spacing w:before="5"/>
        <w:rPr>
          <w:sz w:val="17"/>
        </w:rPr>
      </w:pPr>
    </w:p>
    <w:p>
      <w:pPr>
        <w:pStyle w:val="Heading5"/>
        <w:numPr>
          <w:ilvl w:val="3"/>
          <w:numId w:val="241"/>
        </w:numPr>
        <w:tabs>
          <w:tab w:pos="1352" w:val="left" w:leader="none"/>
          <w:tab w:pos="1353" w:val="left" w:leader="none"/>
        </w:tabs>
        <w:spacing w:line="240" w:lineRule="auto" w:before="0" w:after="0"/>
        <w:ind w:left="1352" w:right="0" w:hanging="1135"/>
        <w:jc w:val="left"/>
      </w:pPr>
      <w:r>
        <w:rPr/>
        <w:t>Ramales colectores</w:t>
      </w:r>
    </w:p>
    <w:p>
      <w:pPr>
        <w:pStyle w:val="BodyText"/>
        <w:tabs>
          <w:tab w:pos="672" w:val="left" w:leader="none"/>
        </w:tabs>
        <w:spacing w:before="79"/>
        <w:ind w:left="672" w:right="431" w:hanging="454"/>
      </w:pPr>
      <w:r>
        <w:rPr/>
        <w:t>1</w:t>
        <w:tab/>
        <w:t>En la tabla 4.3 se obtiene el diámetro de los ramales colectores entre aparatos sanitarios y la </w:t>
      </w:r>
      <w:r>
        <w:rPr>
          <w:i/>
        </w:rPr>
        <w:t>bajan- </w:t>
      </w:r>
      <w:r>
        <w:rPr>
          <w:i/>
        </w:rPr>
        <w:t>te </w:t>
      </w:r>
      <w:r>
        <w:rPr/>
        <w:t>según el número máximo de unidades de desagüe y la pendiente del ramal</w:t>
      </w:r>
      <w:r>
        <w:rPr>
          <w:spacing w:val="-9"/>
        </w:rPr>
        <w:t> </w:t>
      </w:r>
      <w:r>
        <w:rPr/>
        <w:t>colector.</w:t>
      </w:r>
    </w:p>
    <w:p>
      <w:pPr>
        <w:spacing w:after="0"/>
        <w:sectPr>
          <w:footerReference w:type="default" r:id="rId150"/>
          <w:pgSz w:w="11910" w:h="16840"/>
          <w:pgMar w:footer="642" w:header="714" w:top="1320" w:bottom="840" w:left="1200" w:right="740"/>
        </w:sectPr>
      </w:pPr>
    </w:p>
    <w:p>
      <w:pPr>
        <w:spacing w:before="91" w:after="3"/>
        <w:ind w:left="1182" w:right="1353" w:firstLine="0"/>
        <w:jc w:val="center"/>
        <w:rPr>
          <w:b/>
          <w:i/>
          <w:sz w:val="18"/>
        </w:rPr>
      </w:pPr>
      <w:r>
        <w:rPr>
          <w:b/>
          <w:sz w:val="18"/>
        </w:rPr>
        <w:t>Tabla 4.3 Diámetros de ramales colectores entre aparatos sanitarios y </w:t>
      </w:r>
      <w:r>
        <w:rPr>
          <w:b/>
          <w:i/>
          <w:sz w:val="18"/>
        </w:rPr>
        <w:t>bajante</w:t>
      </w:r>
    </w:p>
    <w:tbl>
      <w:tblPr>
        <w:tblW w:w="0" w:type="auto"/>
        <w:jc w:val="left"/>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1979"/>
        <w:gridCol w:w="1981"/>
        <w:gridCol w:w="2944"/>
      </w:tblGrid>
      <w:tr>
        <w:trPr>
          <w:trHeight w:val="184" w:hRule="atLeast"/>
        </w:trPr>
        <w:tc>
          <w:tcPr>
            <w:tcW w:w="5954" w:type="dxa"/>
            <w:gridSpan w:val="3"/>
            <w:tcBorders>
              <w:top w:val="single" w:sz="4" w:space="0" w:color="000000"/>
              <w:bottom w:val="single" w:sz="4" w:space="0" w:color="000000"/>
              <w:right w:val="single" w:sz="4" w:space="0" w:color="000000"/>
            </w:tcBorders>
          </w:tcPr>
          <w:p>
            <w:pPr>
              <w:pStyle w:val="TableParagraph"/>
              <w:spacing w:line="164" w:lineRule="exact"/>
              <w:ind w:left="2095" w:right="2079"/>
              <w:rPr>
                <w:b/>
                <w:sz w:val="16"/>
              </w:rPr>
            </w:pPr>
            <w:r>
              <w:rPr>
                <w:b/>
                <w:sz w:val="16"/>
              </w:rPr>
              <w:t>Máximo número de UD</w:t>
            </w:r>
          </w:p>
        </w:tc>
        <w:tc>
          <w:tcPr>
            <w:tcW w:w="2944" w:type="dxa"/>
            <w:vMerge w:val="restart"/>
            <w:tcBorders>
              <w:top w:val="single" w:sz="4" w:space="0" w:color="000000"/>
              <w:left w:val="single" w:sz="4" w:space="0" w:color="000000"/>
              <w:bottom w:val="single" w:sz="4" w:space="0" w:color="000000"/>
            </w:tcBorders>
          </w:tcPr>
          <w:p>
            <w:pPr>
              <w:pStyle w:val="TableParagraph"/>
              <w:spacing w:before="2"/>
              <w:jc w:val="left"/>
              <w:rPr>
                <w:b/>
                <w:i/>
                <w:sz w:val="16"/>
              </w:rPr>
            </w:pPr>
          </w:p>
          <w:p>
            <w:pPr>
              <w:pStyle w:val="TableParagraph"/>
              <w:spacing w:before="1"/>
              <w:ind w:left="903"/>
              <w:jc w:val="left"/>
              <w:rPr>
                <w:b/>
                <w:sz w:val="16"/>
              </w:rPr>
            </w:pPr>
            <w:r>
              <w:rPr>
                <w:b/>
                <w:sz w:val="16"/>
              </w:rPr>
              <w:t>Diámetro (mm)</w:t>
            </w:r>
          </w:p>
        </w:tc>
      </w:tr>
      <w:tr>
        <w:trPr>
          <w:trHeight w:val="178" w:hRule="atLeast"/>
        </w:trPr>
        <w:tc>
          <w:tcPr>
            <w:tcW w:w="1994" w:type="dxa"/>
            <w:tcBorders>
              <w:top w:val="single" w:sz="4" w:space="0" w:color="000000"/>
            </w:tcBorders>
          </w:tcPr>
          <w:p>
            <w:pPr>
              <w:pStyle w:val="TableParagraph"/>
              <w:jc w:val="left"/>
              <w:rPr>
                <w:rFonts w:ascii="Times New Roman"/>
                <w:sz w:val="12"/>
              </w:rPr>
            </w:pPr>
          </w:p>
        </w:tc>
        <w:tc>
          <w:tcPr>
            <w:tcW w:w="1979" w:type="dxa"/>
            <w:tcBorders>
              <w:top w:val="single" w:sz="4" w:space="0" w:color="000000"/>
            </w:tcBorders>
          </w:tcPr>
          <w:p>
            <w:pPr>
              <w:pStyle w:val="TableParagraph"/>
              <w:spacing w:line="159" w:lineRule="exact"/>
              <w:ind w:left="587" w:right="587"/>
              <w:rPr>
                <w:b/>
                <w:sz w:val="16"/>
              </w:rPr>
            </w:pPr>
            <w:r>
              <w:rPr>
                <w:b/>
                <w:sz w:val="16"/>
              </w:rPr>
              <w:t>Pendiente</w:t>
            </w:r>
          </w:p>
        </w:tc>
        <w:tc>
          <w:tcPr>
            <w:tcW w:w="1981" w:type="dxa"/>
            <w:tcBorders>
              <w:top w:val="single" w:sz="4" w:space="0" w:color="000000"/>
              <w:right w:val="single" w:sz="4" w:space="0" w:color="000000"/>
            </w:tcBorders>
          </w:tcPr>
          <w:p>
            <w:pPr>
              <w:pStyle w:val="TableParagraph"/>
              <w:jc w:val="left"/>
              <w:rPr>
                <w:rFonts w:ascii="Times New Roman"/>
                <w:sz w:val="12"/>
              </w:rPr>
            </w:pPr>
          </w:p>
        </w:tc>
        <w:tc>
          <w:tcPr>
            <w:tcW w:w="2944" w:type="dxa"/>
            <w:vMerge/>
            <w:tcBorders>
              <w:top w:val="nil"/>
              <w:left w:val="single" w:sz="4" w:space="0" w:color="000000"/>
              <w:bottom w:val="single" w:sz="4" w:space="0" w:color="000000"/>
            </w:tcBorders>
          </w:tcPr>
          <w:p>
            <w:pPr>
              <w:rPr>
                <w:sz w:val="2"/>
                <w:szCs w:val="2"/>
              </w:rPr>
            </w:pPr>
          </w:p>
        </w:tc>
      </w:tr>
      <w:tr>
        <w:trPr>
          <w:trHeight w:val="179" w:hRule="atLeast"/>
        </w:trPr>
        <w:tc>
          <w:tcPr>
            <w:tcW w:w="1994" w:type="dxa"/>
            <w:tcBorders>
              <w:bottom w:val="single" w:sz="4" w:space="0" w:color="000000"/>
            </w:tcBorders>
          </w:tcPr>
          <w:p>
            <w:pPr>
              <w:pStyle w:val="TableParagraph"/>
              <w:spacing w:line="159" w:lineRule="exact"/>
              <w:ind w:left="865"/>
              <w:jc w:val="left"/>
              <w:rPr>
                <w:b/>
                <w:sz w:val="16"/>
              </w:rPr>
            </w:pPr>
            <w:r>
              <w:rPr>
                <w:b/>
                <w:sz w:val="16"/>
              </w:rPr>
              <w:t>1 %</w:t>
            </w:r>
          </w:p>
        </w:tc>
        <w:tc>
          <w:tcPr>
            <w:tcW w:w="1979" w:type="dxa"/>
            <w:tcBorders>
              <w:bottom w:val="single" w:sz="4" w:space="0" w:color="000000"/>
            </w:tcBorders>
          </w:tcPr>
          <w:p>
            <w:pPr>
              <w:pStyle w:val="TableParagraph"/>
              <w:spacing w:line="159" w:lineRule="exact"/>
              <w:ind w:left="587" w:right="586"/>
              <w:rPr>
                <w:b/>
                <w:sz w:val="16"/>
              </w:rPr>
            </w:pPr>
            <w:r>
              <w:rPr>
                <w:b/>
                <w:sz w:val="16"/>
              </w:rPr>
              <w:t>2 %</w:t>
            </w:r>
          </w:p>
        </w:tc>
        <w:tc>
          <w:tcPr>
            <w:tcW w:w="1981" w:type="dxa"/>
            <w:tcBorders>
              <w:bottom w:val="single" w:sz="4" w:space="0" w:color="000000"/>
              <w:right w:val="single" w:sz="4" w:space="0" w:color="000000"/>
            </w:tcBorders>
          </w:tcPr>
          <w:p>
            <w:pPr>
              <w:pStyle w:val="TableParagraph"/>
              <w:spacing w:line="159" w:lineRule="exact"/>
              <w:ind w:right="844"/>
              <w:jc w:val="right"/>
              <w:rPr>
                <w:b/>
                <w:sz w:val="16"/>
              </w:rPr>
            </w:pPr>
            <w:r>
              <w:rPr>
                <w:b/>
                <w:sz w:val="16"/>
              </w:rPr>
              <w:t>4 %</w:t>
            </w:r>
          </w:p>
        </w:tc>
        <w:tc>
          <w:tcPr>
            <w:tcW w:w="2944" w:type="dxa"/>
            <w:vMerge/>
            <w:tcBorders>
              <w:top w:val="nil"/>
              <w:left w:val="single" w:sz="4" w:space="0" w:color="000000"/>
              <w:bottom w:val="single" w:sz="4" w:space="0" w:color="000000"/>
            </w:tcBorders>
          </w:tcPr>
          <w:p>
            <w:pPr>
              <w:rPr>
                <w:sz w:val="2"/>
                <w:szCs w:val="2"/>
              </w:rPr>
            </w:pPr>
          </w:p>
        </w:tc>
      </w:tr>
      <w:tr>
        <w:trPr>
          <w:trHeight w:val="183" w:hRule="atLeast"/>
        </w:trPr>
        <w:tc>
          <w:tcPr>
            <w:tcW w:w="1994" w:type="dxa"/>
            <w:tcBorders>
              <w:top w:val="single" w:sz="4" w:space="0" w:color="000000"/>
              <w:right w:val="single" w:sz="4" w:space="0" w:color="000000"/>
            </w:tcBorders>
          </w:tcPr>
          <w:p>
            <w:pPr>
              <w:pStyle w:val="TableParagraph"/>
              <w:spacing w:line="164" w:lineRule="exact"/>
              <w:ind w:left="17"/>
              <w:rPr>
                <w:sz w:val="16"/>
              </w:rPr>
            </w:pPr>
            <w:r>
              <w:rPr>
                <w:w w:val="99"/>
                <w:sz w:val="16"/>
              </w:rPr>
              <w:t>-</w:t>
            </w:r>
          </w:p>
        </w:tc>
        <w:tc>
          <w:tcPr>
            <w:tcW w:w="1979" w:type="dxa"/>
            <w:tcBorders>
              <w:top w:val="single" w:sz="4" w:space="0" w:color="000000"/>
              <w:left w:val="single" w:sz="4" w:space="0" w:color="000000"/>
              <w:right w:val="single" w:sz="4" w:space="0" w:color="000000"/>
            </w:tcBorders>
          </w:tcPr>
          <w:p>
            <w:pPr>
              <w:pStyle w:val="TableParagraph"/>
              <w:spacing w:line="164" w:lineRule="exact"/>
              <w:rPr>
                <w:sz w:val="16"/>
              </w:rPr>
            </w:pPr>
            <w:r>
              <w:rPr>
                <w:w w:val="99"/>
                <w:sz w:val="16"/>
              </w:rPr>
              <w:t>1</w:t>
            </w:r>
          </w:p>
        </w:tc>
        <w:tc>
          <w:tcPr>
            <w:tcW w:w="1981" w:type="dxa"/>
            <w:tcBorders>
              <w:top w:val="single" w:sz="4" w:space="0" w:color="000000"/>
              <w:left w:val="single" w:sz="4" w:space="0" w:color="000000"/>
              <w:right w:val="single" w:sz="4" w:space="0" w:color="000000"/>
            </w:tcBorders>
          </w:tcPr>
          <w:p>
            <w:pPr>
              <w:pStyle w:val="TableParagraph"/>
              <w:spacing w:line="164" w:lineRule="exact"/>
              <w:rPr>
                <w:sz w:val="16"/>
              </w:rPr>
            </w:pPr>
            <w:r>
              <w:rPr>
                <w:w w:val="99"/>
                <w:sz w:val="16"/>
              </w:rPr>
              <w:t>1</w:t>
            </w:r>
          </w:p>
        </w:tc>
        <w:tc>
          <w:tcPr>
            <w:tcW w:w="2944" w:type="dxa"/>
            <w:tcBorders>
              <w:top w:val="single" w:sz="4" w:space="0" w:color="000000"/>
              <w:left w:val="single" w:sz="4" w:space="0" w:color="000000"/>
            </w:tcBorders>
          </w:tcPr>
          <w:p>
            <w:pPr>
              <w:pStyle w:val="TableParagraph"/>
              <w:spacing w:line="164" w:lineRule="exact"/>
              <w:ind w:right="1380"/>
              <w:jc w:val="right"/>
              <w:rPr>
                <w:sz w:val="16"/>
              </w:rPr>
            </w:pPr>
            <w:r>
              <w:rPr>
                <w:w w:val="95"/>
                <w:sz w:val="16"/>
              </w:rPr>
              <w:t>32</w:t>
            </w:r>
          </w:p>
        </w:tc>
      </w:tr>
      <w:tr>
        <w:trPr>
          <w:trHeight w:val="184" w:hRule="atLeast"/>
        </w:trPr>
        <w:tc>
          <w:tcPr>
            <w:tcW w:w="1994" w:type="dxa"/>
            <w:tcBorders>
              <w:right w:val="single" w:sz="4" w:space="0" w:color="000000"/>
            </w:tcBorders>
          </w:tcPr>
          <w:p>
            <w:pPr>
              <w:pStyle w:val="TableParagraph"/>
              <w:spacing w:line="164" w:lineRule="exact"/>
              <w:ind w:left="17"/>
              <w:rPr>
                <w:sz w:val="16"/>
              </w:rPr>
            </w:pPr>
            <w:r>
              <w:rPr>
                <w:w w:val="99"/>
                <w:sz w:val="16"/>
              </w:rPr>
              <w:t>-</w:t>
            </w:r>
          </w:p>
        </w:tc>
        <w:tc>
          <w:tcPr>
            <w:tcW w:w="1979" w:type="dxa"/>
            <w:tcBorders>
              <w:left w:val="single" w:sz="4" w:space="0" w:color="000000"/>
              <w:right w:val="single" w:sz="4" w:space="0" w:color="000000"/>
            </w:tcBorders>
          </w:tcPr>
          <w:p>
            <w:pPr>
              <w:pStyle w:val="TableParagraph"/>
              <w:spacing w:line="164" w:lineRule="exact"/>
              <w:rPr>
                <w:sz w:val="16"/>
              </w:rPr>
            </w:pPr>
            <w:r>
              <w:rPr>
                <w:w w:val="99"/>
                <w:sz w:val="16"/>
              </w:rPr>
              <w:t>2</w:t>
            </w:r>
          </w:p>
        </w:tc>
        <w:tc>
          <w:tcPr>
            <w:tcW w:w="1981" w:type="dxa"/>
            <w:tcBorders>
              <w:left w:val="single" w:sz="4" w:space="0" w:color="000000"/>
              <w:right w:val="single" w:sz="4" w:space="0" w:color="000000"/>
            </w:tcBorders>
          </w:tcPr>
          <w:p>
            <w:pPr>
              <w:pStyle w:val="TableParagraph"/>
              <w:spacing w:line="164" w:lineRule="exact"/>
              <w:rPr>
                <w:sz w:val="16"/>
              </w:rPr>
            </w:pPr>
            <w:r>
              <w:rPr>
                <w:w w:val="99"/>
                <w:sz w:val="16"/>
              </w:rPr>
              <w:t>3</w:t>
            </w:r>
          </w:p>
        </w:tc>
        <w:tc>
          <w:tcPr>
            <w:tcW w:w="2944" w:type="dxa"/>
            <w:tcBorders>
              <w:left w:val="single" w:sz="4" w:space="0" w:color="000000"/>
            </w:tcBorders>
          </w:tcPr>
          <w:p>
            <w:pPr>
              <w:pStyle w:val="TableParagraph"/>
              <w:spacing w:line="164" w:lineRule="exact"/>
              <w:ind w:right="1380"/>
              <w:jc w:val="right"/>
              <w:rPr>
                <w:sz w:val="16"/>
              </w:rPr>
            </w:pPr>
            <w:r>
              <w:rPr>
                <w:w w:val="95"/>
                <w:sz w:val="16"/>
              </w:rPr>
              <w:t>40</w:t>
            </w:r>
          </w:p>
        </w:tc>
      </w:tr>
      <w:tr>
        <w:trPr>
          <w:trHeight w:val="184" w:hRule="atLeast"/>
        </w:trPr>
        <w:tc>
          <w:tcPr>
            <w:tcW w:w="1994" w:type="dxa"/>
            <w:tcBorders>
              <w:right w:val="single" w:sz="4" w:space="0" w:color="000000"/>
            </w:tcBorders>
          </w:tcPr>
          <w:p>
            <w:pPr>
              <w:pStyle w:val="TableParagraph"/>
              <w:spacing w:line="164" w:lineRule="exact"/>
              <w:ind w:left="17"/>
              <w:rPr>
                <w:sz w:val="16"/>
              </w:rPr>
            </w:pPr>
            <w:r>
              <w:rPr>
                <w:w w:val="99"/>
                <w:sz w:val="16"/>
              </w:rPr>
              <w:t>-</w:t>
            </w:r>
          </w:p>
        </w:tc>
        <w:tc>
          <w:tcPr>
            <w:tcW w:w="1979" w:type="dxa"/>
            <w:tcBorders>
              <w:left w:val="single" w:sz="4" w:space="0" w:color="000000"/>
              <w:right w:val="single" w:sz="4" w:space="0" w:color="000000"/>
            </w:tcBorders>
          </w:tcPr>
          <w:p>
            <w:pPr>
              <w:pStyle w:val="TableParagraph"/>
              <w:spacing w:line="164" w:lineRule="exact"/>
              <w:rPr>
                <w:sz w:val="16"/>
              </w:rPr>
            </w:pPr>
            <w:r>
              <w:rPr>
                <w:w w:val="99"/>
                <w:sz w:val="16"/>
              </w:rPr>
              <w:t>6</w:t>
            </w:r>
          </w:p>
        </w:tc>
        <w:tc>
          <w:tcPr>
            <w:tcW w:w="1981" w:type="dxa"/>
            <w:tcBorders>
              <w:left w:val="single" w:sz="4" w:space="0" w:color="000000"/>
              <w:right w:val="single" w:sz="4" w:space="0" w:color="000000"/>
            </w:tcBorders>
          </w:tcPr>
          <w:p>
            <w:pPr>
              <w:pStyle w:val="TableParagraph"/>
              <w:spacing w:line="164" w:lineRule="exact"/>
              <w:rPr>
                <w:sz w:val="16"/>
              </w:rPr>
            </w:pPr>
            <w:r>
              <w:rPr>
                <w:w w:val="99"/>
                <w:sz w:val="16"/>
              </w:rPr>
              <w:t>8</w:t>
            </w:r>
          </w:p>
        </w:tc>
        <w:tc>
          <w:tcPr>
            <w:tcW w:w="2944" w:type="dxa"/>
            <w:tcBorders>
              <w:left w:val="single" w:sz="4" w:space="0" w:color="000000"/>
            </w:tcBorders>
          </w:tcPr>
          <w:p>
            <w:pPr>
              <w:pStyle w:val="TableParagraph"/>
              <w:spacing w:line="164" w:lineRule="exact"/>
              <w:ind w:right="1380"/>
              <w:jc w:val="right"/>
              <w:rPr>
                <w:sz w:val="16"/>
              </w:rPr>
            </w:pPr>
            <w:r>
              <w:rPr>
                <w:w w:val="95"/>
                <w:sz w:val="16"/>
              </w:rPr>
              <w:t>50</w:t>
            </w:r>
          </w:p>
        </w:tc>
      </w:tr>
      <w:tr>
        <w:trPr>
          <w:trHeight w:val="183" w:hRule="atLeast"/>
        </w:trPr>
        <w:tc>
          <w:tcPr>
            <w:tcW w:w="1994" w:type="dxa"/>
            <w:tcBorders>
              <w:right w:val="single" w:sz="4" w:space="0" w:color="000000"/>
            </w:tcBorders>
          </w:tcPr>
          <w:p>
            <w:pPr>
              <w:pStyle w:val="TableParagraph"/>
              <w:spacing w:line="164" w:lineRule="exact"/>
              <w:ind w:left="17"/>
              <w:rPr>
                <w:sz w:val="16"/>
              </w:rPr>
            </w:pPr>
            <w:r>
              <w:rPr>
                <w:w w:val="99"/>
                <w:sz w:val="16"/>
              </w:rPr>
              <w:t>-</w:t>
            </w:r>
          </w:p>
        </w:tc>
        <w:tc>
          <w:tcPr>
            <w:tcW w:w="1979" w:type="dxa"/>
            <w:tcBorders>
              <w:left w:val="single" w:sz="4" w:space="0" w:color="000000"/>
              <w:right w:val="single" w:sz="4" w:space="0" w:color="000000"/>
            </w:tcBorders>
          </w:tcPr>
          <w:p>
            <w:pPr>
              <w:pStyle w:val="TableParagraph"/>
              <w:spacing w:line="164" w:lineRule="exact"/>
              <w:ind w:left="763" w:right="763"/>
              <w:rPr>
                <w:sz w:val="16"/>
              </w:rPr>
            </w:pPr>
            <w:r>
              <w:rPr>
                <w:sz w:val="16"/>
              </w:rPr>
              <w:t>11</w:t>
            </w:r>
          </w:p>
        </w:tc>
        <w:tc>
          <w:tcPr>
            <w:tcW w:w="1981" w:type="dxa"/>
            <w:tcBorders>
              <w:left w:val="single" w:sz="4" w:space="0" w:color="000000"/>
              <w:right w:val="single" w:sz="4" w:space="0" w:color="000000"/>
            </w:tcBorders>
          </w:tcPr>
          <w:p>
            <w:pPr>
              <w:pStyle w:val="TableParagraph"/>
              <w:spacing w:line="164" w:lineRule="exact"/>
              <w:ind w:left="876" w:right="876"/>
              <w:rPr>
                <w:sz w:val="16"/>
              </w:rPr>
            </w:pPr>
            <w:r>
              <w:rPr>
                <w:sz w:val="16"/>
              </w:rPr>
              <w:t>14</w:t>
            </w:r>
          </w:p>
        </w:tc>
        <w:tc>
          <w:tcPr>
            <w:tcW w:w="2944" w:type="dxa"/>
            <w:tcBorders>
              <w:left w:val="single" w:sz="4" w:space="0" w:color="000000"/>
            </w:tcBorders>
          </w:tcPr>
          <w:p>
            <w:pPr>
              <w:pStyle w:val="TableParagraph"/>
              <w:spacing w:line="164" w:lineRule="exact"/>
              <w:ind w:right="1380"/>
              <w:jc w:val="right"/>
              <w:rPr>
                <w:sz w:val="16"/>
              </w:rPr>
            </w:pPr>
            <w:r>
              <w:rPr>
                <w:w w:val="95"/>
                <w:sz w:val="16"/>
              </w:rPr>
              <w:t>63</w:t>
            </w:r>
          </w:p>
        </w:tc>
      </w:tr>
      <w:tr>
        <w:trPr>
          <w:trHeight w:val="184" w:hRule="atLeast"/>
        </w:trPr>
        <w:tc>
          <w:tcPr>
            <w:tcW w:w="1994" w:type="dxa"/>
            <w:tcBorders>
              <w:right w:val="single" w:sz="4" w:space="0" w:color="000000"/>
            </w:tcBorders>
          </w:tcPr>
          <w:p>
            <w:pPr>
              <w:pStyle w:val="TableParagraph"/>
              <w:spacing w:line="164" w:lineRule="exact"/>
              <w:ind w:left="17"/>
              <w:rPr>
                <w:sz w:val="16"/>
              </w:rPr>
            </w:pPr>
            <w:r>
              <w:rPr>
                <w:w w:val="99"/>
                <w:sz w:val="16"/>
              </w:rPr>
              <w:t>-</w:t>
            </w:r>
          </w:p>
        </w:tc>
        <w:tc>
          <w:tcPr>
            <w:tcW w:w="1979" w:type="dxa"/>
            <w:tcBorders>
              <w:left w:val="single" w:sz="4" w:space="0" w:color="000000"/>
              <w:right w:val="single" w:sz="4" w:space="0" w:color="000000"/>
            </w:tcBorders>
          </w:tcPr>
          <w:p>
            <w:pPr>
              <w:pStyle w:val="TableParagraph"/>
              <w:spacing w:line="164" w:lineRule="exact"/>
              <w:ind w:left="763" w:right="763"/>
              <w:rPr>
                <w:sz w:val="16"/>
              </w:rPr>
            </w:pPr>
            <w:r>
              <w:rPr>
                <w:sz w:val="16"/>
              </w:rPr>
              <w:t>21</w:t>
            </w:r>
          </w:p>
        </w:tc>
        <w:tc>
          <w:tcPr>
            <w:tcW w:w="1981" w:type="dxa"/>
            <w:tcBorders>
              <w:left w:val="single" w:sz="4" w:space="0" w:color="000000"/>
              <w:right w:val="single" w:sz="4" w:space="0" w:color="000000"/>
            </w:tcBorders>
          </w:tcPr>
          <w:p>
            <w:pPr>
              <w:pStyle w:val="TableParagraph"/>
              <w:spacing w:line="164" w:lineRule="exact"/>
              <w:ind w:left="876" w:right="876"/>
              <w:rPr>
                <w:sz w:val="16"/>
              </w:rPr>
            </w:pPr>
            <w:r>
              <w:rPr>
                <w:sz w:val="16"/>
              </w:rPr>
              <w:t>28</w:t>
            </w:r>
          </w:p>
        </w:tc>
        <w:tc>
          <w:tcPr>
            <w:tcW w:w="2944" w:type="dxa"/>
            <w:tcBorders>
              <w:left w:val="single" w:sz="4" w:space="0" w:color="000000"/>
            </w:tcBorders>
          </w:tcPr>
          <w:p>
            <w:pPr>
              <w:pStyle w:val="TableParagraph"/>
              <w:spacing w:line="164" w:lineRule="exact"/>
              <w:ind w:right="1380"/>
              <w:jc w:val="right"/>
              <w:rPr>
                <w:sz w:val="16"/>
              </w:rPr>
            </w:pPr>
            <w:r>
              <w:rPr>
                <w:w w:val="95"/>
                <w:sz w:val="16"/>
              </w:rPr>
              <w:t>75</w:t>
            </w:r>
          </w:p>
        </w:tc>
      </w:tr>
      <w:tr>
        <w:trPr>
          <w:trHeight w:val="184" w:hRule="atLeast"/>
        </w:trPr>
        <w:tc>
          <w:tcPr>
            <w:tcW w:w="1994" w:type="dxa"/>
            <w:tcBorders>
              <w:right w:val="single" w:sz="4" w:space="0" w:color="000000"/>
            </w:tcBorders>
          </w:tcPr>
          <w:p>
            <w:pPr>
              <w:pStyle w:val="TableParagraph"/>
              <w:spacing w:line="164" w:lineRule="exact"/>
              <w:ind w:left="914"/>
              <w:jc w:val="left"/>
              <w:rPr>
                <w:sz w:val="16"/>
              </w:rPr>
            </w:pPr>
            <w:r>
              <w:rPr>
                <w:sz w:val="16"/>
              </w:rPr>
              <w:t>47</w:t>
            </w:r>
          </w:p>
        </w:tc>
        <w:tc>
          <w:tcPr>
            <w:tcW w:w="1979" w:type="dxa"/>
            <w:tcBorders>
              <w:left w:val="single" w:sz="4" w:space="0" w:color="000000"/>
              <w:right w:val="single" w:sz="4" w:space="0" w:color="000000"/>
            </w:tcBorders>
          </w:tcPr>
          <w:p>
            <w:pPr>
              <w:pStyle w:val="TableParagraph"/>
              <w:spacing w:line="164" w:lineRule="exact"/>
              <w:ind w:left="763" w:right="763"/>
              <w:rPr>
                <w:sz w:val="16"/>
              </w:rPr>
            </w:pPr>
            <w:r>
              <w:rPr>
                <w:sz w:val="16"/>
              </w:rPr>
              <w:t>60</w:t>
            </w:r>
          </w:p>
        </w:tc>
        <w:tc>
          <w:tcPr>
            <w:tcW w:w="1981" w:type="dxa"/>
            <w:tcBorders>
              <w:left w:val="single" w:sz="4" w:space="0" w:color="000000"/>
              <w:right w:val="single" w:sz="4" w:space="0" w:color="000000"/>
            </w:tcBorders>
          </w:tcPr>
          <w:p>
            <w:pPr>
              <w:pStyle w:val="TableParagraph"/>
              <w:spacing w:line="164" w:lineRule="exact"/>
              <w:ind w:left="876" w:right="876"/>
              <w:rPr>
                <w:sz w:val="16"/>
              </w:rPr>
            </w:pPr>
            <w:r>
              <w:rPr>
                <w:sz w:val="16"/>
              </w:rPr>
              <w:t>75</w:t>
            </w:r>
          </w:p>
        </w:tc>
        <w:tc>
          <w:tcPr>
            <w:tcW w:w="2944" w:type="dxa"/>
            <w:tcBorders>
              <w:left w:val="single" w:sz="4" w:space="0" w:color="000000"/>
            </w:tcBorders>
          </w:tcPr>
          <w:p>
            <w:pPr>
              <w:pStyle w:val="TableParagraph"/>
              <w:spacing w:line="164" w:lineRule="exact"/>
              <w:ind w:right="1380"/>
              <w:jc w:val="right"/>
              <w:rPr>
                <w:sz w:val="16"/>
              </w:rPr>
            </w:pPr>
            <w:r>
              <w:rPr>
                <w:w w:val="95"/>
                <w:sz w:val="16"/>
              </w:rPr>
              <w:t>90</w:t>
            </w:r>
          </w:p>
        </w:tc>
      </w:tr>
      <w:tr>
        <w:trPr>
          <w:trHeight w:val="183" w:hRule="atLeast"/>
        </w:trPr>
        <w:tc>
          <w:tcPr>
            <w:tcW w:w="1994" w:type="dxa"/>
            <w:tcBorders>
              <w:right w:val="single" w:sz="4" w:space="0" w:color="000000"/>
            </w:tcBorders>
          </w:tcPr>
          <w:p>
            <w:pPr>
              <w:pStyle w:val="TableParagraph"/>
              <w:spacing w:line="164" w:lineRule="exact"/>
              <w:ind w:left="870"/>
              <w:jc w:val="left"/>
              <w:rPr>
                <w:sz w:val="16"/>
              </w:rPr>
            </w:pPr>
            <w:r>
              <w:rPr>
                <w:sz w:val="16"/>
              </w:rPr>
              <w:t>123</w:t>
            </w:r>
          </w:p>
        </w:tc>
        <w:tc>
          <w:tcPr>
            <w:tcW w:w="1979" w:type="dxa"/>
            <w:tcBorders>
              <w:left w:val="single" w:sz="4" w:space="0" w:color="000000"/>
              <w:right w:val="single" w:sz="4" w:space="0" w:color="000000"/>
            </w:tcBorders>
          </w:tcPr>
          <w:p>
            <w:pPr>
              <w:pStyle w:val="TableParagraph"/>
              <w:spacing w:line="164" w:lineRule="exact"/>
              <w:ind w:left="763" w:right="763"/>
              <w:rPr>
                <w:sz w:val="16"/>
              </w:rPr>
            </w:pPr>
            <w:r>
              <w:rPr>
                <w:sz w:val="16"/>
              </w:rPr>
              <w:t>151</w:t>
            </w:r>
          </w:p>
        </w:tc>
        <w:tc>
          <w:tcPr>
            <w:tcW w:w="1981" w:type="dxa"/>
            <w:tcBorders>
              <w:left w:val="single" w:sz="4" w:space="0" w:color="000000"/>
              <w:right w:val="single" w:sz="4" w:space="0" w:color="000000"/>
            </w:tcBorders>
          </w:tcPr>
          <w:p>
            <w:pPr>
              <w:pStyle w:val="TableParagraph"/>
              <w:spacing w:line="164" w:lineRule="exact"/>
              <w:ind w:right="850"/>
              <w:jc w:val="right"/>
              <w:rPr>
                <w:sz w:val="16"/>
              </w:rPr>
            </w:pPr>
            <w:r>
              <w:rPr>
                <w:w w:val="95"/>
                <w:sz w:val="16"/>
              </w:rPr>
              <w:t>181</w:t>
            </w:r>
          </w:p>
        </w:tc>
        <w:tc>
          <w:tcPr>
            <w:tcW w:w="2944" w:type="dxa"/>
            <w:tcBorders>
              <w:left w:val="single" w:sz="4" w:space="0" w:color="000000"/>
            </w:tcBorders>
          </w:tcPr>
          <w:p>
            <w:pPr>
              <w:pStyle w:val="TableParagraph"/>
              <w:spacing w:line="164" w:lineRule="exact"/>
              <w:ind w:right="1336"/>
              <w:jc w:val="right"/>
              <w:rPr>
                <w:sz w:val="16"/>
              </w:rPr>
            </w:pPr>
            <w:r>
              <w:rPr>
                <w:w w:val="95"/>
                <w:sz w:val="16"/>
              </w:rPr>
              <w:t>110</w:t>
            </w:r>
          </w:p>
        </w:tc>
      </w:tr>
      <w:tr>
        <w:trPr>
          <w:trHeight w:val="184" w:hRule="atLeast"/>
        </w:trPr>
        <w:tc>
          <w:tcPr>
            <w:tcW w:w="1994" w:type="dxa"/>
            <w:tcBorders>
              <w:right w:val="single" w:sz="4" w:space="0" w:color="000000"/>
            </w:tcBorders>
          </w:tcPr>
          <w:p>
            <w:pPr>
              <w:pStyle w:val="TableParagraph"/>
              <w:spacing w:line="164" w:lineRule="exact"/>
              <w:ind w:left="870"/>
              <w:jc w:val="left"/>
              <w:rPr>
                <w:sz w:val="16"/>
              </w:rPr>
            </w:pPr>
            <w:r>
              <w:rPr>
                <w:sz w:val="16"/>
              </w:rPr>
              <w:t>180</w:t>
            </w:r>
          </w:p>
        </w:tc>
        <w:tc>
          <w:tcPr>
            <w:tcW w:w="1979" w:type="dxa"/>
            <w:tcBorders>
              <w:left w:val="single" w:sz="4" w:space="0" w:color="000000"/>
              <w:right w:val="single" w:sz="4" w:space="0" w:color="000000"/>
            </w:tcBorders>
          </w:tcPr>
          <w:p>
            <w:pPr>
              <w:pStyle w:val="TableParagraph"/>
              <w:spacing w:line="164" w:lineRule="exact"/>
              <w:ind w:left="763" w:right="763"/>
              <w:rPr>
                <w:sz w:val="16"/>
              </w:rPr>
            </w:pPr>
            <w:r>
              <w:rPr>
                <w:sz w:val="16"/>
              </w:rPr>
              <w:t>234</w:t>
            </w:r>
          </w:p>
        </w:tc>
        <w:tc>
          <w:tcPr>
            <w:tcW w:w="1981" w:type="dxa"/>
            <w:tcBorders>
              <w:left w:val="single" w:sz="4" w:space="0" w:color="000000"/>
              <w:right w:val="single" w:sz="4" w:space="0" w:color="000000"/>
            </w:tcBorders>
          </w:tcPr>
          <w:p>
            <w:pPr>
              <w:pStyle w:val="TableParagraph"/>
              <w:spacing w:line="164" w:lineRule="exact"/>
              <w:ind w:right="850"/>
              <w:jc w:val="right"/>
              <w:rPr>
                <w:sz w:val="16"/>
              </w:rPr>
            </w:pPr>
            <w:r>
              <w:rPr>
                <w:w w:val="95"/>
                <w:sz w:val="16"/>
              </w:rPr>
              <w:t>280</w:t>
            </w:r>
          </w:p>
        </w:tc>
        <w:tc>
          <w:tcPr>
            <w:tcW w:w="2944" w:type="dxa"/>
            <w:tcBorders>
              <w:left w:val="single" w:sz="4" w:space="0" w:color="000000"/>
            </w:tcBorders>
          </w:tcPr>
          <w:p>
            <w:pPr>
              <w:pStyle w:val="TableParagraph"/>
              <w:spacing w:line="164" w:lineRule="exact"/>
              <w:ind w:right="1336"/>
              <w:jc w:val="right"/>
              <w:rPr>
                <w:sz w:val="16"/>
              </w:rPr>
            </w:pPr>
            <w:r>
              <w:rPr>
                <w:w w:val="95"/>
                <w:sz w:val="16"/>
              </w:rPr>
              <w:t>125</w:t>
            </w:r>
          </w:p>
        </w:tc>
      </w:tr>
      <w:tr>
        <w:trPr>
          <w:trHeight w:val="184" w:hRule="atLeast"/>
        </w:trPr>
        <w:tc>
          <w:tcPr>
            <w:tcW w:w="1994" w:type="dxa"/>
            <w:tcBorders>
              <w:right w:val="single" w:sz="4" w:space="0" w:color="000000"/>
            </w:tcBorders>
          </w:tcPr>
          <w:p>
            <w:pPr>
              <w:pStyle w:val="TableParagraph"/>
              <w:spacing w:line="164" w:lineRule="exact"/>
              <w:ind w:left="870"/>
              <w:jc w:val="left"/>
              <w:rPr>
                <w:sz w:val="16"/>
              </w:rPr>
            </w:pPr>
            <w:r>
              <w:rPr>
                <w:sz w:val="16"/>
              </w:rPr>
              <w:t>438</w:t>
            </w:r>
          </w:p>
        </w:tc>
        <w:tc>
          <w:tcPr>
            <w:tcW w:w="1979" w:type="dxa"/>
            <w:tcBorders>
              <w:left w:val="single" w:sz="4" w:space="0" w:color="000000"/>
              <w:right w:val="single" w:sz="4" w:space="0" w:color="000000"/>
            </w:tcBorders>
          </w:tcPr>
          <w:p>
            <w:pPr>
              <w:pStyle w:val="TableParagraph"/>
              <w:spacing w:line="164" w:lineRule="exact"/>
              <w:ind w:left="763" w:right="763"/>
              <w:rPr>
                <w:sz w:val="16"/>
              </w:rPr>
            </w:pPr>
            <w:r>
              <w:rPr>
                <w:sz w:val="16"/>
              </w:rPr>
              <w:t>582</w:t>
            </w:r>
          </w:p>
        </w:tc>
        <w:tc>
          <w:tcPr>
            <w:tcW w:w="1981" w:type="dxa"/>
            <w:tcBorders>
              <w:left w:val="single" w:sz="4" w:space="0" w:color="000000"/>
              <w:right w:val="single" w:sz="4" w:space="0" w:color="000000"/>
            </w:tcBorders>
          </w:tcPr>
          <w:p>
            <w:pPr>
              <w:pStyle w:val="TableParagraph"/>
              <w:spacing w:line="164" w:lineRule="exact"/>
              <w:ind w:right="850"/>
              <w:jc w:val="right"/>
              <w:rPr>
                <w:sz w:val="16"/>
              </w:rPr>
            </w:pPr>
            <w:r>
              <w:rPr>
                <w:w w:val="95"/>
                <w:sz w:val="16"/>
              </w:rPr>
              <w:t>800</w:t>
            </w:r>
          </w:p>
        </w:tc>
        <w:tc>
          <w:tcPr>
            <w:tcW w:w="2944" w:type="dxa"/>
            <w:tcBorders>
              <w:left w:val="single" w:sz="4" w:space="0" w:color="000000"/>
            </w:tcBorders>
          </w:tcPr>
          <w:p>
            <w:pPr>
              <w:pStyle w:val="TableParagraph"/>
              <w:spacing w:line="164" w:lineRule="exact"/>
              <w:ind w:right="1336"/>
              <w:jc w:val="right"/>
              <w:rPr>
                <w:sz w:val="16"/>
              </w:rPr>
            </w:pPr>
            <w:r>
              <w:rPr>
                <w:w w:val="95"/>
                <w:sz w:val="16"/>
              </w:rPr>
              <w:t>160</w:t>
            </w:r>
          </w:p>
        </w:tc>
      </w:tr>
      <w:tr>
        <w:trPr>
          <w:trHeight w:val="184" w:hRule="atLeast"/>
        </w:trPr>
        <w:tc>
          <w:tcPr>
            <w:tcW w:w="1994" w:type="dxa"/>
            <w:tcBorders>
              <w:bottom w:val="single" w:sz="4" w:space="0" w:color="000000"/>
              <w:right w:val="single" w:sz="4" w:space="0" w:color="000000"/>
            </w:tcBorders>
          </w:tcPr>
          <w:p>
            <w:pPr>
              <w:pStyle w:val="TableParagraph"/>
              <w:spacing w:line="164" w:lineRule="exact"/>
              <w:ind w:left="870"/>
              <w:jc w:val="left"/>
              <w:rPr>
                <w:sz w:val="16"/>
              </w:rPr>
            </w:pPr>
            <w:r>
              <w:rPr>
                <w:sz w:val="16"/>
              </w:rPr>
              <w:t>870</w:t>
            </w:r>
          </w:p>
        </w:tc>
        <w:tc>
          <w:tcPr>
            <w:tcW w:w="1979" w:type="dxa"/>
            <w:tcBorders>
              <w:left w:val="single" w:sz="4" w:space="0" w:color="000000"/>
              <w:bottom w:val="single" w:sz="4" w:space="0" w:color="000000"/>
              <w:right w:val="single" w:sz="4" w:space="0" w:color="000000"/>
            </w:tcBorders>
          </w:tcPr>
          <w:p>
            <w:pPr>
              <w:pStyle w:val="TableParagraph"/>
              <w:spacing w:line="164" w:lineRule="exact"/>
              <w:ind w:left="763" w:right="764"/>
              <w:rPr>
                <w:sz w:val="16"/>
              </w:rPr>
            </w:pPr>
            <w:r>
              <w:rPr>
                <w:sz w:val="16"/>
              </w:rPr>
              <w:t>1.150</w:t>
            </w:r>
          </w:p>
        </w:tc>
        <w:tc>
          <w:tcPr>
            <w:tcW w:w="1981" w:type="dxa"/>
            <w:tcBorders>
              <w:left w:val="single" w:sz="4" w:space="0" w:color="000000"/>
              <w:bottom w:val="single" w:sz="4" w:space="0" w:color="000000"/>
              <w:right w:val="single" w:sz="4" w:space="0" w:color="000000"/>
            </w:tcBorders>
          </w:tcPr>
          <w:p>
            <w:pPr>
              <w:pStyle w:val="TableParagraph"/>
              <w:spacing w:line="164" w:lineRule="exact"/>
              <w:ind w:right="784"/>
              <w:jc w:val="right"/>
              <w:rPr>
                <w:sz w:val="16"/>
              </w:rPr>
            </w:pPr>
            <w:r>
              <w:rPr>
                <w:w w:val="95"/>
                <w:sz w:val="16"/>
              </w:rPr>
              <w:t>1.680</w:t>
            </w:r>
          </w:p>
        </w:tc>
        <w:tc>
          <w:tcPr>
            <w:tcW w:w="2944" w:type="dxa"/>
            <w:tcBorders>
              <w:left w:val="single" w:sz="4" w:space="0" w:color="000000"/>
              <w:bottom w:val="single" w:sz="4" w:space="0" w:color="000000"/>
            </w:tcBorders>
          </w:tcPr>
          <w:p>
            <w:pPr>
              <w:pStyle w:val="TableParagraph"/>
              <w:spacing w:line="164" w:lineRule="exact"/>
              <w:ind w:right="1336"/>
              <w:jc w:val="right"/>
              <w:rPr>
                <w:sz w:val="16"/>
              </w:rPr>
            </w:pPr>
            <w:r>
              <w:rPr>
                <w:w w:val="95"/>
                <w:sz w:val="16"/>
              </w:rPr>
              <w:t>200</w:t>
            </w:r>
          </w:p>
        </w:tc>
      </w:tr>
    </w:tbl>
    <w:p>
      <w:pPr>
        <w:pStyle w:val="BodyText"/>
        <w:spacing w:before="3"/>
        <w:rPr>
          <w:b/>
          <w:i/>
          <w:sz w:val="17"/>
        </w:rPr>
      </w:pPr>
    </w:p>
    <w:p>
      <w:pPr>
        <w:pStyle w:val="Heading5"/>
        <w:numPr>
          <w:ilvl w:val="2"/>
          <w:numId w:val="241"/>
        </w:numPr>
        <w:tabs>
          <w:tab w:pos="787" w:val="left" w:leader="none"/>
        </w:tabs>
        <w:spacing w:line="240" w:lineRule="auto" w:before="0" w:after="0"/>
        <w:ind w:left="786" w:right="0" w:hanging="569"/>
        <w:jc w:val="left"/>
      </w:pPr>
      <w:r>
        <w:rPr/>
        <w:t>Bajantes de aguas</w:t>
      </w:r>
      <w:r>
        <w:rPr>
          <w:spacing w:val="-2"/>
        </w:rPr>
        <w:t> </w:t>
      </w:r>
      <w:r>
        <w:rPr/>
        <w:t>residuales</w:t>
      </w:r>
    </w:p>
    <w:p>
      <w:pPr>
        <w:pStyle w:val="ListParagraph"/>
        <w:numPr>
          <w:ilvl w:val="0"/>
          <w:numId w:val="245"/>
        </w:numPr>
        <w:tabs>
          <w:tab w:pos="672" w:val="left" w:leader="none"/>
          <w:tab w:pos="673" w:val="left" w:leader="none"/>
        </w:tabs>
        <w:spacing w:line="240" w:lineRule="auto" w:before="100" w:after="0"/>
        <w:ind w:left="672" w:right="396" w:hanging="454"/>
        <w:jc w:val="left"/>
        <w:rPr>
          <w:sz w:val="20"/>
        </w:rPr>
      </w:pPr>
      <w:r>
        <w:rPr>
          <w:sz w:val="20"/>
        </w:rPr>
        <w:t>El dimensionado de las </w:t>
      </w:r>
      <w:r>
        <w:rPr>
          <w:i/>
          <w:sz w:val="20"/>
        </w:rPr>
        <w:t>bajantes </w:t>
      </w:r>
      <w:r>
        <w:rPr>
          <w:sz w:val="20"/>
        </w:rPr>
        <w:t>debe realizarse de forma tal que no se rebase el límite de </w:t>
      </w:r>
      <w:r>
        <w:rPr>
          <w:rFonts w:ascii="Symbol" w:hAnsi="Symbol"/>
          <w:sz w:val="20"/>
        </w:rPr>
        <w:t></w:t>
      </w:r>
      <w:r>
        <w:rPr>
          <w:rFonts w:ascii="Times New Roman" w:hAnsi="Times New Roman"/>
          <w:sz w:val="20"/>
        </w:rPr>
        <w:t> </w:t>
      </w:r>
      <w:r>
        <w:rPr>
          <w:sz w:val="20"/>
        </w:rPr>
        <w:t>250 Pa de variación de presión y para un caudal tal que la superficie ocupada por el agua no sea mayor que 1/3 de la sección transversal de la</w:t>
      </w:r>
      <w:r>
        <w:rPr>
          <w:spacing w:val="-6"/>
          <w:sz w:val="20"/>
        </w:rPr>
        <w:t> </w:t>
      </w:r>
      <w:r>
        <w:rPr>
          <w:sz w:val="20"/>
        </w:rPr>
        <w:t>tubería.</w:t>
      </w:r>
    </w:p>
    <w:p>
      <w:pPr>
        <w:pStyle w:val="ListParagraph"/>
        <w:numPr>
          <w:ilvl w:val="0"/>
          <w:numId w:val="245"/>
        </w:numPr>
        <w:tabs>
          <w:tab w:pos="672" w:val="left" w:leader="none"/>
          <w:tab w:pos="673" w:val="left" w:leader="none"/>
        </w:tabs>
        <w:spacing w:line="240" w:lineRule="auto" w:before="58" w:after="0"/>
        <w:ind w:left="672" w:right="563" w:hanging="454"/>
        <w:jc w:val="left"/>
        <w:rPr>
          <w:sz w:val="20"/>
        </w:rPr>
      </w:pPr>
      <w:r>
        <w:rPr>
          <w:sz w:val="20"/>
        </w:rPr>
        <w:t>El diámetro de las </w:t>
      </w:r>
      <w:r>
        <w:rPr>
          <w:i/>
          <w:sz w:val="20"/>
        </w:rPr>
        <w:t>bajantes </w:t>
      </w:r>
      <w:r>
        <w:rPr>
          <w:sz w:val="20"/>
        </w:rPr>
        <w:t>se obtiene en la tabla 4.4 como el mayor de los valores obtenidos con- siderando el máximo número de UD en la </w:t>
      </w:r>
      <w:r>
        <w:rPr>
          <w:i/>
          <w:sz w:val="20"/>
        </w:rPr>
        <w:t>bajante </w:t>
      </w:r>
      <w:r>
        <w:rPr>
          <w:sz w:val="20"/>
        </w:rPr>
        <w:t>y el máximo número de UD en cada ramal en función del número de</w:t>
      </w:r>
      <w:r>
        <w:rPr>
          <w:spacing w:val="-1"/>
          <w:sz w:val="20"/>
        </w:rPr>
        <w:t> </w:t>
      </w:r>
      <w:r>
        <w:rPr>
          <w:sz w:val="20"/>
        </w:rPr>
        <w:t>plantas.</w:t>
      </w:r>
    </w:p>
    <w:p>
      <w:pPr>
        <w:spacing w:before="60" w:after="3"/>
        <w:ind w:left="919" w:right="0" w:firstLine="0"/>
        <w:jc w:val="left"/>
        <w:rPr>
          <w:b/>
          <w:sz w:val="18"/>
        </w:rPr>
      </w:pPr>
      <w:r>
        <w:rPr>
          <w:b/>
          <w:sz w:val="18"/>
        </w:rPr>
        <w:t>Tabla 4.4 Diámetro de las </w:t>
      </w:r>
      <w:r>
        <w:rPr>
          <w:b/>
          <w:i/>
          <w:sz w:val="18"/>
        </w:rPr>
        <w:t>bajantes </w:t>
      </w:r>
      <w:r>
        <w:rPr>
          <w:b/>
          <w:sz w:val="18"/>
        </w:rPr>
        <w:t>según el número de alturas del edificio y el número de UD</w:t>
      </w:r>
    </w:p>
    <w:tbl>
      <w:tblPr>
        <w:tblW w:w="0" w:type="auto"/>
        <w:jc w:val="left"/>
        <w:tblInd w:w="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2"/>
        <w:gridCol w:w="1768"/>
        <w:gridCol w:w="1768"/>
        <w:gridCol w:w="1768"/>
        <w:gridCol w:w="1864"/>
      </w:tblGrid>
      <w:tr>
        <w:trPr>
          <w:trHeight w:val="363" w:hRule="atLeast"/>
        </w:trPr>
        <w:tc>
          <w:tcPr>
            <w:tcW w:w="3550" w:type="dxa"/>
            <w:gridSpan w:val="2"/>
            <w:tcBorders>
              <w:top w:val="single" w:sz="4" w:space="0" w:color="000000"/>
              <w:right w:val="single" w:sz="4" w:space="0" w:color="000000"/>
            </w:tcBorders>
          </w:tcPr>
          <w:p>
            <w:pPr>
              <w:pStyle w:val="TableParagraph"/>
              <w:spacing w:line="182" w:lineRule="exact"/>
              <w:ind w:left="159" w:right="144"/>
              <w:rPr>
                <w:b/>
                <w:sz w:val="16"/>
              </w:rPr>
            </w:pPr>
            <w:r>
              <w:rPr>
                <w:b/>
                <w:sz w:val="16"/>
              </w:rPr>
              <w:t>Máximo número de UD, para una altura de</w:t>
            </w:r>
          </w:p>
          <w:p>
            <w:pPr>
              <w:pStyle w:val="TableParagraph"/>
              <w:spacing w:line="161" w:lineRule="exact"/>
              <w:ind w:left="159" w:right="144"/>
              <w:rPr>
                <w:b/>
                <w:sz w:val="16"/>
              </w:rPr>
            </w:pPr>
            <w:r>
              <w:rPr>
                <w:b/>
                <w:i/>
                <w:sz w:val="16"/>
              </w:rPr>
              <w:t>bajante </w:t>
            </w:r>
            <w:r>
              <w:rPr>
                <w:b/>
                <w:sz w:val="16"/>
              </w:rPr>
              <w:t>de:</w:t>
            </w:r>
          </w:p>
        </w:tc>
        <w:tc>
          <w:tcPr>
            <w:tcW w:w="3536" w:type="dxa"/>
            <w:gridSpan w:val="2"/>
            <w:tcBorders>
              <w:top w:val="single" w:sz="4" w:space="0" w:color="000000"/>
              <w:left w:val="single" w:sz="4" w:space="0" w:color="000000"/>
              <w:right w:val="single" w:sz="4" w:space="0" w:color="000000"/>
            </w:tcBorders>
          </w:tcPr>
          <w:p>
            <w:pPr>
              <w:pStyle w:val="TableParagraph"/>
              <w:spacing w:line="184" w:lineRule="exact" w:before="1"/>
              <w:ind w:left="819" w:hanging="694"/>
              <w:jc w:val="left"/>
              <w:rPr>
                <w:b/>
                <w:sz w:val="16"/>
              </w:rPr>
            </w:pPr>
            <w:r>
              <w:rPr>
                <w:b/>
                <w:sz w:val="16"/>
              </w:rPr>
              <w:t>Máximo número de UD, en cada ramal para una altura de </w:t>
            </w:r>
            <w:r>
              <w:rPr>
                <w:b/>
                <w:i/>
                <w:sz w:val="16"/>
              </w:rPr>
              <w:t>bajante </w:t>
            </w:r>
            <w:r>
              <w:rPr>
                <w:b/>
                <w:sz w:val="16"/>
              </w:rPr>
              <w:t>de:</w:t>
            </w:r>
          </w:p>
        </w:tc>
        <w:tc>
          <w:tcPr>
            <w:tcW w:w="1864" w:type="dxa"/>
            <w:vMerge w:val="restart"/>
            <w:tcBorders>
              <w:top w:val="single" w:sz="4" w:space="0" w:color="000000"/>
              <w:left w:val="single" w:sz="4" w:space="0" w:color="000000"/>
              <w:bottom w:val="single" w:sz="4" w:space="0" w:color="000000"/>
            </w:tcBorders>
          </w:tcPr>
          <w:p>
            <w:pPr>
              <w:pStyle w:val="TableParagraph"/>
              <w:spacing w:before="9"/>
              <w:jc w:val="left"/>
              <w:rPr>
                <w:b/>
                <w:sz w:val="15"/>
              </w:rPr>
            </w:pPr>
          </w:p>
          <w:p>
            <w:pPr>
              <w:pStyle w:val="TableParagraph"/>
              <w:ind w:left="361"/>
              <w:jc w:val="left"/>
              <w:rPr>
                <w:b/>
                <w:sz w:val="16"/>
              </w:rPr>
            </w:pPr>
            <w:r>
              <w:rPr>
                <w:b/>
                <w:sz w:val="16"/>
              </w:rPr>
              <w:t>Diámetro (mm)</w:t>
            </w:r>
          </w:p>
        </w:tc>
      </w:tr>
      <w:tr>
        <w:trPr>
          <w:trHeight w:val="174" w:hRule="atLeast"/>
        </w:trPr>
        <w:tc>
          <w:tcPr>
            <w:tcW w:w="1782" w:type="dxa"/>
            <w:tcBorders>
              <w:bottom w:val="single" w:sz="4" w:space="0" w:color="000000"/>
            </w:tcBorders>
          </w:tcPr>
          <w:p>
            <w:pPr>
              <w:pStyle w:val="TableParagraph"/>
              <w:spacing w:line="154" w:lineRule="exact"/>
              <w:ind w:left="289" w:right="278"/>
              <w:rPr>
                <w:b/>
                <w:sz w:val="16"/>
              </w:rPr>
            </w:pPr>
            <w:r>
              <w:rPr>
                <w:b/>
                <w:sz w:val="16"/>
              </w:rPr>
              <w:t>Hasta 3 plantas</w:t>
            </w:r>
          </w:p>
        </w:tc>
        <w:tc>
          <w:tcPr>
            <w:tcW w:w="1768" w:type="dxa"/>
            <w:tcBorders>
              <w:bottom w:val="single" w:sz="4" w:space="0" w:color="000000"/>
              <w:right w:val="single" w:sz="4" w:space="0" w:color="000000"/>
            </w:tcBorders>
          </w:tcPr>
          <w:p>
            <w:pPr>
              <w:pStyle w:val="TableParagraph"/>
              <w:spacing w:line="154" w:lineRule="exact"/>
              <w:ind w:left="222" w:right="218"/>
              <w:rPr>
                <w:b/>
                <w:sz w:val="16"/>
              </w:rPr>
            </w:pPr>
            <w:r>
              <w:rPr>
                <w:b/>
                <w:sz w:val="16"/>
              </w:rPr>
              <w:t>Más de 3 plantas</w:t>
            </w:r>
          </w:p>
        </w:tc>
        <w:tc>
          <w:tcPr>
            <w:tcW w:w="1768" w:type="dxa"/>
            <w:tcBorders>
              <w:left w:val="single" w:sz="4" w:space="0" w:color="000000"/>
              <w:bottom w:val="single" w:sz="4" w:space="0" w:color="000000"/>
            </w:tcBorders>
          </w:tcPr>
          <w:p>
            <w:pPr>
              <w:pStyle w:val="TableParagraph"/>
              <w:spacing w:line="154" w:lineRule="exact"/>
              <w:ind w:left="214" w:right="219"/>
              <w:rPr>
                <w:b/>
                <w:sz w:val="16"/>
              </w:rPr>
            </w:pPr>
            <w:r>
              <w:rPr>
                <w:b/>
                <w:sz w:val="16"/>
              </w:rPr>
              <w:t>Hasta 3 plantas</w:t>
            </w:r>
          </w:p>
        </w:tc>
        <w:tc>
          <w:tcPr>
            <w:tcW w:w="1768" w:type="dxa"/>
            <w:tcBorders>
              <w:bottom w:val="single" w:sz="4" w:space="0" w:color="000000"/>
              <w:right w:val="single" w:sz="4" w:space="0" w:color="000000"/>
            </w:tcBorders>
          </w:tcPr>
          <w:p>
            <w:pPr>
              <w:pStyle w:val="TableParagraph"/>
              <w:spacing w:line="154" w:lineRule="exact"/>
              <w:ind w:left="222" w:right="219"/>
              <w:rPr>
                <w:b/>
                <w:sz w:val="16"/>
              </w:rPr>
            </w:pPr>
            <w:r>
              <w:rPr>
                <w:b/>
                <w:sz w:val="16"/>
              </w:rPr>
              <w:t>Más de 3 plantas</w:t>
            </w:r>
          </w:p>
        </w:tc>
        <w:tc>
          <w:tcPr>
            <w:tcW w:w="1864" w:type="dxa"/>
            <w:vMerge/>
            <w:tcBorders>
              <w:top w:val="nil"/>
              <w:left w:val="single" w:sz="4" w:space="0" w:color="000000"/>
              <w:bottom w:val="single" w:sz="4" w:space="0" w:color="000000"/>
            </w:tcBorders>
          </w:tcPr>
          <w:p>
            <w:pPr>
              <w:rPr>
                <w:sz w:val="2"/>
                <w:szCs w:val="2"/>
              </w:rPr>
            </w:pPr>
          </w:p>
        </w:tc>
      </w:tr>
      <w:tr>
        <w:trPr>
          <w:trHeight w:val="183" w:hRule="atLeast"/>
        </w:trPr>
        <w:tc>
          <w:tcPr>
            <w:tcW w:w="1782" w:type="dxa"/>
            <w:tcBorders>
              <w:top w:val="single" w:sz="4" w:space="0" w:color="000000"/>
              <w:right w:val="single" w:sz="4" w:space="0" w:color="000000"/>
            </w:tcBorders>
          </w:tcPr>
          <w:p>
            <w:pPr>
              <w:pStyle w:val="TableParagraph"/>
              <w:spacing w:line="164" w:lineRule="exact"/>
              <w:ind w:left="676" w:right="658"/>
              <w:rPr>
                <w:sz w:val="16"/>
              </w:rPr>
            </w:pPr>
            <w:r>
              <w:rPr>
                <w:sz w:val="16"/>
              </w:rPr>
              <w:t>10</w:t>
            </w:r>
          </w:p>
        </w:tc>
        <w:tc>
          <w:tcPr>
            <w:tcW w:w="1768" w:type="dxa"/>
            <w:tcBorders>
              <w:top w:val="single" w:sz="4" w:space="0" w:color="000000"/>
              <w:left w:val="single" w:sz="4" w:space="0" w:color="000000"/>
              <w:right w:val="single" w:sz="4" w:space="0" w:color="000000"/>
            </w:tcBorders>
          </w:tcPr>
          <w:p>
            <w:pPr>
              <w:pStyle w:val="TableParagraph"/>
              <w:spacing w:line="164" w:lineRule="exact"/>
              <w:ind w:left="657" w:right="658"/>
              <w:rPr>
                <w:sz w:val="16"/>
              </w:rPr>
            </w:pPr>
            <w:r>
              <w:rPr>
                <w:sz w:val="16"/>
              </w:rPr>
              <w:t>25</w:t>
            </w:r>
          </w:p>
        </w:tc>
        <w:tc>
          <w:tcPr>
            <w:tcW w:w="1768" w:type="dxa"/>
            <w:tcBorders>
              <w:top w:val="single" w:sz="4" w:space="0" w:color="000000"/>
              <w:left w:val="single" w:sz="4" w:space="0" w:color="000000"/>
              <w:right w:val="single" w:sz="4" w:space="0" w:color="000000"/>
            </w:tcBorders>
          </w:tcPr>
          <w:p>
            <w:pPr>
              <w:pStyle w:val="TableParagraph"/>
              <w:spacing w:line="164" w:lineRule="exact"/>
              <w:ind w:right="1"/>
              <w:rPr>
                <w:sz w:val="16"/>
              </w:rPr>
            </w:pPr>
            <w:r>
              <w:rPr>
                <w:w w:val="99"/>
                <w:sz w:val="16"/>
              </w:rPr>
              <w:t>6</w:t>
            </w:r>
          </w:p>
        </w:tc>
        <w:tc>
          <w:tcPr>
            <w:tcW w:w="1768" w:type="dxa"/>
            <w:tcBorders>
              <w:top w:val="single" w:sz="4" w:space="0" w:color="000000"/>
              <w:left w:val="single" w:sz="4" w:space="0" w:color="000000"/>
              <w:right w:val="single" w:sz="4" w:space="0" w:color="000000"/>
            </w:tcBorders>
          </w:tcPr>
          <w:p>
            <w:pPr>
              <w:pStyle w:val="TableParagraph"/>
              <w:spacing w:line="164" w:lineRule="exact"/>
              <w:ind w:right="1"/>
              <w:rPr>
                <w:sz w:val="16"/>
              </w:rPr>
            </w:pPr>
            <w:r>
              <w:rPr>
                <w:w w:val="99"/>
                <w:sz w:val="16"/>
              </w:rPr>
              <w:t>6</w:t>
            </w:r>
          </w:p>
        </w:tc>
        <w:tc>
          <w:tcPr>
            <w:tcW w:w="1864" w:type="dxa"/>
            <w:tcBorders>
              <w:top w:val="single" w:sz="4" w:space="0" w:color="000000"/>
              <w:left w:val="single" w:sz="4" w:space="0" w:color="000000"/>
            </w:tcBorders>
          </w:tcPr>
          <w:p>
            <w:pPr>
              <w:pStyle w:val="TableParagraph"/>
              <w:spacing w:line="164" w:lineRule="exact"/>
              <w:ind w:left="773" w:right="778"/>
              <w:rPr>
                <w:sz w:val="16"/>
              </w:rPr>
            </w:pPr>
            <w:r>
              <w:rPr>
                <w:sz w:val="16"/>
              </w:rPr>
              <w:t>50</w:t>
            </w:r>
          </w:p>
        </w:tc>
      </w:tr>
      <w:tr>
        <w:trPr>
          <w:trHeight w:val="183" w:hRule="atLeast"/>
        </w:trPr>
        <w:tc>
          <w:tcPr>
            <w:tcW w:w="1782" w:type="dxa"/>
            <w:tcBorders>
              <w:right w:val="single" w:sz="4" w:space="0" w:color="000000"/>
            </w:tcBorders>
          </w:tcPr>
          <w:p>
            <w:pPr>
              <w:pStyle w:val="TableParagraph"/>
              <w:spacing w:line="164" w:lineRule="exact"/>
              <w:ind w:left="676" w:right="658"/>
              <w:rPr>
                <w:sz w:val="16"/>
              </w:rPr>
            </w:pPr>
            <w:r>
              <w:rPr>
                <w:sz w:val="16"/>
              </w:rPr>
              <w:t>19</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38</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11</w:t>
            </w:r>
          </w:p>
        </w:tc>
        <w:tc>
          <w:tcPr>
            <w:tcW w:w="1768" w:type="dxa"/>
            <w:tcBorders>
              <w:left w:val="single" w:sz="4" w:space="0" w:color="000000"/>
              <w:right w:val="single" w:sz="4" w:space="0" w:color="000000"/>
            </w:tcBorders>
          </w:tcPr>
          <w:p>
            <w:pPr>
              <w:pStyle w:val="TableParagraph"/>
              <w:spacing w:line="164" w:lineRule="exact"/>
              <w:ind w:right="1"/>
              <w:rPr>
                <w:sz w:val="16"/>
              </w:rPr>
            </w:pPr>
            <w:r>
              <w:rPr>
                <w:w w:val="99"/>
                <w:sz w:val="16"/>
              </w:rPr>
              <w:t>9</w:t>
            </w:r>
          </w:p>
        </w:tc>
        <w:tc>
          <w:tcPr>
            <w:tcW w:w="1864" w:type="dxa"/>
            <w:tcBorders>
              <w:left w:val="single" w:sz="4" w:space="0" w:color="000000"/>
            </w:tcBorders>
          </w:tcPr>
          <w:p>
            <w:pPr>
              <w:pStyle w:val="TableParagraph"/>
              <w:spacing w:line="164" w:lineRule="exact"/>
              <w:ind w:left="773" w:right="778"/>
              <w:rPr>
                <w:sz w:val="16"/>
              </w:rPr>
            </w:pPr>
            <w:r>
              <w:rPr>
                <w:sz w:val="16"/>
              </w:rPr>
              <w:t>63</w:t>
            </w:r>
          </w:p>
        </w:tc>
      </w:tr>
      <w:tr>
        <w:trPr>
          <w:trHeight w:val="184" w:hRule="atLeast"/>
        </w:trPr>
        <w:tc>
          <w:tcPr>
            <w:tcW w:w="1782" w:type="dxa"/>
            <w:tcBorders>
              <w:right w:val="single" w:sz="4" w:space="0" w:color="000000"/>
            </w:tcBorders>
          </w:tcPr>
          <w:p>
            <w:pPr>
              <w:pStyle w:val="TableParagraph"/>
              <w:spacing w:line="164" w:lineRule="exact"/>
              <w:ind w:left="676" w:right="658"/>
              <w:rPr>
                <w:sz w:val="16"/>
              </w:rPr>
            </w:pPr>
            <w:r>
              <w:rPr>
                <w:sz w:val="16"/>
              </w:rPr>
              <w:t>27</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53</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21</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13</w:t>
            </w:r>
          </w:p>
        </w:tc>
        <w:tc>
          <w:tcPr>
            <w:tcW w:w="1864" w:type="dxa"/>
            <w:tcBorders>
              <w:left w:val="single" w:sz="4" w:space="0" w:color="000000"/>
            </w:tcBorders>
          </w:tcPr>
          <w:p>
            <w:pPr>
              <w:pStyle w:val="TableParagraph"/>
              <w:spacing w:line="164" w:lineRule="exact"/>
              <w:ind w:left="773" w:right="778"/>
              <w:rPr>
                <w:sz w:val="16"/>
              </w:rPr>
            </w:pPr>
            <w:r>
              <w:rPr>
                <w:sz w:val="16"/>
              </w:rPr>
              <w:t>75</w:t>
            </w:r>
          </w:p>
        </w:tc>
      </w:tr>
      <w:tr>
        <w:trPr>
          <w:trHeight w:val="184" w:hRule="atLeast"/>
        </w:trPr>
        <w:tc>
          <w:tcPr>
            <w:tcW w:w="1782" w:type="dxa"/>
            <w:tcBorders>
              <w:right w:val="single" w:sz="4" w:space="0" w:color="000000"/>
            </w:tcBorders>
          </w:tcPr>
          <w:p>
            <w:pPr>
              <w:pStyle w:val="TableParagraph"/>
              <w:spacing w:line="164" w:lineRule="exact"/>
              <w:ind w:left="676" w:right="658"/>
              <w:rPr>
                <w:sz w:val="16"/>
              </w:rPr>
            </w:pPr>
            <w:r>
              <w:rPr>
                <w:sz w:val="16"/>
              </w:rPr>
              <w:t>135</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280</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70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53</w:t>
            </w:r>
          </w:p>
        </w:tc>
        <w:tc>
          <w:tcPr>
            <w:tcW w:w="1864" w:type="dxa"/>
            <w:tcBorders>
              <w:left w:val="single" w:sz="4" w:space="0" w:color="000000"/>
            </w:tcBorders>
          </w:tcPr>
          <w:p>
            <w:pPr>
              <w:pStyle w:val="TableParagraph"/>
              <w:spacing w:line="164" w:lineRule="exact"/>
              <w:ind w:left="773" w:right="778"/>
              <w:rPr>
                <w:sz w:val="16"/>
              </w:rPr>
            </w:pPr>
            <w:r>
              <w:rPr>
                <w:sz w:val="16"/>
              </w:rPr>
              <w:t>90</w:t>
            </w:r>
          </w:p>
        </w:tc>
      </w:tr>
      <w:tr>
        <w:trPr>
          <w:trHeight w:val="183" w:hRule="atLeast"/>
        </w:trPr>
        <w:tc>
          <w:tcPr>
            <w:tcW w:w="1782" w:type="dxa"/>
            <w:tcBorders>
              <w:right w:val="single" w:sz="4" w:space="0" w:color="000000"/>
            </w:tcBorders>
          </w:tcPr>
          <w:p>
            <w:pPr>
              <w:pStyle w:val="TableParagraph"/>
              <w:spacing w:line="164" w:lineRule="exact"/>
              <w:ind w:left="676" w:right="658"/>
              <w:rPr>
                <w:sz w:val="16"/>
              </w:rPr>
            </w:pPr>
            <w:r>
              <w:rPr>
                <w:sz w:val="16"/>
              </w:rPr>
              <w:t>360</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740</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181</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134</w:t>
            </w:r>
          </w:p>
        </w:tc>
        <w:tc>
          <w:tcPr>
            <w:tcW w:w="1864" w:type="dxa"/>
            <w:tcBorders>
              <w:left w:val="single" w:sz="4" w:space="0" w:color="000000"/>
            </w:tcBorders>
          </w:tcPr>
          <w:p>
            <w:pPr>
              <w:pStyle w:val="TableParagraph"/>
              <w:spacing w:line="164" w:lineRule="exact"/>
              <w:ind w:left="773" w:right="778"/>
              <w:rPr>
                <w:sz w:val="16"/>
              </w:rPr>
            </w:pPr>
            <w:r>
              <w:rPr>
                <w:sz w:val="16"/>
              </w:rPr>
              <w:t>110</w:t>
            </w:r>
          </w:p>
        </w:tc>
      </w:tr>
      <w:tr>
        <w:trPr>
          <w:trHeight w:val="184" w:hRule="atLeast"/>
        </w:trPr>
        <w:tc>
          <w:tcPr>
            <w:tcW w:w="1782" w:type="dxa"/>
            <w:tcBorders>
              <w:right w:val="single" w:sz="4" w:space="0" w:color="000000"/>
            </w:tcBorders>
          </w:tcPr>
          <w:p>
            <w:pPr>
              <w:pStyle w:val="TableParagraph"/>
              <w:spacing w:line="164" w:lineRule="exact"/>
              <w:ind w:left="676" w:right="658"/>
              <w:rPr>
                <w:sz w:val="16"/>
              </w:rPr>
            </w:pPr>
            <w:r>
              <w:rPr>
                <w:sz w:val="16"/>
              </w:rPr>
              <w:t>540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1.100</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280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200</w:t>
            </w:r>
          </w:p>
        </w:tc>
        <w:tc>
          <w:tcPr>
            <w:tcW w:w="1864" w:type="dxa"/>
            <w:tcBorders>
              <w:left w:val="single" w:sz="4" w:space="0" w:color="000000"/>
            </w:tcBorders>
          </w:tcPr>
          <w:p>
            <w:pPr>
              <w:pStyle w:val="TableParagraph"/>
              <w:spacing w:line="164" w:lineRule="exact"/>
              <w:ind w:left="773" w:right="778"/>
              <w:rPr>
                <w:sz w:val="16"/>
              </w:rPr>
            </w:pPr>
            <w:r>
              <w:rPr>
                <w:sz w:val="16"/>
              </w:rPr>
              <w:t>125</w:t>
            </w:r>
          </w:p>
        </w:tc>
      </w:tr>
      <w:tr>
        <w:trPr>
          <w:trHeight w:val="184" w:hRule="atLeast"/>
        </w:trPr>
        <w:tc>
          <w:tcPr>
            <w:tcW w:w="1782" w:type="dxa"/>
            <w:tcBorders>
              <w:right w:val="single" w:sz="4" w:space="0" w:color="000000"/>
            </w:tcBorders>
          </w:tcPr>
          <w:p>
            <w:pPr>
              <w:pStyle w:val="TableParagraph"/>
              <w:spacing w:line="164" w:lineRule="exact"/>
              <w:ind w:left="676" w:right="659"/>
              <w:rPr>
                <w:sz w:val="16"/>
              </w:rPr>
            </w:pPr>
            <w:r>
              <w:rPr>
                <w:sz w:val="16"/>
              </w:rPr>
              <w:t>1.208</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2.240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1.120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400</w:t>
            </w:r>
          </w:p>
        </w:tc>
        <w:tc>
          <w:tcPr>
            <w:tcW w:w="1864" w:type="dxa"/>
            <w:tcBorders>
              <w:left w:val="single" w:sz="4" w:space="0" w:color="000000"/>
            </w:tcBorders>
          </w:tcPr>
          <w:p>
            <w:pPr>
              <w:pStyle w:val="TableParagraph"/>
              <w:spacing w:line="164" w:lineRule="exact"/>
              <w:ind w:left="773" w:right="778"/>
              <w:rPr>
                <w:sz w:val="16"/>
              </w:rPr>
            </w:pPr>
            <w:r>
              <w:rPr>
                <w:sz w:val="16"/>
              </w:rPr>
              <w:t>160</w:t>
            </w:r>
          </w:p>
        </w:tc>
      </w:tr>
      <w:tr>
        <w:trPr>
          <w:trHeight w:val="183" w:hRule="atLeast"/>
        </w:trPr>
        <w:tc>
          <w:tcPr>
            <w:tcW w:w="1782" w:type="dxa"/>
            <w:tcBorders>
              <w:right w:val="single" w:sz="4" w:space="0" w:color="000000"/>
            </w:tcBorders>
          </w:tcPr>
          <w:p>
            <w:pPr>
              <w:pStyle w:val="TableParagraph"/>
              <w:spacing w:line="164" w:lineRule="exact"/>
              <w:ind w:left="676" w:right="659"/>
              <w:rPr>
                <w:sz w:val="16"/>
              </w:rPr>
            </w:pPr>
            <w:r>
              <w:rPr>
                <w:sz w:val="16"/>
              </w:rPr>
              <w:t>2.200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3.600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1.680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600</w:t>
            </w:r>
          </w:p>
        </w:tc>
        <w:tc>
          <w:tcPr>
            <w:tcW w:w="1864" w:type="dxa"/>
            <w:tcBorders>
              <w:left w:val="single" w:sz="4" w:space="0" w:color="000000"/>
            </w:tcBorders>
          </w:tcPr>
          <w:p>
            <w:pPr>
              <w:pStyle w:val="TableParagraph"/>
              <w:spacing w:line="164" w:lineRule="exact"/>
              <w:ind w:left="773" w:right="778"/>
              <w:rPr>
                <w:sz w:val="16"/>
              </w:rPr>
            </w:pPr>
            <w:r>
              <w:rPr>
                <w:sz w:val="16"/>
              </w:rPr>
              <w:t>200</w:t>
            </w:r>
          </w:p>
        </w:tc>
      </w:tr>
      <w:tr>
        <w:trPr>
          <w:trHeight w:val="184" w:hRule="atLeast"/>
        </w:trPr>
        <w:tc>
          <w:tcPr>
            <w:tcW w:w="1782" w:type="dxa"/>
            <w:tcBorders>
              <w:right w:val="single" w:sz="4" w:space="0" w:color="000000"/>
            </w:tcBorders>
          </w:tcPr>
          <w:p>
            <w:pPr>
              <w:pStyle w:val="TableParagraph"/>
              <w:spacing w:line="164" w:lineRule="exact"/>
              <w:ind w:left="676" w:right="659"/>
              <w:rPr>
                <w:sz w:val="16"/>
              </w:rPr>
            </w:pPr>
            <w:r>
              <w:rPr>
                <w:sz w:val="16"/>
              </w:rPr>
              <w:t>3.800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5.600</w:t>
            </w:r>
          </w:p>
        </w:tc>
        <w:tc>
          <w:tcPr>
            <w:tcW w:w="1768" w:type="dxa"/>
            <w:tcBorders>
              <w:left w:val="single" w:sz="4" w:space="0" w:color="000000"/>
              <w:right w:val="single" w:sz="4" w:space="0" w:color="000000"/>
            </w:tcBorders>
          </w:tcPr>
          <w:p>
            <w:pPr>
              <w:pStyle w:val="TableParagraph"/>
              <w:spacing w:line="164" w:lineRule="exact"/>
              <w:ind w:left="658" w:right="658"/>
              <w:rPr>
                <w:sz w:val="16"/>
              </w:rPr>
            </w:pPr>
            <w:r>
              <w:rPr>
                <w:sz w:val="16"/>
              </w:rPr>
              <w:t>2.500</w:t>
            </w:r>
          </w:p>
        </w:tc>
        <w:tc>
          <w:tcPr>
            <w:tcW w:w="1768" w:type="dxa"/>
            <w:tcBorders>
              <w:left w:val="single" w:sz="4" w:space="0" w:color="000000"/>
              <w:right w:val="single" w:sz="4" w:space="0" w:color="000000"/>
            </w:tcBorders>
          </w:tcPr>
          <w:p>
            <w:pPr>
              <w:pStyle w:val="TableParagraph"/>
              <w:spacing w:line="164" w:lineRule="exact"/>
              <w:ind w:left="657" w:right="658"/>
              <w:rPr>
                <w:sz w:val="16"/>
              </w:rPr>
            </w:pPr>
            <w:r>
              <w:rPr>
                <w:sz w:val="16"/>
              </w:rPr>
              <w:t>1.000</w:t>
            </w:r>
          </w:p>
        </w:tc>
        <w:tc>
          <w:tcPr>
            <w:tcW w:w="1864" w:type="dxa"/>
            <w:tcBorders>
              <w:left w:val="single" w:sz="4" w:space="0" w:color="000000"/>
            </w:tcBorders>
          </w:tcPr>
          <w:p>
            <w:pPr>
              <w:pStyle w:val="TableParagraph"/>
              <w:spacing w:line="164" w:lineRule="exact"/>
              <w:ind w:left="773" w:right="778"/>
              <w:rPr>
                <w:sz w:val="16"/>
              </w:rPr>
            </w:pPr>
            <w:r>
              <w:rPr>
                <w:sz w:val="16"/>
              </w:rPr>
              <w:t>250</w:t>
            </w:r>
          </w:p>
        </w:tc>
      </w:tr>
      <w:tr>
        <w:trPr>
          <w:trHeight w:val="183" w:hRule="atLeast"/>
        </w:trPr>
        <w:tc>
          <w:tcPr>
            <w:tcW w:w="1782" w:type="dxa"/>
            <w:tcBorders>
              <w:bottom w:val="single" w:sz="4" w:space="0" w:color="000000"/>
              <w:right w:val="single" w:sz="4" w:space="0" w:color="000000"/>
            </w:tcBorders>
          </w:tcPr>
          <w:p>
            <w:pPr>
              <w:pStyle w:val="TableParagraph"/>
              <w:spacing w:line="164" w:lineRule="exact"/>
              <w:ind w:left="676" w:right="659"/>
              <w:rPr>
                <w:sz w:val="16"/>
              </w:rPr>
            </w:pPr>
            <w:r>
              <w:rPr>
                <w:sz w:val="16"/>
              </w:rPr>
              <w:t>6.000</w:t>
            </w:r>
          </w:p>
        </w:tc>
        <w:tc>
          <w:tcPr>
            <w:tcW w:w="1768" w:type="dxa"/>
            <w:tcBorders>
              <w:left w:val="single" w:sz="4" w:space="0" w:color="000000"/>
              <w:bottom w:val="single" w:sz="4" w:space="0" w:color="000000"/>
              <w:right w:val="single" w:sz="4" w:space="0" w:color="000000"/>
            </w:tcBorders>
          </w:tcPr>
          <w:p>
            <w:pPr>
              <w:pStyle w:val="TableParagraph"/>
              <w:spacing w:line="164" w:lineRule="exact"/>
              <w:ind w:left="658" w:right="658"/>
              <w:rPr>
                <w:sz w:val="16"/>
              </w:rPr>
            </w:pPr>
            <w:r>
              <w:rPr>
                <w:sz w:val="16"/>
              </w:rPr>
              <w:t>9.240</w:t>
            </w:r>
          </w:p>
        </w:tc>
        <w:tc>
          <w:tcPr>
            <w:tcW w:w="1768" w:type="dxa"/>
            <w:tcBorders>
              <w:left w:val="single" w:sz="4" w:space="0" w:color="000000"/>
              <w:bottom w:val="single" w:sz="4" w:space="0" w:color="000000"/>
              <w:right w:val="single" w:sz="4" w:space="0" w:color="000000"/>
            </w:tcBorders>
          </w:tcPr>
          <w:p>
            <w:pPr>
              <w:pStyle w:val="TableParagraph"/>
              <w:spacing w:line="164" w:lineRule="exact"/>
              <w:ind w:left="658" w:right="658"/>
              <w:rPr>
                <w:sz w:val="16"/>
              </w:rPr>
            </w:pPr>
            <w:r>
              <w:rPr>
                <w:sz w:val="16"/>
              </w:rPr>
              <w:t>4.320</w:t>
            </w:r>
          </w:p>
        </w:tc>
        <w:tc>
          <w:tcPr>
            <w:tcW w:w="1768" w:type="dxa"/>
            <w:tcBorders>
              <w:left w:val="single" w:sz="4" w:space="0" w:color="000000"/>
              <w:bottom w:val="single" w:sz="4" w:space="0" w:color="000000"/>
              <w:right w:val="single" w:sz="4" w:space="0" w:color="000000"/>
            </w:tcBorders>
          </w:tcPr>
          <w:p>
            <w:pPr>
              <w:pStyle w:val="TableParagraph"/>
              <w:spacing w:line="164" w:lineRule="exact"/>
              <w:ind w:left="657" w:right="658"/>
              <w:rPr>
                <w:sz w:val="16"/>
              </w:rPr>
            </w:pPr>
            <w:r>
              <w:rPr>
                <w:sz w:val="16"/>
              </w:rPr>
              <w:t>1.650</w:t>
            </w:r>
          </w:p>
        </w:tc>
        <w:tc>
          <w:tcPr>
            <w:tcW w:w="1864" w:type="dxa"/>
            <w:tcBorders>
              <w:left w:val="single" w:sz="4" w:space="0" w:color="000000"/>
              <w:bottom w:val="single" w:sz="4" w:space="0" w:color="000000"/>
            </w:tcBorders>
          </w:tcPr>
          <w:p>
            <w:pPr>
              <w:pStyle w:val="TableParagraph"/>
              <w:spacing w:line="164" w:lineRule="exact"/>
              <w:ind w:left="773" w:right="778"/>
              <w:rPr>
                <w:sz w:val="16"/>
              </w:rPr>
            </w:pPr>
            <w:r>
              <w:rPr>
                <w:sz w:val="16"/>
              </w:rPr>
              <w:t>315</w:t>
            </w:r>
          </w:p>
        </w:tc>
      </w:tr>
    </w:tbl>
    <w:p>
      <w:pPr>
        <w:pStyle w:val="ListParagraph"/>
        <w:numPr>
          <w:ilvl w:val="0"/>
          <w:numId w:val="245"/>
        </w:numPr>
        <w:tabs>
          <w:tab w:pos="672" w:val="left" w:leader="none"/>
          <w:tab w:pos="673" w:val="left" w:leader="none"/>
        </w:tabs>
        <w:spacing w:line="240" w:lineRule="auto" w:before="57" w:after="0"/>
        <w:ind w:left="672" w:right="0" w:hanging="455"/>
        <w:jc w:val="left"/>
        <w:rPr>
          <w:sz w:val="20"/>
        </w:rPr>
      </w:pPr>
      <w:r>
        <w:rPr>
          <w:sz w:val="20"/>
        </w:rPr>
        <w:t>Las desviaciones con respecto a la vertical, se dimensionan con el criterio</w:t>
      </w:r>
      <w:r>
        <w:rPr>
          <w:spacing w:val="-10"/>
          <w:sz w:val="20"/>
        </w:rPr>
        <w:t> </w:t>
      </w:r>
      <w:r>
        <w:rPr>
          <w:sz w:val="20"/>
        </w:rPr>
        <w:t>siguiente:</w:t>
      </w:r>
    </w:p>
    <w:p>
      <w:pPr>
        <w:pStyle w:val="ListParagraph"/>
        <w:numPr>
          <w:ilvl w:val="1"/>
          <w:numId w:val="245"/>
        </w:numPr>
        <w:tabs>
          <w:tab w:pos="1125" w:val="left" w:leader="none"/>
          <w:tab w:pos="1126" w:val="left" w:leader="none"/>
        </w:tabs>
        <w:spacing w:line="240" w:lineRule="auto" w:before="60" w:after="0"/>
        <w:ind w:left="1126" w:right="561" w:hanging="454"/>
        <w:jc w:val="left"/>
        <w:rPr>
          <w:sz w:val="20"/>
        </w:rPr>
      </w:pPr>
      <w:r>
        <w:rPr>
          <w:sz w:val="20"/>
        </w:rPr>
        <w:t>Si la desviación forma un ángulo con la vertical menor que 45º, no se requiere ningún cambio de sección.</w:t>
      </w:r>
    </w:p>
    <w:p>
      <w:pPr>
        <w:pStyle w:val="ListParagraph"/>
        <w:numPr>
          <w:ilvl w:val="1"/>
          <w:numId w:val="245"/>
        </w:numPr>
        <w:tabs>
          <w:tab w:pos="1125" w:val="left" w:leader="none"/>
          <w:tab w:pos="1126" w:val="left" w:leader="none"/>
        </w:tabs>
        <w:spacing w:line="240" w:lineRule="auto" w:before="60" w:after="0"/>
        <w:ind w:left="1126" w:right="0" w:hanging="454"/>
        <w:jc w:val="left"/>
        <w:rPr>
          <w:sz w:val="20"/>
        </w:rPr>
      </w:pPr>
      <w:r>
        <w:rPr>
          <w:sz w:val="20"/>
        </w:rPr>
        <w:t>Si la desviación forma un ángulo mayor que 45º, se procede de la manera</w:t>
      </w:r>
      <w:r>
        <w:rPr>
          <w:spacing w:val="-9"/>
          <w:sz w:val="20"/>
        </w:rPr>
        <w:t> </w:t>
      </w:r>
      <w:r>
        <w:rPr>
          <w:sz w:val="20"/>
        </w:rPr>
        <w:t>siguiente.</w:t>
      </w:r>
    </w:p>
    <w:p>
      <w:pPr>
        <w:pStyle w:val="ListParagraph"/>
        <w:numPr>
          <w:ilvl w:val="2"/>
          <w:numId w:val="245"/>
        </w:numPr>
        <w:tabs>
          <w:tab w:pos="1579" w:val="left" w:leader="none"/>
          <w:tab w:pos="1580" w:val="left" w:leader="none"/>
        </w:tabs>
        <w:spacing w:line="240" w:lineRule="auto" w:before="60" w:after="0"/>
        <w:ind w:left="1579" w:right="455" w:hanging="454"/>
        <w:jc w:val="left"/>
        <w:rPr>
          <w:sz w:val="20"/>
        </w:rPr>
      </w:pPr>
      <w:r>
        <w:rPr>
          <w:sz w:val="20"/>
        </w:rPr>
        <w:t>el tramo de la </w:t>
      </w:r>
      <w:r>
        <w:rPr>
          <w:i/>
          <w:sz w:val="20"/>
        </w:rPr>
        <w:t>bajante </w:t>
      </w:r>
      <w:r>
        <w:rPr>
          <w:sz w:val="20"/>
        </w:rPr>
        <w:t>situado por encima de la desviación se dimensiona como se ha es- pecificado de forma</w:t>
      </w:r>
      <w:r>
        <w:rPr>
          <w:spacing w:val="-3"/>
          <w:sz w:val="20"/>
        </w:rPr>
        <w:t> </w:t>
      </w:r>
      <w:r>
        <w:rPr>
          <w:sz w:val="20"/>
        </w:rPr>
        <w:t>general;</w:t>
      </w:r>
    </w:p>
    <w:p>
      <w:pPr>
        <w:pStyle w:val="ListParagraph"/>
        <w:numPr>
          <w:ilvl w:val="2"/>
          <w:numId w:val="245"/>
        </w:numPr>
        <w:tabs>
          <w:tab w:pos="1579" w:val="left" w:leader="none"/>
          <w:tab w:pos="1580" w:val="left" w:leader="none"/>
        </w:tabs>
        <w:spacing w:line="240" w:lineRule="auto" w:before="60" w:after="0"/>
        <w:ind w:left="1579" w:right="455" w:hanging="454"/>
        <w:jc w:val="left"/>
        <w:rPr>
          <w:sz w:val="20"/>
        </w:rPr>
      </w:pPr>
      <w:r>
        <w:rPr>
          <w:sz w:val="20"/>
        </w:rPr>
        <w:t>el tramo de la desviación, se dimensiona como un </w:t>
      </w:r>
      <w:r>
        <w:rPr>
          <w:i/>
          <w:sz w:val="20"/>
        </w:rPr>
        <w:t>colector </w:t>
      </w:r>
      <w:r>
        <w:rPr>
          <w:sz w:val="20"/>
        </w:rPr>
        <w:t>horizontal, aplicando una pen- diente del 4% y considerando que no debe ser menor que el tramo</w:t>
      </w:r>
      <w:r>
        <w:rPr>
          <w:spacing w:val="-8"/>
          <w:sz w:val="20"/>
        </w:rPr>
        <w:t> </w:t>
      </w:r>
      <w:r>
        <w:rPr>
          <w:sz w:val="20"/>
        </w:rPr>
        <w:t>anterior;</w:t>
      </w:r>
    </w:p>
    <w:p>
      <w:pPr>
        <w:pStyle w:val="ListParagraph"/>
        <w:numPr>
          <w:ilvl w:val="2"/>
          <w:numId w:val="245"/>
        </w:numPr>
        <w:tabs>
          <w:tab w:pos="1579" w:val="left" w:leader="none"/>
          <w:tab w:pos="1580" w:val="left" w:leader="none"/>
        </w:tabs>
        <w:spacing w:line="240" w:lineRule="auto" w:before="61" w:after="0"/>
        <w:ind w:left="1579" w:right="535" w:hanging="454"/>
        <w:jc w:val="left"/>
        <w:rPr>
          <w:sz w:val="20"/>
        </w:rPr>
      </w:pPr>
      <w:r>
        <w:rPr>
          <w:sz w:val="20"/>
        </w:rPr>
        <w:t>para el tramo situado por debajo de la desviación se adoptará un diámetro igual o mayor al de la</w:t>
      </w:r>
      <w:r>
        <w:rPr>
          <w:spacing w:val="-2"/>
          <w:sz w:val="20"/>
        </w:rPr>
        <w:t> </w:t>
      </w:r>
      <w:r>
        <w:rPr>
          <w:sz w:val="20"/>
        </w:rPr>
        <w:t>desviación.</w:t>
      </w:r>
    </w:p>
    <w:p>
      <w:pPr>
        <w:pStyle w:val="BodyText"/>
        <w:spacing w:before="5"/>
        <w:rPr>
          <w:sz w:val="17"/>
        </w:rPr>
      </w:pPr>
    </w:p>
    <w:p>
      <w:pPr>
        <w:pStyle w:val="Heading5"/>
        <w:numPr>
          <w:ilvl w:val="2"/>
          <w:numId w:val="241"/>
        </w:numPr>
        <w:tabs>
          <w:tab w:pos="787" w:val="left" w:leader="none"/>
        </w:tabs>
        <w:spacing w:line="240" w:lineRule="auto" w:before="1" w:after="0"/>
        <w:ind w:left="786" w:right="0" w:hanging="569"/>
        <w:jc w:val="left"/>
      </w:pPr>
      <w:r>
        <w:rPr/>
        <w:t>Colectores horizontales de aguas</w:t>
      </w:r>
      <w:r>
        <w:rPr>
          <w:spacing w:val="-5"/>
        </w:rPr>
        <w:t> </w:t>
      </w:r>
      <w:r>
        <w:rPr/>
        <w:t>residuales</w:t>
      </w:r>
    </w:p>
    <w:p>
      <w:pPr>
        <w:pStyle w:val="ListParagraph"/>
        <w:numPr>
          <w:ilvl w:val="0"/>
          <w:numId w:val="246"/>
        </w:numPr>
        <w:tabs>
          <w:tab w:pos="672" w:val="left" w:leader="none"/>
          <w:tab w:pos="673" w:val="left" w:leader="none"/>
        </w:tabs>
        <w:spacing w:line="240" w:lineRule="auto" w:before="98" w:after="0"/>
        <w:ind w:left="672" w:right="663" w:hanging="454"/>
        <w:jc w:val="left"/>
        <w:rPr>
          <w:sz w:val="20"/>
        </w:rPr>
      </w:pPr>
      <w:r>
        <w:rPr>
          <w:sz w:val="20"/>
        </w:rPr>
        <w:t>Los </w:t>
      </w:r>
      <w:r>
        <w:rPr>
          <w:i/>
          <w:sz w:val="20"/>
        </w:rPr>
        <w:t>colectores </w:t>
      </w:r>
      <w:r>
        <w:rPr>
          <w:sz w:val="20"/>
        </w:rPr>
        <w:t>horizontales se dimensionan para funcionar a media de sección, hasta un máximo de tres cuartos de sección, bajo condiciones de flujo</w:t>
      </w:r>
      <w:r>
        <w:rPr>
          <w:spacing w:val="-4"/>
          <w:sz w:val="20"/>
        </w:rPr>
        <w:t> </w:t>
      </w:r>
      <w:r>
        <w:rPr>
          <w:sz w:val="20"/>
        </w:rPr>
        <w:t>uniforme.</w:t>
      </w:r>
    </w:p>
    <w:p>
      <w:pPr>
        <w:pStyle w:val="ListParagraph"/>
        <w:numPr>
          <w:ilvl w:val="0"/>
          <w:numId w:val="246"/>
        </w:numPr>
        <w:tabs>
          <w:tab w:pos="672" w:val="left" w:leader="none"/>
          <w:tab w:pos="673" w:val="left" w:leader="none"/>
        </w:tabs>
        <w:spacing w:line="240" w:lineRule="auto" w:before="60" w:after="0"/>
        <w:ind w:left="672" w:right="508" w:hanging="454"/>
        <w:jc w:val="left"/>
        <w:rPr>
          <w:sz w:val="20"/>
        </w:rPr>
      </w:pPr>
      <w:r>
        <w:rPr>
          <w:sz w:val="20"/>
        </w:rPr>
        <w:t>El diámetro de los </w:t>
      </w:r>
      <w:r>
        <w:rPr>
          <w:i/>
          <w:sz w:val="20"/>
        </w:rPr>
        <w:t>colectores </w:t>
      </w:r>
      <w:r>
        <w:rPr>
          <w:sz w:val="20"/>
        </w:rPr>
        <w:t>horizontales se obtiene en la tabla 4.5 en función del máximo número de UD y de la</w:t>
      </w:r>
      <w:r>
        <w:rPr>
          <w:spacing w:val="-2"/>
          <w:sz w:val="20"/>
        </w:rPr>
        <w:t> </w:t>
      </w:r>
      <w:r>
        <w:rPr>
          <w:sz w:val="20"/>
        </w:rPr>
        <w:t>pendiente.</w:t>
      </w:r>
    </w:p>
    <w:p>
      <w:pPr>
        <w:spacing w:after="0" w:line="240" w:lineRule="auto"/>
        <w:jc w:val="left"/>
        <w:rPr>
          <w:sz w:val="20"/>
        </w:rPr>
        <w:sectPr>
          <w:footerReference w:type="default" r:id="rId151"/>
          <w:pgSz w:w="11910" w:h="16840"/>
          <w:pgMar w:footer="642" w:header="714" w:top="1320" w:bottom="840" w:left="1200" w:right="740"/>
          <w:pgNumType w:start="131"/>
        </w:sectPr>
      </w:pPr>
    </w:p>
    <w:p>
      <w:pPr>
        <w:spacing w:before="91" w:after="3"/>
        <w:ind w:left="4496" w:right="673" w:hanging="3982"/>
        <w:jc w:val="left"/>
        <w:rPr>
          <w:b/>
          <w:sz w:val="18"/>
        </w:rPr>
      </w:pPr>
      <w:r>
        <w:rPr>
          <w:b/>
          <w:sz w:val="18"/>
        </w:rPr>
        <w:t>Tabla 4.5 Diámetro de los </w:t>
      </w:r>
      <w:r>
        <w:rPr>
          <w:b/>
          <w:i/>
          <w:sz w:val="18"/>
        </w:rPr>
        <w:t>colectores </w:t>
      </w:r>
      <w:r>
        <w:rPr>
          <w:b/>
          <w:sz w:val="18"/>
        </w:rPr>
        <w:t>horizontales en función del número máximo de UD y la pendiente adoptada</w:t>
      </w:r>
    </w:p>
    <w:tbl>
      <w:tblPr>
        <w:tblW w:w="0" w:type="auto"/>
        <w:jc w:val="left"/>
        <w:tblInd w:w="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5"/>
        <w:gridCol w:w="2182"/>
        <w:gridCol w:w="2182"/>
        <w:gridCol w:w="2404"/>
      </w:tblGrid>
      <w:tr>
        <w:trPr>
          <w:trHeight w:val="183" w:hRule="atLeast"/>
        </w:trPr>
        <w:tc>
          <w:tcPr>
            <w:tcW w:w="6559" w:type="dxa"/>
            <w:gridSpan w:val="3"/>
            <w:tcBorders>
              <w:top w:val="single" w:sz="4" w:space="0" w:color="000000"/>
              <w:bottom w:val="single" w:sz="4" w:space="0" w:color="000000"/>
              <w:right w:val="single" w:sz="4" w:space="0" w:color="000000"/>
            </w:tcBorders>
          </w:tcPr>
          <w:p>
            <w:pPr>
              <w:pStyle w:val="TableParagraph"/>
              <w:spacing w:line="163" w:lineRule="exact"/>
              <w:ind w:left="2398" w:right="2382"/>
              <w:rPr>
                <w:b/>
                <w:sz w:val="16"/>
              </w:rPr>
            </w:pPr>
            <w:r>
              <w:rPr>
                <w:b/>
                <w:sz w:val="16"/>
              </w:rPr>
              <w:t>Máximo número de UD</w:t>
            </w:r>
          </w:p>
        </w:tc>
        <w:tc>
          <w:tcPr>
            <w:tcW w:w="2404" w:type="dxa"/>
            <w:vMerge w:val="restart"/>
            <w:tcBorders>
              <w:top w:val="single" w:sz="4" w:space="0" w:color="000000"/>
              <w:left w:val="single" w:sz="4" w:space="0" w:color="000000"/>
              <w:bottom w:val="single" w:sz="4" w:space="0" w:color="000000"/>
            </w:tcBorders>
          </w:tcPr>
          <w:p>
            <w:pPr>
              <w:pStyle w:val="TableParagraph"/>
              <w:spacing w:before="1"/>
              <w:jc w:val="left"/>
              <w:rPr>
                <w:b/>
                <w:sz w:val="16"/>
              </w:rPr>
            </w:pPr>
          </w:p>
          <w:p>
            <w:pPr>
              <w:pStyle w:val="TableParagraph"/>
              <w:ind w:left="631"/>
              <w:jc w:val="left"/>
              <w:rPr>
                <w:b/>
                <w:sz w:val="16"/>
              </w:rPr>
            </w:pPr>
            <w:r>
              <w:rPr>
                <w:b/>
                <w:sz w:val="16"/>
              </w:rPr>
              <w:t>Diámetro (mm)</w:t>
            </w:r>
          </w:p>
        </w:tc>
      </w:tr>
      <w:tr>
        <w:trPr>
          <w:trHeight w:val="180" w:hRule="atLeast"/>
        </w:trPr>
        <w:tc>
          <w:tcPr>
            <w:tcW w:w="2195" w:type="dxa"/>
            <w:tcBorders>
              <w:top w:val="single" w:sz="4" w:space="0" w:color="000000"/>
            </w:tcBorders>
          </w:tcPr>
          <w:p>
            <w:pPr>
              <w:pStyle w:val="TableParagraph"/>
              <w:jc w:val="left"/>
              <w:rPr>
                <w:rFonts w:ascii="Times New Roman"/>
                <w:sz w:val="12"/>
              </w:rPr>
            </w:pPr>
          </w:p>
        </w:tc>
        <w:tc>
          <w:tcPr>
            <w:tcW w:w="2182" w:type="dxa"/>
            <w:tcBorders>
              <w:top w:val="single" w:sz="4" w:space="0" w:color="000000"/>
            </w:tcBorders>
          </w:tcPr>
          <w:p>
            <w:pPr>
              <w:pStyle w:val="TableParagraph"/>
              <w:spacing w:line="160" w:lineRule="exact"/>
              <w:ind w:left="688" w:right="688"/>
              <w:rPr>
                <w:b/>
                <w:sz w:val="16"/>
              </w:rPr>
            </w:pPr>
            <w:r>
              <w:rPr>
                <w:b/>
                <w:sz w:val="16"/>
              </w:rPr>
              <w:t>Pendiente</w:t>
            </w:r>
          </w:p>
        </w:tc>
        <w:tc>
          <w:tcPr>
            <w:tcW w:w="2182" w:type="dxa"/>
            <w:tcBorders>
              <w:top w:val="single" w:sz="4" w:space="0" w:color="000000"/>
              <w:right w:val="single" w:sz="4" w:space="0" w:color="000000"/>
            </w:tcBorders>
          </w:tcPr>
          <w:p>
            <w:pPr>
              <w:pStyle w:val="TableParagraph"/>
              <w:jc w:val="left"/>
              <w:rPr>
                <w:rFonts w:ascii="Times New Roman"/>
                <w:sz w:val="12"/>
              </w:rPr>
            </w:pPr>
          </w:p>
        </w:tc>
        <w:tc>
          <w:tcPr>
            <w:tcW w:w="2404" w:type="dxa"/>
            <w:vMerge/>
            <w:tcBorders>
              <w:top w:val="nil"/>
              <w:left w:val="single" w:sz="4" w:space="0" w:color="000000"/>
              <w:bottom w:val="single" w:sz="4" w:space="0" w:color="000000"/>
            </w:tcBorders>
          </w:tcPr>
          <w:p>
            <w:pPr>
              <w:rPr>
                <w:sz w:val="2"/>
                <w:szCs w:val="2"/>
              </w:rPr>
            </w:pPr>
          </w:p>
        </w:tc>
      </w:tr>
      <w:tr>
        <w:trPr>
          <w:trHeight w:val="177" w:hRule="atLeast"/>
        </w:trPr>
        <w:tc>
          <w:tcPr>
            <w:tcW w:w="2195" w:type="dxa"/>
            <w:tcBorders>
              <w:bottom w:val="single" w:sz="4" w:space="0" w:color="000000"/>
            </w:tcBorders>
          </w:tcPr>
          <w:p>
            <w:pPr>
              <w:pStyle w:val="TableParagraph"/>
              <w:spacing w:line="158" w:lineRule="exact"/>
              <w:ind w:right="949"/>
              <w:jc w:val="right"/>
              <w:rPr>
                <w:b/>
                <w:sz w:val="16"/>
              </w:rPr>
            </w:pPr>
            <w:r>
              <w:rPr>
                <w:b/>
                <w:sz w:val="16"/>
              </w:rPr>
              <w:t>1 %</w:t>
            </w:r>
          </w:p>
        </w:tc>
        <w:tc>
          <w:tcPr>
            <w:tcW w:w="2182" w:type="dxa"/>
            <w:tcBorders>
              <w:bottom w:val="single" w:sz="4" w:space="0" w:color="000000"/>
            </w:tcBorders>
          </w:tcPr>
          <w:p>
            <w:pPr>
              <w:pStyle w:val="TableParagraph"/>
              <w:spacing w:line="158" w:lineRule="exact"/>
              <w:ind w:left="687" w:right="688"/>
              <w:rPr>
                <w:b/>
                <w:sz w:val="16"/>
              </w:rPr>
            </w:pPr>
            <w:r>
              <w:rPr>
                <w:b/>
                <w:sz w:val="16"/>
              </w:rPr>
              <w:t>2 %</w:t>
            </w:r>
          </w:p>
        </w:tc>
        <w:tc>
          <w:tcPr>
            <w:tcW w:w="2182" w:type="dxa"/>
            <w:tcBorders>
              <w:bottom w:val="single" w:sz="4" w:space="0" w:color="000000"/>
              <w:right w:val="single" w:sz="4" w:space="0" w:color="000000"/>
            </w:tcBorders>
          </w:tcPr>
          <w:p>
            <w:pPr>
              <w:pStyle w:val="TableParagraph"/>
              <w:spacing w:line="158" w:lineRule="exact"/>
              <w:ind w:left="933" w:right="928"/>
              <w:rPr>
                <w:b/>
                <w:sz w:val="16"/>
              </w:rPr>
            </w:pPr>
            <w:r>
              <w:rPr>
                <w:b/>
                <w:sz w:val="16"/>
              </w:rPr>
              <w:t>4 %</w:t>
            </w:r>
          </w:p>
        </w:tc>
        <w:tc>
          <w:tcPr>
            <w:tcW w:w="2404" w:type="dxa"/>
            <w:vMerge/>
            <w:tcBorders>
              <w:top w:val="nil"/>
              <w:left w:val="single" w:sz="4" w:space="0" w:color="000000"/>
              <w:bottom w:val="single" w:sz="4" w:space="0" w:color="000000"/>
            </w:tcBorders>
          </w:tcPr>
          <w:p>
            <w:pPr>
              <w:rPr>
                <w:sz w:val="2"/>
                <w:szCs w:val="2"/>
              </w:rPr>
            </w:pPr>
          </w:p>
        </w:tc>
      </w:tr>
      <w:tr>
        <w:trPr>
          <w:trHeight w:val="185" w:hRule="atLeast"/>
        </w:trPr>
        <w:tc>
          <w:tcPr>
            <w:tcW w:w="2195" w:type="dxa"/>
            <w:tcBorders>
              <w:top w:val="single" w:sz="4" w:space="0" w:color="000000"/>
              <w:right w:val="single" w:sz="4" w:space="0" w:color="000000"/>
            </w:tcBorders>
          </w:tcPr>
          <w:p>
            <w:pPr>
              <w:pStyle w:val="TableParagraph"/>
              <w:spacing w:line="165" w:lineRule="exact"/>
              <w:ind w:left="18"/>
              <w:rPr>
                <w:sz w:val="16"/>
              </w:rPr>
            </w:pPr>
            <w:r>
              <w:rPr>
                <w:w w:val="99"/>
                <w:sz w:val="16"/>
              </w:rPr>
              <w:t>-</w:t>
            </w:r>
          </w:p>
        </w:tc>
        <w:tc>
          <w:tcPr>
            <w:tcW w:w="2182" w:type="dxa"/>
            <w:tcBorders>
              <w:top w:val="single" w:sz="4" w:space="0" w:color="000000"/>
              <w:left w:val="single" w:sz="4" w:space="0" w:color="000000"/>
              <w:right w:val="single" w:sz="4" w:space="0" w:color="000000"/>
            </w:tcBorders>
          </w:tcPr>
          <w:p>
            <w:pPr>
              <w:pStyle w:val="TableParagraph"/>
              <w:spacing w:line="165" w:lineRule="exact"/>
              <w:ind w:left="820" w:right="820"/>
              <w:rPr>
                <w:sz w:val="16"/>
              </w:rPr>
            </w:pPr>
            <w:r>
              <w:rPr>
                <w:sz w:val="16"/>
              </w:rPr>
              <w:t>20</w:t>
            </w:r>
          </w:p>
        </w:tc>
        <w:tc>
          <w:tcPr>
            <w:tcW w:w="2182" w:type="dxa"/>
            <w:tcBorders>
              <w:top w:val="single" w:sz="4" w:space="0" w:color="000000"/>
              <w:left w:val="single" w:sz="4" w:space="0" w:color="000000"/>
              <w:right w:val="single" w:sz="4" w:space="0" w:color="000000"/>
            </w:tcBorders>
          </w:tcPr>
          <w:p>
            <w:pPr>
              <w:pStyle w:val="TableParagraph"/>
              <w:spacing w:line="165" w:lineRule="exact"/>
              <w:ind w:left="820" w:right="820"/>
              <w:rPr>
                <w:sz w:val="16"/>
              </w:rPr>
            </w:pPr>
            <w:r>
              <w:rPr>
                <w:sz w:val="16"/>
              </w:rPr>
              <w:t>25</w:t>
            </w:r>
          </w:p>
        </w:tc>
        <w:tc>
          <w:tcPr>
            <w:tcW w:w="2404" w:type="dxa"/>
            <w:tcBorders>
              <w:top w:val="single" w:sz="4" w:space="0" w:color="000000"/>
              <w:left w:val="single" w:sz="4" w:space="0" w:color="000000"/>
            </w:tcBorders>
          </w:tcPr>
          <w:p>
            <w:pPr>
              <w:pStyle w:val="TableParagraph"/>
              <w:spacing w:line="165" w:lineRule="exact"/>
              <w:ind w:left="1043" w:right="1049"/>
              <w:rPr>
                <w:sz w:val="16"/>
              </w:rPr>
            </w:pPr>
            <w:r>
              <w:rPr>
                <w:sz w:val="16"/>
              </w:rPr>
              <w:t>50</w:t>
            </w:r>
          </w:p>
        </w:tc>
      </w:tr>
      <w:tr>
        <w:trPr>
          <w:trHeight w:val="183" w:hRule="atLeast"/>
        </w:trPr>
        <w:tc>
          <w:tcPr>
            <w:tcW w:w="2195" w:type="dxa"/>
            <w:tcBorders>
              <w:right w:val="single" w:sz="4" w:space="0" w:color="000000"/>
            </w:tcBorders>
          </w:tcPr>
          <w:p>
            <w:pPr>
              <w:pStyle w:val="TableParagraph"/>
              <w:spacing w:line="164" w:lineRule="exact"/>
              <w:ind w:left="18"/>
              <w:rPr>
                <w:sz w:val="16"/>
              </w:rPr>
            </w:pPr>
            <w:r>
              <w:rPr>
                <w:w w:val="99"/>
                <w:sz w:val="16"/>
              </w:rPr>
              <w:t>-</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24</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29</w:t>
            </w:r>
          </w:p>
        </w:tc>
        <w:tc>
          <w:tcPr>
            <w:tcW w:w="2404" w:type="dxa"/>
            <w:tcBorders>
              <w:left w:val="single" w:sz="4" w:space="0" w:color="000000"/>
            </w:tcBorders>
          </w:tcPr>
          <w:p>
            <w:pPr>
              <w:pStyle w:val="TableParagraph"/>
              <w:spacing w:line="164" w:lineRule="exact"/>
              <w:ind w:left="1043" w:right="1049"/>
              <w:rPr>
                <w:sz w:val="16"/>
              </w:rPr>
            </w:pPr>
            <w:r>
              <w:rPr>
                <w:sz w:val="16"/>
              </w:rPr>
              <w:t>63</w:t>
            </w:r>
          </w:p>
        </w:tc>
      </w:tr>
      <w:tr>
        <w:trPr>
          <w:trHeight w:val="184" w:hRule="atLeast"/>
        </w:trPr>
        <w:tc>
          <w:tcPr>
            <w:tcW w:w="2195" w:type="dxa"/>
            <w:tcBorders>
              <w:right w:val="single" w:sz="4" w:space="0" w:color="000000"/>
            </w:tcBorders>
          </w:tcPr>
          <w:p>
            <w:pPr>
              <w:pStyle w:val="TableParagraph"/>
              <w:spacing w:line="164" w:lineRule="exact"/>
              <w:ind w:left="18"/>
              <w:rPr>
                <w:sz w:val="16"/>
              </w:rPr>
            </w:pPr>
            <w:r>
              <w:rPr>
                <w:w w:val="99"/>
                <w:sz w:val="16"/>
              </w:rPr>
              <w:t>-</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38</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57</w:t>
            </w:r>
          </w:p>
        </w:tc>
        <w:tc>
          <w:tcPr>
            <w:tcW w:w="2404" w:type="dxa"/>
            <w:tcBorders>
              <w:left w:val="single" w:sz="4" w:space="0" w:color="000000"/>
            </w:tcBorders>
          </w:tcPr>
          <w:p>
            <w:pPr>
              <w:pStyle w:val="TableParagraph"/>
              <w:spacing w:line="164" w:lineRule="exact"/>
              <w:ind w:left="1043" w:right="1049"/>
              <w:rPr>
                <w:sz w:val="16"/>
              </w:rPr>
            </w:pPr>
            <w:r>
              <w:rPr>
                <w:sz w:val="16"/>
              </w:rPr>
              <w:t>75</w:t>
            </w:r>
          </w:p>
        </w:tc>
      </w:tr>
      <w:tr>
        <w:trPr>
          <w:trHeight w:val="184" w:hRule="atLeast"/>
        </w:trPr>
        <w:tc>
          <w:tcPr>
            <w:tcW w:w="2195" w:type="dxa"/>
            <w:tcBorders>
              <w:right w:val="single" w:sz="4" w:space="0" w:color="000000"/>
            </w:tcBorders>
          </w:tcPr>
          <w:p>
            <w:pPr>
              <w:pStyle w:val="TableParagraph"/>
              <w:spacing w:line="164" w:lineRule="exact"/>
              <w:ind w:left="995" w:right="977"/>
              <w:rPr>
                <w:sz w:val="16"/>
              </w:rPr>
            </w:pPr>
            <w:r>
              <w:rPr>
                <w:sz w:val="16"/>
              </w:rPr>
              <w:t>96</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130</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160</w:t>
            </w:r>
          </w:p>
        </w:tc>
        <w:tc>
          <w:tcPr>
            <w:tcW w:w="2404" w:type="dxa"/>
            <w:tcBorders>
              <w:left w:val="single" w:sz="4" w:space="0" w:color="000000"/>
            </w:tcBorders>
          </w:tcPr>
          <w:p>
            <w:pPr>
              <w:pStyle w:val="TableParagraph"/>
              <w:spacing w:line="164" w:lineRule="exact"/>
              <w:ind w:left="1043" w:right="1049"/>
              <w:rPr>
                <w:sz w:val="16"/>
              </w:rPr>
            </w:pPr>
            <w:r>
              <w:rPr>
                <w:sz w:val="16"/>
              </w:rPr>
              <w:t>90</w:t>
            </w:r>
          </w:p>
        </w:tc>
      </w:tr>
      <w:tr>
        <w:trPr>
          <w:trHeight w:val="183" w:hRule="atLeast"/>
        </w:trPr>
        <w:tc>
          <w:tcPr>
            <w:tcW w:w="2195" w:type="dxa"/>
            <w:tcBorders>
              <w:right w:val="single" w:sz="4" w:space="0" w:color="000000"/>
            </w:tcBorders>
          </w:tcPr>
          <w:p>
            <w:pPr>
              <w:pStyle w:val="TableParagraph"/>
              <w:spacing w:line="164" w:lineRule="exact"/>
              <w:ind w:right="950"/>
              <w:jc w:val="right"/>
              <w:rPr>
                <w:sz w:val="16"/>
              </w:rPr>
            </w:pPr>
            <w:r>
              <w:rPr>
                <w:w w:val="95"/>
                <w:sz w:val="16"/>
              </w:rPr>
              <w:t>264</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321</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382</w:t>
            </w:r>
          </w:p>
        </w:tc>
        <w:tc>
          <w:tcPr>
            <w:tcW w:w="2404" w:type="dxa"/>
            <w:tcBorders>
              <w:left w:val="single" w:sz="4" w:space="0" w:color="000000"/>
            </w:tcBorders>
          </w:tcPr>
          <w:p>
            <w:pPr>
              <w:pStyle w:val="TableParagraph"/>
              <w:spacing w:line="164" w:lineRule="exact"/>
              <w:ind w:left="1043" w:right="1049"/>
              <w:rPr>
                <w:sz w:val="16"/>
              </w:rPr>
            </w:pPr>
            <w:r>
              <w:rPr>
                <w:sz w:val="16"/>
              </w:rPr>
              <w:t>110</w:t>
            </w:r>
          </w:p>
        </w:tc>
      </w:tr>
      <w:tr>
        <w:trPr>
          <w:trHeight w:val="184" w:hRule="atLeast"/>
        </w:trPr>
        <w:tc>
          <w:tcPr>
            <w:tcW w:w="2195" w:type="dxa"/>
            <w:tcBorders>
              <w:right w:val="single" w:sz="4" w:space="0" w:color="000000"/>
            </w:tcBorders>
          </w:tcPr>
          <w:p>
            <w:pPr>
              <w:pStyle w:val="TableParagraph"/>
              <w:spacing w:line="164" w:lineRule="exact"/>
              <w:ind w:right="950"/>
              <w:jc w:val="right"/>
              <w:rPr>
                <w:sz w:val="16"/>
              </w:rPr>
            </w:pPr>
            <w:r>
              <w:rPr>
                <w:w w:val="95"/>
                <w:sz w:val="16"/>
              </w:rPr>
              <w:t>390</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480</w:t>
            </w:r>
          </w:p>
        </w:tc>
        <w:tc>
          <w:tcPr>
            <w:tcW w:w="2182" w:type="dxa"/>
            <w:tcBorders>
              <w:left w:val="single" w:sz="4" w:space="0" w:color="000000"/>
              <w:right w:val="single" w:sz="4" w:space="0" w:color="000000"/>
            </w:tcBorders>
          </w:tcPr>
          <w:p>
            <w:pPr>
              <w:pStyle w:val="TableParagraph"/>
              <w:spacing w:line="164" w:lineRule="exact"/>
              <w:ind w:left="820" w:right="820"/>
              <w:rPr>
                <w:sz w:val="16"/>
              </w:rPr>
            </w:pPr>
            <w:r>
              <w:rPr>
                <w:sz w:val="16"/>
              </w:rPr>
              <w:t>580</w:t>
            </w:r>
          </w:p>
        </w:tc>
        <w:tc>
          <w:tcPr>
            <w:tcW w:w="2404" w:type="dxa"/>
            <w:tcBorders>
              <w:left w:val="single" w:sz="4" w:space="0" w:color="000000"/>
            </w:tcBorders>
          </w:tcPr>
          <w:p>
            <w:pPr>
              <w:pStyle w:val="TableParagraph"/>
              <w:spacing w:line="164" w:lineRule="exact"/>
              <w:ind w:left="1043" w:right="1049"/>
              <w:rPr>
                <w:sz w:val="16"/>
              </w:rPr>
            </w:pPr>
            <w:r>
              <w:rPr>
                <w:sz w:val="16"/>
              </w:rPr>
              <w:t>125</w:t>
            </w:r>
          </w:p>
        </w:tc>
      </w:tr>
      <w:tr>
        <w:trPr>
          <w:trHeight w:val="184" w:hRule="atLeast"/>
        </w:trPr>
        <w:tc>
          <w:tcPr>
            <w:tcW w:w="2195" w:type="dxa"/>
            <w:tcBorders>
              <w:right w:val="single" w:sz="4" w:space="0" w:color="000000"/>
            </w:tcBorders>
          </w:tcPr>
          <w:p>
            <w:pPr>
              <w:pStyle w:val="TableParagraph"/>
              <w:spacing w:line="164" w:lineRule="exact"/>
              <w:ind w:right="950"/>
              <w:jc w:val="right"/>
              <w:rPr>
                <w:sz w:val="16"/>
              </w:rPr>
            </w:pPr>
            <w:r>
              <w:rPr>
                <w:w w:val="95"/>
                <w:sz w:val="16"/>
              </w:rPr>
              <w:t>880</w:t>
            </w:r>
          </w:p>
        </w:tc>
        <w:tc>
          <w:tcPr>
            <w:tcW w:w="2182" w:type="dxa"/>
            <w:tcBorders>
              <w:left w:val="single" w:sz="4" w:space="0" w:color="000000"/>
              <w:right w:val="single" w:sz="4" w:space="0" w:color="000000"/>
            </w:tcBorders>
          </w:tcPr>
          <w:p>
            <w:pPr>
              <w:pStyle w:val="TableParagraph"/>
              <w:spacing w:line="164" w:lineRule="exact"/>
              <w:ind w:left="820" w:right="821"/>
              <w:rPr>
                <w:sz w:val="16"/>
              </w:rPr>
            </w:pPr>
            <w:r>
              <w:rPr>
                <w:sz w:val="16"/>
              </w:rPr>
              <w:t>1.056</w:t>
            </w:r>
          </w:p>
        </w:tc>
        <w:tc>
          <w:tcPr>
            <w:tcW w:w="2182" w:type="dxa"/>
            <w:tcBorders>
              <w:left w:val="single" w:sz="4" w:space="0" w:color="000000"/>
              <w:right w:val="single" w:sz="4" w:space="0" w:color="000000"/>
            </w:tcBorders>
          </w:tcPr>
          <w:p>
            <w:pPr>
              <w:pStyle w:val="TableParagraph"/>
              <w:spacing w:line="164" w:lineRule="exact"/>
              <w:ind w:left="820" w:right="821"/>
              <w:rPr>
                <w:sz w:val="16"/>
              </w:rPr>
            </w:pPr>
            <w:r>
              <w:rPr>
                <w:sz w:val="16"/>
              </w:rPr>
              <w:t>1.300</w:t>
            </w:r>
          </w:p>
        </w:tc>
        <w:tc>
          <w:tcPr>
            <w:tcW w:w="2404" w:type="dxa"/>
            <w:tcBorders>
              <w:left w:val="single" w:sz="4" w:space="0" w:color="000000"/>
            </w:tcBorders>
          </w:tcPr>
          <w:p>
            <w:pPr>
              <w:pStyle w:val="TableParagraph"/>
              <w:spacing w:line="164" w:lineRule="exact"/>
              <w:ind w:left="1043" w:right="1049"/>
              <w:rPr>
                <w:sz w:val="16"/>
              </w:rPr>
            </w:pPr>
            <w:r>
              <w:rPr>
                <w:sz w:val="16"/>
              </w:rPr>
              <w:t>160</w:t>
            </w:r>
          </w:p>
        </w:tc>
      </w:tr>
      <w:tr>
        <w:trPr>
          <w:trHeight w:val="183" w:hRule="atLeast"/>
        </w:trPr>
        <w:tc>
          <w:tcPr>
            <w:tcW w:w="2195" w:type="dxa"/>
            <w:tcBorders>
              <w:right w:val="single" w:sz="4" w:space="0" w:color="000000"/>
            </w:tcBorders>
          </w:tcPr>
          <w:p>
            <w:pPr>
              <w:pStyle w:val="TableParagraph"/>
              <w:spacing w:line="164" w:lineRule="exact"/>
              <w:ind w:right="884"/>
              <w:jc w:val="right"/>
              <w:rPr>
                <w:sz w:val="16"/>
              </w:rPr>
            </w:pPr>
            <w:r>
              <w:rPr>
                <w:w w:val="95"/>
                <w:sz w:val="16"/>
              </w:rPr>
              <w:t>1.600</w:t>
            </w:r>
          </w:p>
        </w:tc>
        <w:tc>
          <w:tcPr>
            <w:tcW w:w="2182" w:type="dxa"/>
            <w:tcBorders>
              <w:left w:val="single" w:sz="4" w:space="0" w:color="000000"/>
              <w:right w:val="single" w:sz="4" w:space="0" w:color="000000"/>
            </w:tcBorders>
          </w:tcPr>
          <w:p>
            <w:pPr>
              <w:pStyle w:val="TableParagraph"/>
              <w:spacing w:line="164" w:lineRule="exact"/>
              <w:ind w:left="820" w:right="821"/>
              <w:rPr>
                <w:sz w:val="16"/>
              </w:rPr>
            </w:pPr>
            <w:r>
              <w:rPr>
                <w:sz w:val="16"/>
              </w:rPr>
              <w:t>1.920</w:t>
            </w:r>
          </w:p>
        </w:tc>
        <w:tc>
          <w:tcPr>
            <w:tcW w:w="2182" w:type="dxa"/>
            <w:tcBorders>
              <w:left w:val="single" w:sz="4" w:space="0" w:color="000000"/>
              <w:right w:val="single" w:sz="4" w:space="0" w:color="000000"/>
            </w:tcBorders>
          </w:tcPr>
          <w:p>
            <w:pPr>
              <w:pStyle w:val="TableParagraph"/>
              <w:spacing w:line="164" w:lineRule="exact"/>
              <w:ind w:left="820" w:right="821"/>
              <w:rPr>
                <w:sz w:val="16"/>
              </w:rPr>
            </w:pPr>
            <w:r>
              <w:rPr>
                <w:sz w:val="16"/>
              </w:rPr>
              <w:t>2.300</w:t>
            </w:r>
          </w:p>
        </w:tc>
        <w:tc>
          <w:tcPr>
            <w:tcW w:w="2404" w:type="dxa"/>
            <w:tcBorders>
              <w:left w:val="single" w:sz="4" w:space="0" w:color="000000"/>
            </w:tcBorders>
          </w:tcPr>
          <w:p>
            <w:pPr>
              <w:pStyle w:val="TableParagraph"/>
              <w:spacing w:line="164" w:lineRule="exact"/>
              <w:ind w:left="1043" w:right="1049"/>
              <w:rPr>
                <w:sz w:val="16"/>
              </w:rPr>
            </w:pPr>
            <w:r>
              <w:rPr>
                <w:sz w:val="16"/>
              </w:rPr>
              <w:t>200</w:t>
            </w:r>
          </w:p>
        </w:tc>
      </w:tr>
      <w:tr>
        <w:trPr>
          <w:trHeight w:val="183" w:hRule="atLeast"/>
        </w:trPr>
        <w:tc>
          <w:tcPr>
            <w:tcW w:w="2195" w:type="dxa"/>
            <w:tcBorders>
              <w:right w:val="single" w:sz="4" w:space="0" w:color="000000"/>
            </w:tcBorders>
          </w:tcPr>
          <w:p>
            <w:pPr>
              <w:pStyle w:val="TableParagraph"/>
              <w:spacing w:line="164" w:lineRule="exact"/>
              <w:ind w:right="884"/>
              <w:jc w:val="right"/>
              <w:rPr>
                <w:sz w:val="16"/>
              </w:rPr>
            </w:pPr>
            <w:r>
              <w:rPr>
                <w:w w:val="95"/>
                <w:sz w:val="16"/>
              </w:rPr>
              <w:t>2.900</w:t>
            </w:r>
          </w:p>
        </w:tc>
        <w:tc>
          <w:tcPr>
            <w:tcW w:w="2182" w:type="dxa"/>
            <w:tcBorders>
              <w:left w:val="single" w:sz="4" w:space="0" w:color="000000"/>
              <w:right w:val="single" w:sz="4" w:space="0" w:color="000000"/>
            </w:tcBorders>
          </w:tcPr>
          <w:p>
            <w:pPr>
              <w:pStyle w:val="TableParagraph"/>
              <w:spacing w:line="164" w:lineRule="exact"/>
              <w:ind w:left="820" w:right="821"/>
              <w:rPr>
                <w:sz w:val="16"/>
              </w:rPr>
            </w:pPr>
            <w:r>
              <w:rPr>
                <w:sz w:val="16"/>
              </w:rPr>
              <w:t>3.500</w:t>
            </w:r>
          </w:p>
        </w:tc>
        <w:tc>
          <w:tcPr>
            <w:tcW w:w="2182" w:type="dxa"/>
            <w:tcBorders>
              <w:left w:val="single" w:sz="4" w:space="0" w:color="000000"/>
              <w:right w:val="single" w:sz="4" w:space="0" w:color="000000"/>
            </w:tcBorders>
          </w:tcPr>
          <w:p>
            <w:pPr>
              <w:pStyle w:val="TableParagraph"/>
              <w:spacing w:line="164" w:lineRule="exact"/>
              <w:ind w:left="820" w:right="821"/>
              <w:rPr>
                <w:sz w:val="16"/>
              </w:rPr>
            </w:pPr>
            <w:r>
              <w:rPr>
                <w:sz w:val="16"/>
              </w:rPr>
              <w:t>4.200</w:t>
            </w:r>
          </w:p>
        </w:tc>
        <w:tc>
          <w:tcPr>
            <w:tcW w:w="2404" w:type="dxa"/>
            <w:tcBorders>
              <w:left w:val="single" w:sz="4" w:space="0" w:color="000000"/>
            </w:tcBorders>
          </w:tcPr>
          <w:p>
            <w:pPr>
              <w:pStyle w:val="TableParagraph"/>
              <w:spacing w:line="164" w:lineRule="exact"/>
              <w:ind w:left="1043" w:right="1049"/>
              <w:rPr>
                <w:sz w:val="16"/>
              </w:rPr>
            </w:pPr>
            <w:r>
              <w:rPr>
                <w:sz w:val="16"/>
              </w:rPr>
              <w:t>250</w:t>
            </w:r>
          </w:p>
        </w:tc>
      </w:tr>
      <w:tr>
        <w:trPr>
          <w:trHeight w:val="184" w:hRule="atLeast"/>
        </w:trPr>
        <w:tc>
          <w:tcPr>
            <w:tcW w:w="2195" w:type="dxa"/>
            <w:tcBorders>
              <w:right w:val="single" w:sz="4" w:space="0" w:color="000000"/>
            </w:tcBorders>
          </w:tcPr>
          <w:p>
            <w:pPr>
              <w:pStyle w:val="TableParagraph"/>
              <w:spacing w:line="164" w:lineRule="exact"/>
              <w:ind w:right="884"/>
              <w:jc w:val="right"/>
              <w:rPr>
                <w:sz w:val="16"/>
              </w:rPr>
            </w:pPr>
            <w:r>
              <w:rPr>
                <w:w w:val="95"/>
                <w:sz w:val="16"/>
              </w:rPr>
              <w:t>5.710</w:t>
            </w:r>
          </w:p>
        </w:tc>
        <w:tc>
          <w:tcPr>
            <w:tcW w:w="2182" w:type="dxa"/>
            <w:tcBorders>
              <w:left w:val="single" w:sz="4" w:space="0" w:color="000000"/>
              <w:right w:val="single" w:sz="4" w:space="0" w:color="000000"/>
            </w:tcBorders>
          </w:tcPr>
          <w:p>
            <w:pPr>
              <w:pStyle w:val="TableParagraph"/>
              <w:spacing w:line="164" w:lineRule="exact"/>
              <w:ind w:left="820" w:right="821"/>
              <w:rPr>
                <w:sz w:val="16"/>
              </w:rPr>
            </w:pPr>
            <w:r>
              <w:rPr>
                <w:sz w:val="16"/>
              </w:rPr>
              <w:t>6.920</w:t>
            </w:r>
          </w:p>
        </w:tc>
        <w:tc>
          <w:tcPr>
            <w:tcW w:w="2182" w:type="dxa"/>
            <w:tcBorders>
              <w:left w:val="single" w:sz="4" w:space="0" w:color="000000"/>
              <w:right w:val="single" w:sz="4" w:space="0" w:color="000000"/>
            </w:tcBorders>
          </w:tcPr>
          <w:p>
            <w:pPr>
              <w:pStyle w:val="TableParagraph"/>
              <w:spacing w:line="164" w:lineRule="exact"/>
              <w:ind w:left="820" w:right="821"/>
              <w:rPr>
                <w:sz w:val="16"/>
              </w:rPr>
            </w:pPr>
            <w:r>
              <w:rPr>
                <w:sz w:val="16"/>
              </w:rPr>
              <w:t>8.290</w:t>
            </w:r>
          </w:p>
        </w:tc>
        <w:tc>
          <w:tcPr>
            <w:tcW w:w="2404" w:type="dxa"/>
            <w:tcBorders>
              <w:left w:val="single" w:sz="4" w:space="0" w:color="000000"/>
            </w:tcBorders>
          </w:tcPr>
          <w:p>
            <w:pPr>
              <w:pStyle w:val="TableParagraph"/>
              <w:spacing w:line="164" w:lineRule="exact"/>
              <w:ind w:left="1043" w:right="1049"/>
              <w:rPr>
                <w:sz w:val="16"/>
              </w:rPr>
            </w:pPr>
            <w:r>
              <w:rPr>
                <w:sz w:val="16"/>
              </w:rPr>
              <w:t>315</w:t>
            </w:r>
          </w:p>
        </w:tc>
      </w:tr>
      <w:tr>
        <w:trPr>
          <w:trHeight w:val="183" w:hRule="atLeast"/>
        </w:trPr>
        <w:tc>
          <w:tcPr>
            <w:tcW w:w="2195" w:type="dxa"/>
            <w:tcBorders>
              <w:bottom w:val="single" w:sz="4" w:space="0" w:color="000000"/>
              <w:right w:val="single" w:sz="4" w:space="0" w:color="000000"/>
            </w:tcBorders>
          </w:tcPr>
          <w:p>
            <w:pPr>
              <w:pStyle w:val="TableParagraph"/>
              <w:spacing w:line="164" w:lineRule="exact"/>
              <w:ind w:right="884"/>
              <w:jc w:val="right"/>
              <w:rPr>
                <w:sz w:val="16"/>
              </w:rPr>
            </w:pPr>
            <w:r>
              <w:rPr>
                <w:w w:val="95"/>
                <w:sz w:val="16"/>
              </w:rPr>
              <w:t>8.300</w:t>
            </w:r>
          </w:p>
        </w:tc>
        <w:tc>
          <w:tcPr>
            <w:tcW w:w="2182" w:type="dxa"/>
            <w:tcBorders>
              <w:left w:val="single" w:sz="4" w:space="0" w:color="000000"/>
              <w:bottom w:val="single" w:sz="4" w:space="0" w:color="000000"/>
              <w:right w:val="single" w:sz="4" w:space="0" w:color="000000"/>
            </w:tcBorders>
          </w:tcPr>
          <w:p>
            <w:pPr>
              <w:pStyle w:val="TableParagraph"/>
              <w:spacing w:line="164" w:lineRule="exact"/>
              <w:ind w:left="820" w:right="821"/>
              <w:rPr>
                <w:sz w:val="16"/>
              </w:rPr>
            </w:pPr>
            <w:r>
              <w:rPr>
                <w:sz w:val="16"/>
              </w:rPr>
              <w:t>10.000</w:t>
            </w:r>
          </w:p>
        </w:tc>
        <w:tc>
          <w:tcPr>
            <w:tcW w:w="2182" w:type="dxa"/>
            <w:tcBorders>
              <w:left w:val="single" w:sz="4" w:space="0" w:color="000000"/>
              <w:bottom w:val="single" w:sz="4" w:space="0" w:color="000000"/>
              <w:right w:val="single" w:sz="4" w:space="0" w:color="000000"/>
            </w:tcBorders>
          </w:tcPr>
          <w:p>
            <w:pPr>
              <w:pStyle w:val="TableParagraph"/>
              <w:spacing w:line="164" w:lineRule="exact"/>
              <w:ind w:left="820" w:right="821"/>
              <w:rPr>
                <w:sz w:val="16"/>
              </w:rPr>
            </w:pPr>
            <w:r>
              <w:rPr>
                <w:sz w:val="16"/>
              </w:rPr>
              <w:t>12.000</w:t>
            </w:r>
          </w:p>
        </w:tc>
        <w:tc>
          <w:tcPr>
            <w:tcW w:w="2404" w:type="dxa"/>
            <w:tcBorders>
              <w:left w:val="single" w:sz="4" w:space="0" w:color="000000"/>
              <w:bottom w:val="single" w:sz="4" w:space="0" w:color="000000"/>
            </w:tcBorders>
          </w:tcPr>
          <w:p>
            <w:pPr>
              <w:pStyle w:val="TableParagraph"/>
              <w:spacing w:line="164" w:lineRule="exact"/>
              <w:ind w:left="1043" w:right="1049"/>
              <w:rPr>
                <w:sz w:val="16"/>
              </w:rPr>
            </w:pPr>
            <w:r>
              <w:rPr>
                <w:sz w:val="16"/>
              </w:rPr>
              <w:t>350</w:t>
            </w:r>
          </w:p>
        </w:tc>
      </w:tr>
    </w:tbl>
    <w:p>
      <w:pPr>
        <w:pStyle w:val="BodyText"/>
        <w:spacing w:before="2"/>
        <w:rPr>
          <w:b/>
          <w:sz w:val="24"/>
        </w:rPr>
      </w:pPr>
    </w:p>
    <w:p>
      <w:pPr>
        <w:pStyle w:val="ListParagraph"/>
        <w:numPr>
          <w:ilvl w:val="1"/>
          <w:numId w:val="241"/>
        </w:numPr>
        <w:tabs>
          <w:tab w:pos="786" w:val="left" w:leader="none"/>
          <w:tab w:pos="787" w:val="left" w:leader="none"/>
        </w:tabs>
        <w:spacing w:line="240" w:lineRule="auto" w:before="1" w:after="0"/>
        <w:ind w:left="786" w:right="0" w:hanging="569"/>
        <w:jc w:val="left"/>
        <w:rPr>
          <w:b/>
          <w:i/>
          <w:sz w:val="24"/>
        </w:rPr>
      </w:pPr>
      <w:r>
        <w:rPr>
          <w:b/>
          <w:sz w:val="24"/>
        </w:rPr>
        <w:t>Dimensionado de la red de evacuación de </w:t>
      </w:r>
      <w:r>
        <w:rPr>
          <w:b/>
          <w:i/>
          <w:sz w:val="24"/>
        </w:rPr>
        <w:t>aguas</w:t>
      </w:r>
      <w:r>
        <w:rPr>
          <w:b/>
          <w:i/>
          <w:spacing w:val="-1"/>
          <w:sz w:val="24"/>
        </w:rPr>
        <w:t> </w:t>
      </w:r>
      <w:r>
        <w:rPr>
          <w:b/>
          <w:i/>
          <w:sz w:val="24"/>
        </w:rPr>
        <w:t>pluviales</w:t>
      </w:r>
    </w:p>
    <w:p>
      <w:pPr>
        <w:pStyle w:val="ListParagraph"/>
        <w:numPr>
          <w:ilvl w:val="2"/>
          <w:numId w:val="241"/>
        </w:numPr>
        <w:tabs>
          <w:tab w:pos="787" w:val="left" w:leader="none"/>
        </w:tabs>
        <w:spacing w:line="240" w:lineRule="auto" w:before="200" w:after="0"/>
        <w:ind w:left="786" w:right="0" w:hanging="569"/>
        <w:jc w:val="left"/>
        <w:rPr>
          <w:b/>
          <w:i/>
          <w:sz w:val="20"/>
        </w:rPr>
      </w:pPr>
      <w:r>
        <w:rPr>
          <w:b/>
          <w:sz w:val="20"/>
        </w:rPr>
        <w:t>Red de pequeña evacuación de </w:t>
      </w:r>
      <w:r>
        <w:rPr>
          <w:b/>
          <w:i/>
          <w:sz w:val="20"/>
        </w:rPr>
        <w:t>aguas</w:t>
      </w:r>
      <w:r>
        <w:rPr>
          <w:b/>
          <w:i/>
          <w:spacing w:val="-3"/>
          <w:sz w:val="20"/>
        </w:rPr>
        <w:t> </w:t>
      </w:r>
      <w:r>
        <w:rPr>
          <w:b/>
          <w:i/>
          <w:sz w:val="20"/>
        </w:rPr>
        <w:t>pluviales</w:t>
      </w:r>
    </w:p>
    <w:p>
      <w:pPr>
        <w:pStyle w:val="ListParagraph"/>
        <w:numPr>
          <w:ilvl w:val="0"/>
          <w:numId w:val="247"/>
        </w:numPr>
        <w:tabs>
          <w:tab w:pos="672" w:val="left" w:leader="none"/>
          <w:tab w:pos="673" w:val="left" w:leader="none"/>
        </w:tabs>
        <w:spacing w:line="240" w:lineRule="auto" w:before="98" w:after="0"/>
        <w:ind w:left="672" w:right="819" w:hanging="454"/>
        <w:jc w:val="left"/>
        <w:rPr>
          <w:sz w:val="20"/>
        </w:rPr>
      </w:pPr>
      <w:r>
        <w:rPr>
          <w:sz w:val="20"/>
        </w:rPr>
        <w:t>El área de la superficie de paso del elemento filtrante de una caldereta debe estar comprendida entre 1,5 y 2 veces la sección recta de la tubería a la que se</w:t>
      </w:r>
      <w:r>
        <w:rPr>
          <w:spacing w:val="-7"/>
          <w:sz w:val="20"/>
        </w:rPr>
        <w:t> </w:t>
      </w:r>
      <w:r>
        <w:rPr>
          <w:sz w:val="20"/>
        </w:rPr>
        <w:t>conecta.</w:t>
      </w:r>
    </w:p>
    <w:p>
      <w:pPr>
        <w:pStyle w:val="ListParagraph"/>
        <w:numPr>
          <w:ilvl w:val="0"/>
          <w:numId w:val="247"/>
        </w:numPr>
        <w:tabs>
          <w:tab w:pos="672" w:val="left" w:leader="none"/>
          <w:tab w:pos="673" w:val="left" w:leader="none"/>
        </w:tabs>
        <w:spacing w:line="240" w:lineRule="auto" w:before="61" w:after="0"/>
        <w:ind w:left="672" w:right="473" w:hanging="454"/>
        <w:jc w:val="left"/>
        <w:rPr>
          <w:sz w:val="20"/>
        </w:rPr>
      </w:pPr>
      <w:r>
        <w:rPr>
          <w:sz w:val="20"/>
        </w:rPr>
        <w:t>El número mínimo de sumideros que deben disponerse es el indicado en la tabla 4.6, en función de la superficie proyectada horizontalmente de la cubierta a la que</w:t>
      </w:r>
      <w:r>
        <w:rPr>
          <w:spacing w:val="-3"/>
          <w:sz w:val="20"/>
        </w:rPr>
        <w:t> </w:t>
      </w:r>
      <w:r>
        <w:rPr>
          <w:sz w:val="20"/>
        </w:rPr>
        <w:t>sirven.</w:t>
      </w:r>
    </w:p>
    <w:p>
      <w:pPr>
        <w:spacing w:before="59" w:after="4"/>
        <w:ind w:left="1870" w:right="0" w:firstLine="0"/>
        <w:jc w:val="left"/>
        <w:rPr>
          <w:b/>
          <w:sz w:val="18"/>
        </w:rPr>
      </w:pPr>
      <w:r>
        <w:rPr>
          <w:b/>
          <w:sz w:val="18"/>
        </w:rPr>
        <w:t>Tabla 4.6 Número de sumideros en función de la superficie de</w:t>
      </w:r>
      <w:r>
        <w:rPr>
          <w:b/>
          <w:spacing w:val="-8"/>
          <w:sz w:val="18"/>
        </w:rPr>
        <w:t> </w:t>
      </w:r>
      <w:r>
        <w:rPr>
          <w:b/>
          <w:sz w:val="18"/>
        </w:rPr>
        <w:t>cubierta</w:t>
      </w:r>
    </w:p>
    <w:tbl>
      <w:tblPr>
        <w:tblW w:w="0" w:type="auto"/>
        <w:jc w:val="left"/>
        <w:tblInd w:w="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3"/>
        <w:gridCol w:w="4370"/>
      </w:tblGrid>
      <w:tr>
        <w:trPr>
          <w:trHeight w:val="183" w:hRule="atLeast"/>
        </w:trPr>
        <w:tc>
          <w:tcPr>
            <w:tcW w:w="4593" w:type="dxa"/>
            <w:tcBorders>
              <w:top w:val="single" w:sz="4" w:space="0" w:color="000000"/>
              <w:bottom w:val="single" w:sz="4" w:space="0" w:color="000000"/>
              <w:right w:val="single" w:sz="4" w:space="0" w:color="000000"/>
            </w:tcBorders>
          </w:tcPr>
          <w:p>
            <w:pPr>
              <w:pStyle w:val="TableParagraph"/>
              <w:spacing w:line="163" w:lineRule="exact"/>
              <w:ind w:left="302" w:right="285"/>
              <w:rPr>
                <w:b/>
                <w:sz w:val="16"/>
              </w:rPr>
            </w:pPr>
            <w:r>
              <w:rPr>
                <w:b/>
                <w:sz w:val="16"/>
              </w:rPr>
              <w:t>Superficie de cubierta en proyección horizontal (m</w:t>
            </w:r>
            <w:r>
              <w:rPr>
                <w:b/>
                <w:sz w:val="16"/>
                <w:vertAlign w:val="superscript"/>
              </w:rPr>
              <w:t>2</w:t>
            </w:r>
            <w:r>
              <w:rPr>
                <w:b/>
                <w:sz w:val="16"/>
                <w:vertAlign w:val="baseline"/>
              </w:rPr>
              <w:t>)</w:t>
            </w:r>
          </w:p>
        </w:tc>
        <w:tc>
          <w:tcPr>
            <w:tcW w:w="4370" w:type="dxa"/>
            <w:tcBorders>
              <w:top w:val="single" w:sz="4" w:space="0" w:color="000000"/>
              <w:left w:val="single" w:sz="4" w:space="0" w:color="000000"/>
              <w:bottom w:val="single" w:sz="4" w:space="0" w:color="000000"/>
            </w:tcBorders>
          </w:tcPr>
          <w:p>
            <w:pPr>
              <w:pStyle w:val="TableParagraph"/>
              <w:spacing w:line="163" w:lineRule="exact"/>
              <w:ind w:left="1314" w:right="1321"/>
              <w:rPr>
                <w:b/>
                <w:sz w:val="16"/>
              </w:rPr>
            </w:pPr>
            <w:r>
              <w:rPr>
                <w:b/>
                <w:sz w:val="16"/>
              </w:rPr>
              <w:t>Número de sumideros</w:t>
            </w:r>
          </w:p>
        </w:tc>
      </w:tr>
      <w:tr>
        <w:trPr>
          <w:trHeight w:val="182" w:hRule="atLeast"/>
        </w:trPr>
        <w:tc>
          <w:tcPr>
            <w:tcW w:w="4593" w:type="dxa"/>
            <w:tcBorders>
              <w:top w:val="single" w:sz="4" w:space="0" w:color="000000"/>
              <w:right w:val="single" w:sz="4" w:space="0" w:color="000000"/>
            </w:tcBorders>
          </w:tcPr>
          <w:p>
            <w:pPr>
              <w:pStyle w:val="TableParagraph"/>
              <w:spacing w:line="162" w:lineRule="exact"/>
              <w:ind w:left="301" w:right="285"/>
              <w:rPr>
                <w:sz w:val="16"/>
              </w:rPr>
            </w:pPr>
            <w:r>
              <w:rPr>
                <w:sz w:val="16"/>
              </w:rPr>
              <w:t>S &lt; 100</w:t>
            </w:r>
          </w:p>
        </w:tc>
        <w:tc>
          <w:tcPr>
            <w:tcW w:w="4370" w:type="dxa"/>
            <w:tcBorders>
              <w:top w:val="single" w:sz="4" w:space="0" w:color="000000"/>
              <w:left w:val="single" w:sz="4" w:space="0" w:color="000000"/>
            </w:tcBorders>
          </w:tcPr>
          <w:p>
            <w:pPr>
              <w:pStyle w:val="TableParagraph"/>
              <w:spacing w:line="162" w:lineRule="exact"/>
              <w:ind w:right="4"/>
              <w:rPr>
                <w:sz w:val="16"/>
              </w:rPr>
            </w:pPr>
            <w:r>
              <w:rPr>
                <w:w w:val="99"/>
                <w:sz w:val="16"/>
              </w:rPr>
              <w:t>2</w:t>
            </w:r>
          </w:p>
        </w:tc>
      </w:tr>
      <w:tr>
        <w:trPr>
          <w:trHeight w:val="196" w:hRule="atLeast"/>
        </w:trPr>
        <w:tc>
          <w:tcPr>
            <w:tcW w:w="4593" w:type="dxa"/>
            <w:tcBorders>
              <w:right w:val="single" w:sz="4" w:space="0" w:color="000000"/>
            </w:tcBorders>
          </w:tcPr>
          <w:p>
            <w:pPr>
              <w:pStyle w:val="TableParagraph"/>
              <w:spacing w:line="176" w:lineRule="exact" w:before="1"/>
              <w:ind w:left="301" w:right="285"/>
              <w:rPr>
                <w:sz w:val="16"/>
              </w:rPr>
            </w:pPr>
            <w:r>
              <w:rPr>
                <w:sz w:val="16"/>
              </w:rPr>
              <w:t>100</w:t>
            </w:r>
            <w:r>
              <w:rPr>
                <w:rFonts w:ascii="Symbol" w:hAnsi="Symbol"/>
                <w:sz w:val="16"/>
              </w:rPr>
              <w:t></w:t>
            </w:r>
            <w:r>
              <w:rPr>
                <w:rFonts w:ascii="Times New Roman" w:hAnsi="Times New Roman"/>
                <w:sz w:val="16"/>
              </w:rPr>
              <w:t> </w:t>
            </w:r>
            <w:r>
              <w:rPr>
                <w:sz w:val="16"/>
              </w:rPr>
              <w:t>S &lt; 200</w:t>
            </w:r>
          </w:p>
        </w:tc>
        <w:tc>
          <w:tcPr>
            <w:tcW w:w="4370" w:type="dxa"/>
            <w:tcBorders>
              <w:left w:val="single" w:sz="4" w:space="0" w:color="000000"/>
            </w:tcBorders>
          </w:tcPr>
          <w:p>
            <w:pPr>
              <w:pStyle w:val="TableParagraph"/>
              <w:spacing w:line="171" w:lineRule="exact" w:before="5"/>
              <w:ind w:right="4"/>
              <w:rPr>
                <w:sz w:val="16"/>
              </w:rPr>
            </w:pPr>
            <w:r>
              <w:rPr>
                <w:w w:val="99"/>
                <w:sz w:val="16"/>
              </w:rPr>
              <w:t>3</w:t>
            </w:r>
          </w:p>
        </w:tc>
      </w:tr>
      <w:tr>
        <w:trPr>
          <w:trHeight w:val="188" w:hRule="atLeast"/>
        </w:trPr>
        <w:tc>
          <w:tcPr>
            <w:tcW w:w="4593" w:type="dxa"/>
            <w:tcBorders>
              <w:right w:val="single" w:sz="4" w:space="0" w:color="000000"/>
            </w:tcBorders>
          </w:tcPr>
          <w:p>
            <w:pPr>
              <w:pStyle w:val="TableParagraph"/>
              <w:spacing w:line="169" w:lineRule="exact"/>
              <w:ind w:left="299" w:right="285"/>
              <w:rPr>
                <w:sz w:val="16"/>
              </w:rPr>
            </w:pPr>
            <w:r>
              <w:rPr>
                <w:sz w:val="16"/>
              </w:rPr>
              <w:t>200 </w:t>
            </w:r>
            <w:r>
              <w:rPr>
                <w:rFonts w:ascii="Symbol" w:hAnsi="Symbol"/>
                <w:sz w:val="16"/>
              </w:rPr>
              <w:t></w:t>
            </w:r>
            <w:r>
              <w:rPr>
                <w:rFonts w:ascii="Times New Roman" w:hAnsi="Times New Roman"/>
                <w:sz w:val="16"/>
              </w:rPr>
              <w:t> </w:t>
            </w:r>
            <w:r>
              <w:rPr>
                <w:sz w:val="16"/>
              </w:rPr>
              <w:t>S &lt; 500</w:t>
            </w:r>
          </w:p>
        </w:tc>
        <w:tc>
          <w:tcPr>
            <w:tcW w:w="4370" w:type="dxa"/>
            <w:tcBorders>
              <w:left w:val="single" w:sz="4" w:space="0" w:color="000000"/>
            </w:tcBorders>
          </w:tcPr>
          <w:p>
            <w:pPr>
              <w:pStyle w:val="TableParagraph"/>
              <w:spacing w:line="164" w:lineRule="exact" w:before="4"/>
              <w:ind w:right="4"/>
              <w:rPr>
                <w:sz w:val="16"/>
              </w:rPr>
            </w:pPr>
            <w:r>
              <w:rPr>
                <w:w w:val="99"/>
                <w:sz w:val="16"/>
              </w:rPr>
              <w:t>4</w:t>
            </w:r>
          </w:p>
        </w:tc>
      </w:tr>
      <w:tr>
        <w:trPr>
          <w:trHeight w:val="192" w:hRule="atLeast"/>
        </w:trPr>
        <w:tc>
          <w:tcPr>
            <w:tcW w:w="4593" w:type="dxa"/>
            <w:tcBorders>
              <w:bottom w:val="single" w:sz="4" w:space="0" w:color="000000"/>
              <w:right w:val="single" w:sz="4" w:space="0" w:color="000000"/>
            </w:tcBorders>
          </w:tcPr>
          <w:p>
            <w:pPr>
              <w:pStyle w:val="TableParagraph"/>
              <w:spacing w:line="166" w:lineRule="exact" w:before="6"/>
              <w:ind w:left="301" w:right="285"/>
              <w:rPr>
                <w:sz w:val="16"/>
              </w:rPr>
            </w:pPr>
            <w:r>
              <w:rPr>
                <w:sz w:val="16"/>
              </w:rPr>
              <w:t>S &gt; 500</w:t>
            </w:r>
          </w:p>
        </w:tc>
        <w:tc>
          <w:tcPr>
            <w:tcW w:w="4370" w:type="dxa"/>
            <w:tcBorders>
              <w:left w:val="single" w:sz="4" w:space="0" w:color="000000"/>
              <w:bottom w:val="single" w:sz="4" w:space="0" w:color="000000"/>
            </w:tcBorders>
          </w:tcPr>
          <w:p>
            <w:pPr>
              <w:pStyle w:val="TableParagraph"/>
              <w:spacing w:line="166" w:lineRule="exact" w:before="6"/>
              <w:ind w:left="1314" w:right="1319"/>
              <w:rPr>
                <w:sz w:val="16"/>
              </w:rPr>
            </w:pPr>
            <w:r>
              <w:rPr>
                <w:sz w:val="16"/>
              </w:rPr>
              <w:t>1 cada 150 m</w:t>
            </w:r>
            <w:r>
              <w:rPr>
                <w:sz w:val="16"/>
                <w:vertAlign w:val="superscript"/>
              </w:rPr>
              <w:t>2</w:t>
            </w:r>
          </w:p>
        </w:tc>
      </w:tr>
    </w:tbl>
    <w:p>
      <w:pPr>
        <w:pStyle w:val="ListParagraph"/>
        <w:numPr>
          <w:ilvl w:val="0"/>
          <w:numId w:val="247"/>
        </w:numPr>
        <w:tabs>
          <w:tab w:pos="672" w:val="left" w:leader="none"/>
          <w:tab w:pos="673" w:val="left" w:leader="none"/>
        </w:tabs>
        <w:spacing w:line="240" w:lineRule="auto" w:before="57" w:after="0"/>
        <w:ind w:left="672" w:right="397" w:hanging="454"/>
        <w:jc w:val="left"/>
        <w:rPr>
          <w:sz w:val="20"/>
        </w:rPr>
      </w:pPr>
      <w:r>
        <w:rPr>
          <w:sz w:val="20"/>
        </w:rPr>
        <w:t>El número de puntos de recogida debe ser suficiente para que no haya desniveles mayores que 150 mm y pendientes máximas del 0,5 %, y para evitar una sobrecarga excesiva de la</w:t>
      </w:r>
      <w:r>
        <w:rPr>
          <w:spacing w:val="-9"/>
          <w:sz w:val="20"/>
        </w:rPr>
        <w:t> </w:t>
      </w:r>
      <w:r>
        <w:rPr>
          <w:sz w:val="20"/>
        </w:rPr>
        <w:t>cubierta.</w:t>
      </w:r>
    </w:p>
    <w:p>
      <w:pPr>
        <w:pStyle w:val="ListParagraph"/>
        <w:numPr>
          <w:ilvl w:val="0"/>
          <w:numId w:val="247"/>
        </w:numPr>
        <w:tabs>
          <w:tab w:pos="672" w:val="left" w:leader="none"/>
          <w:tab w:pos="673" w:val="left" w:leader="none"/>
        </w:tabs>
        <w:spacing w:line="240" w:lineRule="auto" w:before="60" w:after="0"/>
        <w:ind w:left="672" w:right="818" w:hanging="454"/>
        <w:jc w:val="left"/>
        <w:rPr>
          <w:sz w:val="20"/>
        </w:rPr>
      </w:pPr>
      <w:r>
        <w:rPr>
          <w:sz w:val="20"/>
        </w:rPr>
        <w:t>Cuando por razones de diseño no se instalen estos puntos de recogida debe preverse de algún modo la evacuación de las aguas de precipitación, como por ejemplo colocando</w:t>
      </w:r>
      <w:r>
        <w:rPr>
          <w:spacing w:val="-9"/>
          <w:sz w:val="20"/>
        </w:rPr>
        <w:t> </w:t>
      </w:r>
      <w:r>
        <w:rPr>
          <w:sz w:val="20"/>
        </w:rPr>
        <w:t>rebosaderos.</w:t>
      </w:r>
    </w:p>
    <w:p>
      <w:pPr>
        <w:pStyle w:val="BodyText"/>
        <w:spacing w:before="7"/>
        <w:rPr>
          <w:sz w:val="17"/>
        </w:rPr>
      </w:pPr>
    </w:p>
    <w:p>
      <w:pPr>
        <w:pStyle w:val="Heading5"/>
        <w:numPr>
          <w:ilvl w:val="2"/>
          <w:numId w:val="241"/>
        </w:numPr>
        <w:tabs>
          <w:tab w:pos="787" w:val="left" w:leader="none"/>
        </w:tabs>
        <w:spacing w:line="240" w:lineRule="auto" w:before="0" w:after="0"/>
        <w:ind w:left="786" w:right="0" w:hanging="569"/>
        <w:jc w:val="left"/>
      </w:pPr>
      <w:r>
        <w:rPr/>
        <w:t>Canalones</w:t>
      </w:r>
    </w:p>
    <w:p>
      <w:pPr>
        <w:pStyle w:val="ListParagraph"/>
        <w:numPr>
          <w:ilvl w:val="0"/>
          <w:numId w:val="248"/>
        </w:numPr>
        <w:tabs>
          <w:tab w:pos="672" w:val="left" w:leader="none"/>
          <w:tab w:pos="673" w:val="left" w:leader="none"/>
        </w:tabs>
        <w:spacing w:line="240" w:lineRule="auto" w:before="98" w:after="0"/>
        <w:ind w:left="672" w:right="408" w:hanging="454"/>
        <w:jc w:val="left"/>
        <w:rPr>
          <w:sz w:val="20"/>
        </w:rPr>
      </w:pPr>
      <w:r>
        <w:rPr>
          <w:sz w:val="20"/>
        </w:rPr>
        <w:t>El </w:t>
      </w:r>
      <w:r>
        <w:rPr>
          <w:i/>
          <w:sz w:val="20"/>
        </w:rPr>
        <w:t>diámetro nominal </w:t>
      </w:r>
      <w:r>
        <w:rPr>
          <w:sz w:val="20"/>
        </w:rPr>
        <w:t>del canalón de evacuación de </w:t>
      </w:r>
      <w:r>
        <w:rPr>
          <w:i/>
          <w:sz w:val="20"/>
        </w:rPr>
        <w:t>aguas pluviales </w:t>
      </w:r>
      <w:r>
        <w:rPr>
          <w:sz w:val="20"/>
        </w:rPr>
        <w:t>de sección semicircular para una intensidad pluviométrica de 100 mm/h se obtiene en la tabla 4.7 en función de su pendiente y de la superficie a la que</w:t>
      </w:r>
      <w:r>
        <w:rPr>
          <w:spacing w:val="-2"/>
          <w:sz w:val="20"/>
        </w:rPr>
        <w:t> </w:t>
      </w:r>
      <w:r>
        <w:rPr>
          <w:sz w:val="20"/>
        </w:rPr>
        <w:t>sirve.</w:t>
      </w:r>
    </w:p>
    <w:p>
      <w:pPr>
        <w:spacing w:before="59" w:after="4"/>
        <w:ind w:left="1664" w:right="0" w:firstLine="0"/>
        <w:jc w:val="left"/>
        <w:rPr>
          <w:b/>
          <w:sz w:val="18"/>
        </w:rPr>
      </w:pPr>
      <w:r>
        <w:rPr>
          <w:b/>
          <w:sz w:val="18"/>
        </w:rPr>
        <w:t>Tabla 4.7 Diámetro del canalón para un régimen pluviométrico de 100 mm/h</w:t>
      </w:r>
    </w:p>
    <w:tbl>
      <w:tblPr>
        <w:tblW w:w="0" w:type="auto"/>
        <w:jc w:val="left"/>
        <w:tblInd w:w="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4"/>
        <w:gridCol w:w="1513"/>
        <w:gridCol w:w="1547"/>
        <w:gridCol w:w="1547"/>
        <w:gridCol w:w="2765"/>
      </w:tblGrid>
      <w:tr>
        <w:trPr>
          <w:trHeight w:val="184" w:hRule="atLeast"/>
        </w:trPr>
        <w:tc>
          <w:tcPr>
            <w:tcW w:w="6201" w:type="dxa"/>
            <w:gridSpan w:val="4"/>
            <w:tcBorders>
              <w:top w:val="single" w:sz="4" w:space="0" w:color="000000"/>
              <w:bottom w:val="single" w:sz="4" w:space="0" w:color="000000"/>
              <w:right w:val="single" w:sz="4" w:space="0" w:color="000000"/>
            </w:tcBorders>
          </w:tcPr>
          <w:p>
            <w:pPr>
              <w:pStyle w:val="TableParagraph"/>
              <w:spacing w:line="164" w:lineRule="exact"/>
              <w:ind w:left="797" w:right="783"/>
              <w:rPr>
                <w:b/>
                <w:sz w:val="16"/>
              </w:rPr>
            </w:pPr>
            <w:r>
              <w:rPr>
                <w:b/>
                <w:sz w:val="16"/>
              </w:rPr>
              <w:t>Máxima superficie de cubierta en proyección horizontal (m</w:t>
            </w:r>
            <w:r>
              <w:rPr>
                <w:b/>
                <w:sz w:val="16"/>
                <w:vertAlign w:val="superscript"/>
              </w:rPr>
              <w:t>2</w:t>
            </w:r>
            <w:r>
              <w:rPr>
                <w:b/>
                <w:sz w:val="16"/>
                <w:vertAlign w:val="baseline"/>
              </w:rPr>
              <w:t>)</w:t>
            </w:r>
          </w:p>
        </w:tc>
        <w:tc>
          <w:tcPr>
            <w:tcW w:w="2765" w:type="dxa"/>
            <w:vMerge w:val="restart"/>
            <w:tcBorders>
              <w:top w:val="single" w:sz="4" w:space="0" w:color="000000"/>
              <w:left w:val="single" w:sz="4" w:space="0" w:color="000000"/>
              <w:bottom w:val="single" w:sz="4" w:space="0" w:color="000000"/>
            </w:tcBorders>
          </w:tcPr>
          <w:p>
            <w:pPr>
              <w:pStyle w:val="TableParagraph"/>
              <w:spacing w:before="94"/>
              <w:ind w:left="1178" w:right="227" w:hanging="942"/>
              <w:jc w:val="left"/>
              <w:rPr>
                <w:b/>
                <w:sz w:val="16"/>
              </w:rPr>
            </w:pPr>
            <w:r>
              <w:rPr>
                <w:b/>
                <w:i/>
                <w:sz w:val="16"/>
              </w:rPr>
              <w:t>Diámetro nominal </w:t>
            </w:r>
            <w:r>
              <w:rPr>
                <w:b/>
                <w:sz w:val="16"/>
              </w:rPr>
              <w:t>del canalón (mm)</w:t>
            </w:r>
          </w:p>
        </w:tc>
      </w:tr>
      <w:tr>
        <w:trPr>
          <w:trHeight w:val="178" w:hRule="atLeast"/>
        </w:trPr>
        <w:tc>
          <w:tcPr>
            <w:tcW w:w="1594" w:type="dxa"/>
            <w:tcBorders>
              <w:top w:val="single" w:sz="4" w:space="0" w:color="000000"/>
            </w:tcBorders>
          </w:tcPr>
          <w:p>
            <w:pPr>
              <w:pStyle w:val="TableParagraph"/>
              <w:jc w:val="left"/>
              <w:rPr>
                <w:rFonts w:ascii="Times New Roman"/>
                <w:sz w:val="12"/>
              </w:rPr>
            </w:pPr>
          </w:p>
        </w:tc>
        <w:tc>
          <w:tcPr>
            <w:tcW w:w="3060" w:type="dxa"/>
            <w:gridSpan w:val="2"/>
            <w:tcBorders>
              <w:top w:val="single" w:sz="4" w:space="0" w:color="000000"/>
            </w:tcBorders>
          </w:tcPr>
          <w:p>
            <w:pPr>
              <w:pStyle w:val="TableParagraph"/>
              <w:spacing w:line="159" w:lineRule="exact"/>
              <w:ind w:left="666"/>
              <w:jc w:val="left"/>
              <w:rPr>
                <w:b/>
                <w:sz w:val="16"/>
              </w:rPr>
            </w:pPr>
            <w:r>
              <w:rPr>
                <w:b/>
                <w:sz w:val="16"/>
              </w:rPr>
              <w:t>Pendiente del canalón</w:t>
            </w:r>
          </w:p>
        </w:tc>
        <w:tc>
          <w:tcPr>
            <w:tcW w:w="1547" w:type="dxa"/>
            <w:tcBorders>
              <w:top w:val="single" w:sz="4" w:space="0" w:color="000000"/>
              <w:right w:val="single" w:sz="4" w:space="0" w:color="000000"/>
            </w:tcBorders>
          </w:tcPr>
          <w:p>
            <w:pPr>
              <w:pStyle w:val="TableParagraph"/>
              <w:jc w:val="left"/>
              <w:rPr>
                <w:rFonts w:ascii="Times New Roman"/>
                <w:sz w:val="12"/>
              </w:rPr>
            </w:pPr>
          </w:p>
        </w:tc>
        <w:tc>
          <w:tcPr>
            <w:tcW w:w="2765" w:type="dxa"/>
            <w:vMerge/>
            <w:tcBorders>
              <w:top w:val="nil"/>
              <w:left w:val="single" w:sz="4" w:space="0" w:color="000000"/>
              <w:bottom w:val="single" w:sz="4" w:space="0" w:color="000000"/>
            </w:tcBorders>
          </w:tcPr>
          <w:p>
            <w:pPr>
              <w:rPr>
                <w:sz w:val="2"/>
                <w:szCs w:val="2"/>
              </w:rPr>
            </w:pPr>
          </w:p>
        </w:tc>
      </w:tr>
      <w:tr>
        <w:trPr>
          <w:trHeight w:val="177" w:hRule="atLeast"/>
        </w:trPr>
        <w:tc>
          <w:tcPr>
            <w:tcW w:w="1594" w:type="dxa"/>
            <w:tcBorders>
              <w:bottom w:val="single" w:sz="4" w:space="0" w:color="000000"/>
            </w:tcBorders>
          </w:tcPr>
          <w:p>
            <w:pPr>
              <w:pStyle w:val="TableParagraph"/>
              <w:spacing w:line="158" w:lineRule="exact"/>
              <w:ind w:right="599"/>
              <w:jc w:val="right"/>
              <w:rPr>
                <w:b/>
                <w:sz w:val="16"/>
              </w:rPr>
            </w:pPr>
            <w:r>
              <w:rPr>
                <w:b/>
                <w:sz w:val="16"/>
              </w:rPr>
              <w:t>0.5 %</w:t>
            </w:r>
          </w:p>
        </w:tc>
        <w:tc>
          <w:tcPr>
            <w:tcW w:w="1513" w:type="dxa"/>
            <w:tcBorders>
              <w:bottom w:val="single" w:sz="4" w:space="0" w:color="000000"/>
            </w:tcBorders>
          </w:tcPr>
          <w:p>
            <w:pPr>
              <w:pStyle w:val="TableParagraph"/>
              <w:spacing w:line="158" w:lineRule="exact"/>
              <w:ind w:left="582" w:right="614"/>
              <w:rPr>
                <w:b/>
                <w:sz w:val="16"/>
              </w:rPr>
            </w:pPr>
            <w:r>
              <w:rPr>
                <w:b/>
                <w:sz w:val="16"/>
              </w:rPr>
              <w:t>1 %</w:t>
            </w:r>
          </w:p>
        </w:tc>
        <w:tc>
          <w:tcPr>
            <w:tcW w:w="1547" w:type="dxa"/>
            <w:tcBorders>
              <w:bottom w:val="single" w:sz="4" w:space="0" w:color="000000"/>
            </w:tcBorders>
          </w:tcPr>
          <w:p>
            <w:pPr>
              <w:pStyle w:val="TableParagraph"/>
              <w:spacing w:line="158" w:lineRule="exact"/>
              <w:ind w:left="633"/>
              <w:jc w:val="left"/>
              <w:rPr>
                <w:b/>
                <w:sz w:val="16"/>
              </w:rPr>
            </w:pPr>
            <w:r>
              <w:rPr>
                <w:b/>
                <w:sz w:val="16"/>
              </w:rPr>
              <w:t>2 %</w:t>
            </w:r>
          </w:p>
        </w:tc>
        <w:tc>
          <w:tcPr>
            <w:tcW w:w="1547" w:type="dxa"/>
            <w:tcBorders>
              <w:bottom w:val="single" w:sz="4" w:space="0" w:color="000000"/>
              <w:right w:val="single" w:sz="4" w:space="0" w:color="000000"/>
            </w:tcBorders>
          </w:tcPr>
          <w:p>
            <w:pPr>
              <w:pStyle w:val="TableParagraph"/>
              <w:spacing w:line="158" w:lineRule="exact"/>
              <w:ind w:left="614" w:right="612"/>
              <w:rPr>
                <w:b/>
                <w:sz w:val="16"/>
              </w:rPr>
            </w:pPr>
            <w:r>
              <w:rPr>
                <w:b/>
                <w:sz w:val="16"/>
              </w:rPr>
              <w:t>4 %</w:t>
            </w:r>
          </w:p>
        </w:tc>
        <w:tc>
          <w:tcPr>
            <w:tcW w:w="2765" w:type="dxa"/>
            <w:vMerge/>
            <w:tcBorders>
              <w:top w:val="nil"/>
              <w:left w:val="single" w:sz="4" w:space="0" w:color="000000"/>
              <w:bottom w:val="single" w:sz="4" w:space="0" w:color="000000"/>
            </w:tcBorders>
          </w:tcPr>
          <w:p>
            <w:pPr>
              <w:rPr>
                <w:sz w:val="2"/>
                <w:szCs w:val="2"/>
              </w:rPr>
            </w:pPr>
          </w:p>
        </w:tc>
      </w:tr>
      <w:tr>
        <w:trPr>
          <w:trHeight w:val="185" w:hRule="atLeast"/>
        </w:trPr>
        <w:tc>
          <w:tcPr>
            <w:tcW w:w="1594" w:type="dxa"/>
            <w:tcBorders>
              <w:top w:val="single" w:sz="4" w:space="0" w:color="000000"/>
            </w:tcBorders>
          </w:tcPr>
          <w:p>
            <w:pPr>
              <w:pStyle w:val="TableParagraph"/>
              <w:spacing w:line="165" w:lineRule="exact"/>
              <w:ind w:left="679" w:right="696"/>
              <w:rPr>
                <w:sz w:val="16"/>
              </w:rPr>
            </w:pPr>
            <w:r>
              <w:rPr>
                <w:sz w:val="16"/>
              </w:rPr>
              <w:t>35</w:t>
            </w:r>
          </w:p>
        </w:tc>
        <w:tc>
          <w:tcPr>
            <w:tcW w:w="1513" w:type="dxa"/>
            <w:tcBorders>
              <w:top w:val="single" w:sz="4" w:space="0" w:color="000000"/>
            </w:tcBorders>
          </w:tcPr>
          <w:p>
            <w:pPr>
              <w:pStyle w:val="TableParagraph"/>
              <w:spacing w:line="165" w:lineRule="exact"/>
              <w:ind w:left="581" w:right="614"/>
              <w:rPr>
                <w:sz w:val="16"/>
              </w:rPr>
            </w:pPr>
            <w:r>
              <w:rPr>
                <w:sz w:val="16"/>
              </w:rPr>
              <w:t>45</w:t>
            </w:r>
          </w:p>
        </w:tc>
        <w:tc>
          <w:tcPr>
            <w:tcW w:w="1547" w:type="dxa"/>
            <w:tcBorders>
              <w:top w:val="single" w:sz="4" w:space="0" w:color="000000"/>
            </w:tcBorders>
          </w:tcPr>
          <w:p>
            <w:pPr>
              <w:pStyle w:val="TableParagraph"/>
              <w:spacing w:line="165" w:lineRule="exact"/>
              <w:ind w:left="683"/>
              <w:jc w:val="left"/>
              <w:rPr>
                <w:sz w:val="16"/>
              </w:rPr>
            </w:pPr>
            <w:r>
              <w:rPr>
                <w:sz w:val="16"/>
              </w:rPr>
              <w:t>65</w:t>
            </w:r>
          </w:p>
        </w:tc>
        <w:tc>
          <w:tcPr>
            <w:tcW w:w="1547" w:type="dxa"/>
            <w:tcBorders>
              <w:top w:val="single" w:sz="4" w:space="0" w:color="000000"/>
              <w:right w:val="single" w:sz="4" w:space="0" w:color="000000"/>
            </w:tcBorders>
          </w:tcPr>
          <w:p>
            <w:pPr>
              <w:pStyle w:val="TableParagraph"/>
              <w:spacing w:line="165" w:lineRule="exact"/>
              <w:ind w:left="613" w:right="612"/>
              <w:rPr>
                <w:sz w:val="16"/>
              </w:rPr>
            </w:pPr>
            <w:r>
              <w:rPr>
                <w:sz w:val="16"/>
              </w:rPr>
              <w:t>95</w:t>
            </w:r>
          </w:p>
        </w:tc>
        <w:tc>
          <w:tcPr>
            <w:tcW w:w="2765" w:type="dxa"/>
            <w:tcBorders>
              <w:top w:val="single" w:sz="4" w:space="0" w:color="000000"/>
              <w:left w:val="single" w:sz="4" w:space="0" w:color="000000"/>
            </w:tcBorders>
          </w:tcPr>
          <w:p>
            <w:pPr>
              <w:pStyle w:val="TableParagraph"/>
              <w:spacing w:line="165" w:lineRule="exact"/>
              <w:ind w:left="1221" w:right="1232"/>
              <w:rPr>
                <w:sz w:val="16"/>
              </w:rPr>
            </w:pPr>
            <w:r>
              <w:rPr>
                <w:sz w:val="16"/>
              </w:rPr>
              <w:t>100</w:t>
            </w:r>
          </w:p>
        </w:tc>
      </w:tr>
      <w:tr>
        <w:trPr>
          <w:trHeight w:val="183" w:hRule="atLeast"/>
        </w:trPr>
        <w:tc>
          <w:tcPr>
            <w:tcW w:w="1594" w:type="dxa"/>
          </w:tcPr>
          <w:p>
            <w:pPr>
              <w:pStyle w:val="TableParagraph"/>
              <w:spacing w:line="164" w:lineRule="exact"/>
              <w:ind w:left="679" w:right="696"/>
              <w:rPr>
                <w:sz w:val="16"/>
              </w:rPr>
            </w:pPr>
            <w:r>
              <w:rPr>
                <w:sz w:val="16"/>
              </w:rPr>
              <w:t>60</w:t>
            </w:r>
          </w:p>
        </w:tc>
        <w:tc>
          <w:tcPr>
            <w:tcW w:w="1513" w:type="dxa"/>
          </w:tcPr>
          <w:p>
            <w:pPr>
              <w:pStyle w:val="TableParagraph"/>
              <w:spacing w:line="164" w:lineRule="exact"/>
              <w:ind w:left="581" w:right="614"/>
              <w:rPr>
                <w:sz w:val="16"/>
              </w:rPr>
            </w:pPr>
            <w:r>
              <w:rPr>
                <w:sz w:val="16"/>
              </w:rPr>
              <w:t>80</w:t>
            </w:r>
          </w:p>
        </w:tc>
        <w:tc>
          <w:tcPr>
            <w:tcW w:w="1547" w:type="dxa"/>
          </w:tcPr>
          <w:p>
            <w:pPr>
              <w:pStyle w:val="TableParagraph"/>
              <w:spacing w:line="164" w:lineRule="exact"/>
              <w:ind w:left="638"/>
              <w:jc w:val="left"/>
              <w:rPr>
                <w:sz w:val="16"/>
              </w:rPr>
            </w:pPr>
            <w:r>
              <w:rPr>
                <w:sz w:val="16"/>
              </w:rPr>
              <w:t>115</w:t>
            </w:r>
          </w:p>
        </w:tc>
        <w:tc>
          <w:tcPr>
            <w:tcW w:w="1547" w:type="dxa"/>
            <w:tcBorders>
              <w:right w:val="single" w:sz="4" w:space="0" w:color="000000"/>
            </w:tcBorders>
          </w:tcPr>
          <w:p>
            <w:pPr>
              <w:pStyle w:val="TableParagraph"/>
              <w:spacing w:line="164" w:lineRule="exact"/>
              <w:ind w:left="613" w:right="612"/>
              <w:rPr>
                <w:sz w:val="16"/>
              </w:rPr>
            </w:pPr>
            <w:r>
              <w:rPr>
                <w:sz w:val="16"/>
              </w:rPr>
              <w:t>165</w:t>
            </w:r>
          </w:p>
        </w:tc>
        <w:tc>
          <w:tcPr>
            <w:tcW w:w="2765" w:type="dxa"/>
            <w:tcBorders>
              <w:left w:val="single" w:sz="4" w:space="0" w:color="000000"/>
            </w:tcBorders>
          </w:tcPr>
          <w:p>
            <w:pPr>
              <w:pStyle w:val="TableParagraph"/>
              <w:spacing w:line="164" w:lineRule="exact"/>
              <w:ind w:left="1221" w:right="1232"/>
              <w:rPr>
                <w:sz w:val="16"/>
              </w:rPr>
            </w:pPr>
            <w:r>
              <w:rPr>
                <w:sz w:val="16"/>
              </w:rPr>
              <w:t>125</w:t>
            </w:r>
          </w:p>
        </w:tc>
      </w:tr>
      <w:tr>
        <w:trPr>
          <w:trHeight w:val="184" w:hRule="atLeast"/>
        </w:trPr>
        <w:tc>
          <w:tcPr>
            <w:tcW w:w="1594" w:type="dxa"/>
          </w:tcPr>
          <w:p>
            <w:pPr>
              <w:pStyle w:val="TableParagraph"/>
              <w:spacing w:line="164" w:lineRule="exact"/>
              <w:ind w:left="679" w:right="696"/>
              <w:rPr>
                <w:sz w:val="16"/>
              </w:rPr>
            </w:pPr>
            <w:r>
              <w:rPr>
                <w:sz w:val="16"/>
              </w:rPr>
              <w:t>90</w:t>
            </w:r>
          </w:p>
        </w:tc>
        <w:tc>
          <w:tcPr>
            <w:tcW w:w="1513" w:type="dxa"/>
          </w:tcPr>
          <w:p>
            <w:pPr>
              <w:pStyle w:val="TableParagraph"/>
              <w:spacing w:line="164" w:lineRule="exact"/>
              <w:ind w:left="581" w:right="614"/>
              <w:rPr>
                <w:sz w:val="16"/>
              </w:rPr>
            </w:pPr>
            <w:r>
              <w:rPr>
                <w:sz w:val="16"/>
              </w:rPr>
              <w:t>125</w:t>
            </w:r>
          </w:p>
        </w:tc>
        <w:tc>
          <w:tcPr>
            <w:tcW w:w="1547" w:type="dxa"/>
          </w:tcPr>
          <w:p>
            <w:pPr>
              <w:pStyle w:val="TableParagraph"/>
              <w:spacing w:line="164" w:lineRule="exact"/>
              <w:ind w:left="638"/>
              <w:jc w:val="left"/>
              <w:rPr>
                <w:sz w:val="16"/>
              </w:rPr>
            </w:pPr>
            <w:r>
              <w:rPr>
                <w:sz w:val="16"/>
              </w:rPr>
              <w:t>175</w:t>
            </w:r>
          </w:p>
        </w:tc>
        <w:tc>
          <w:tcPr>
            <w:tcW w:w="1547" w:type="dxa"/>
            <w:tcBorders>
              <w:right w:val="single" w:sz="4" w:space="0" w:color="000000"/>
            </w:tcBorders>
          </w:tcPr>
          <w:p>
            <w:pPr>
              <w:pStyle w:val="TableParagraph"/>
              <w:spacing w:line="164" w:lineRule="exact"/>
              <w:ind w:left="613" w:right="612"/>
              <w:rPr>
                <w:sz w:val="16"/>
              </w:rPr>
            </w:pPr>
            <w:r>
              <w:rPr>
                <w:sz w:val="16"/>
              </w:rPr>
              <w:t>255</w:t>
            </w:r>
          </w:p>
        </w:tc>
        <w:tc>
          <w:tcPr>
            <w:tcW w:w="2765" w:type="dxa"/>
            <w:tcBorders>
              <w:left w:val="single" w:sz="4" w:space="0" w:color="000000"/>
            </w:tcBorders>
          </w:tcPr>
          <w:p>
            <w:pPr>
              <w:pStyle w:val="TableParagraph"/>
              <w:spacing w:line="164" w:lineRule="exact"/>
              <w:ind w:left="1221" w:right="1232"/>
              <w:rPr>
                <w:sz w:val="16"/>
              </w:rPr>
            </w:pPr>
            <w:r>
              <w:rPr>
                <w:sz w:val="16"/>
              </w:rPr>
              <w:t>150</w:t>
            </w:r>
          </w:p>
        </w:tc>
      </w:tr>
      <w:tr>
        <w:trPr>
          <w:trHeight w:val="184" w:hRule="atLeast"/>
        </w:trPr>
        <w:tc>
          <w:tcPr>
            <w:tcW w:w="1594" w:type="dxa"/>
          </w:tcPr>
          <w:p>
            <w:pPr>
              <w:pStyle w:val="TableParagraph"/>
              <w:spacing w:line="164" w:lineRule="exact"/>
              <w:ind w:right="671"/>
              <w:jc w:val="right"/>
              <w:rPr>
                <w:sz w:val="16"/>
              </w:rPr>
            </w:pPr>
            <w:r>
              <w:rPr>
                <w:w w:val="95"/>
                <w:sz w:val="16"/>
              </w:rPr>
              <w:t>185</w:t>
            </w:r>
          </w:p>
        </w:tc>
        <w:tc>
          <w:tcPr>
            <w:tcW w:w="1513" w:type="dxa"/>
          </w:tcPr>
          <w:p>
            <w:pPr>
              <w:pStyle w:val="TableParagraph"/>
              <w:spacing w:line="164" w:lineRule="exact"/>
              <w:ind w:left="581" w:right="614"/>
              <w:rPr>
                <w:sz w:val="16"/>
              </w:rPr>
            </w:pPr>
            <w:r>
              <w:rPr>
                <w:sz w:val="16"/>
              </w:rPr>
              <w:t>260</w:t>
            </w:r>
          </w:p>
        </w:tc>
        <w:tc>
          <w:tcPr>
            <w:tcW w:w="1547" w:type="dxa"/>
          </w:tcPr>
          <w:p>
            <w:pPr>
              <w:pStyle w:val="TableParagraph"/>
              <w:spacing w:line="164" w:lineRule="exact"/>
              <w:ind w:left="638"/>
              <w:jc w:val="left"/>
              <w:rPr>
                <w:sz w:val="16"/>
              </w:rPr>
            </w:pPr>
            <w:r>
              <w:rPr>
                <w:sz w:val="16"/>
              </w:rPr>
              <w:t>370</w:t>
            </w:r>
          </w:p>
        </w:tc>
        <w:tc>
          <w:tcPr>
            <w:tcW w:w="1547" w:type="dxa"/>
            <w:tcBorders>
              <w:right w:val="single" w:sz="4" w:space="0" w:color="000000"/>
            </w:tcBorders>
          </w:tcPr>
          <w:p>
            <w:pPr>
              <w:pStyle w:val="TableParagraph"/>
              <w:spacing w:line="164" w:lineRule="exact"/>
              <w:ind w:left="613" w:right="612"/>
              <w:rPr>
                <w:sz w:val="16"/>
              </w:rPr>
            </w:pPr>
            <w:r>
              <w:rPr>
                <w:sz w:val="16"/>
              </w:rPr>
              <w:t>520</w:t>
            </w:r>
          </w:p>
        </w:tc>
        <w:tc>
          <w:tcPr>
            <w:tcW w:w="2765" w:type="dxa"/>
            <w:tcBorders>
              <w:left w:val="single" w:sz="4" w:space="0" w:color="000000"/>
            </w:tcBorders>
          </w:tcPr>
          <w:p>
            <w:pPr>
              <w:pStyle w:val="TableParagraph"/>
              <w:spacing w:line="164" w:lineRule="exact"/>
              <w:ind w:left="1221" w:right="1232"/>
              <w:rPr>
                <w:sz w:val="16"/>
              </w:rPr>
            </w:pPr>
            <w:r>
              <w:rPr>
                <w:sz w:val="16"/>
              </w:rPr>
              <w:t>200</w:t>
            </w:r>
          </w:p>
        </w:tc>
      </w:tr>
      <w:tr>
        <w:trPr>
          <w:trHeight w:val="184" w:hRule="atLeast"/>
        </w:trPr>
        <w:tc>
          <w:tcPr>
            <w:tcW w:w="1594" w:type="dxa"/>
            <w:tcBorders>
              <w:bottom w:val="single" w:sz="4" w:space="0" w:color="000000"/>
            </w:tcBorders>
          </w:tcPr>
          <w:p>
            <w:pPr>
              <w:pStyle w:val="TableParagraph"/>
              <w:spacing w:line="164" w:lineRule="exact"/>
              <w:ind w:right="671"/>
              <w:jc w:val="right"/>
              <w:rPr>
                <w:sz w:val="16"/>
              </w:rPr>
            </w:pPr>
            <w:r>
              <w:rPr>
                <w:w w:val="95"/>
                <w:sz w:val="16"/>
              </w:rPr>
              <w:t>335</w:t>
            </w:r>
          </w:p>
        </w:tc>
        <w:tc>
          <w:tcPr>
            <w:tcW w:w="1513" w:type="dxa"/>
            <w:tcBorders>
              <w:bottom w:val="single" w:sz="4" w:space="0" w:color="000000"/>
            </w:tcBorders>
          </w:tcPr>
          <w:p>
            <w:pPr>
              <w:pStyle w:val="TableParagraph"/>
              <w:spacing w:line="164" w:lineRule="exact"/>
              <w:ind w:left="581" w:right="614"/>
              <w:rPr>
                <w:sz w:val="16"/>
              </w:rPr>
            </w:pPr>
            <w:r>
              <w:rPr>
                <w:sz w:val="16"/>
              </w:rPr>
              <w:t>475</w:t>
            </w:r>
          </w:p>
        </w:tc>
        <w:tc>
          <w:tcPr>
            <w:tcW w:w="1547" w:type="dxa"/>
            <w:tcBorders>
              <w:bottom w:val="single" w:sz="4" w:space="0" w:color="000000"/>
            </w:tcBorders>
          </w:tcPr>
          <w:p>
            <w:pPr>
              <w:pStyle w:val="TableParagraph"/>
              <w:spacing w:line="164" w:lineRule="exact"/>
              <w:ind w:left="638"/>
              <w:jc w:val="left"/>
              <w:rPr>
                <w:sz w:val="16"/>
              </w:rPr>
            </w:pPr>
            <w:r>
              <w:rPr>
                <w:sz w:val="16"/>
              </w:rPr>
              <w:t>670</w:t>
            </w:r>
          </w:p>
        </w:tc>
        <w:tc>
          <w:tcPr>
            <w:tcW w:w="1547" w:type="dxa"/>
            <w:tcBorders>
              <w:bottom w:val="single" w:sz="4" w:space="0" w:color="000000"/>
              <w:right w:val="single" w:sz="4" w:space="0" w:color="000000"/>
            </w:tcBorders>
          </w:tcPr>
          <w:p>
            <w:pPr>
              <w:pStyle w:val="TableParagraph"/>
              <w:spacing w:line="164" w:lineRule="exact"/>
              <w:ind w:left="613" w:right="612"/>
              <w:rPr>
                <w:sz w:val="16"/>
              </w:rPr>
            </w:pPr>
            <w:r>
              <w:rPr>
                <w:sz w:val="16"/>
              </w:rPr>
              <w:t>930</w:t>
            </w:r>
          </w:p>
        </w:tc>
        <w:tc>
          <w:tcPr>
            <w:tcW w:w="2765" w:type="dxa"/>
            <w:tcBorders>
              <w:left w:val="single" w:sz="4" w:space="0" w:color="000000"/>
              <w:bottom w:val="single" w:sz="4" w:space="0" w:color="000000"/>
            </w:tcBorders>
          </w:tcPr>
          <w:p>
            <w:pPr>
              <w:pStyle w:val="TableParagraph"/>
              <w:spacing w:line="164" w:lineRule="exact"/>
              <w:ind w:left="1221" w:right="1232"/>
              <w:rPr>
                <w:sz w:val="16"/>
              </w:rPr>
            </w:pPr>
            <w:r>
              <w:rPr>
                <w:sz w:val="16"/>
              </w:rPr>
              <w:t>250</w:t>
            </w:r>
          </w:p>
        </w:tc>
      </w:tr>
    </w:tbl>
    <w:p>
      <w:pPr>
        <w:pStyle w:val="ListParagraph"/>
        <w:numPr>
          <w:ilvl w:val="0"/>
          <w:numId w:val="248"/>
        </w:numPr>
        <w:tabs>
          <w:tab w:pos="672" w:val="left" w:leader="none"/>
          <w:tab w:pos="673" w:val="left" w:leader="none"/>
        </w:tabs>
        <w:spacing w:line="240" w:lineRule="auto" w:before="57" w:after="0"/>
        <w:ind w:left="672" w:right="440" w:hanging="454"/>
        <w:jc w:val="left"/>
        <w:rPr>
          <w:sz w:val="20"/>
        </w:rPr>
      </w:pPr>
      <w:r>
        <w:rPr>
          <w:sz w:val="20"/>
        </w:rPr>
        <w:t>Para un régimen con intensidad pluviométrica diferente de 100 mm/h (véase el Anexo B), debe apli- carse un factor f de corrección a la superficie servida tal</w:t>
      </w:r>
      <w:r>
        <w:rPr>
          <w:spacing w:val="-9"/>
          <w:sz w:val="20"/>
        </w:rPr>
        <w:t> </w:t>
      </w:r>
      <w:r>
        <w:rPr>
          <w:sz w:val="20"/>
        </w:rPr>
        <w:t>que:</w:t>
      </w:r>
    </w:p>
    <w:p>
      <w:pPr>
        <w:pStyle w:val="BodyText"/>
        <w:tabs>
          <w:tab w:pos="9052" w:val="left" w:leader="none"/>
        </w:tabs>
        <w:spacing w:before="60"/>
        <w:ind w:left="672"/>
      </w:pPr>
      <w:r>
        <w:rPr/>
        <w:t>f = i</w:t>
      </w:r>
      <w:r>
        <w:rPr>
          <w:spacing w:val="-1"/>
        </w:rPr>
        <w:t> </w:t>
      </w:r>
      <w:r>
        <w:rPr/>
        <w:t>/</w:t>
      </w:r>
      <w:r>
        <w:rPr>
          <w:spacing w:val="-2"/>
        </w:rPr>
        <w:t> </w:t>
      </w:r>
      <w:r>
        <w:rPr/>
        <w:t>100</w:t>
        <w:tab/>
        <w:t>(4.1)</w:t>
      </w:r>
    </w:p>
    <w:p>
      <w:pPr>
        <w:pStyle w:val="BodyText"/>
        <w:spacing w:before="60"/>
        <w:ind w:left="672"/>
      </w:pPr>
      <w:r>
        <w:rPr/>
        <w:t>siendo</w:t>
      </w:r>
    </w:p>
    <w:p>
      <w:pPr>
        <w:pStyle w:val="BodyText"/>
        <w:tabs>
          <w:tab w:pos="938" w:val="left" w:leader="none"/>
        </w:tabs>
        <w:spacing w:before="59"/>
        <w:ind w:left="672"/>
      </w:pPr>
      <w:r>
        <w:rPr/>
        <w:t>i</w:t>
        <w:tab/>
        <w:t>la intensidad pluviométrica que se quiere</w:t>
      </w:r>
      <w:r>
        <w:rPr>
          <w:spacing w:val="-4"/>
        </w:rPr>
        <w:t> </w:t>
      </w:r>
      <w:r>
        <w:rPr/>
        <w:t>considerar.</w:t>
      </w:r>
    </w:p>
    <w:p>
      <w:pPr>
        <w:pStyle w:val="ListParagraph"/>
        <w:numPr>
          <w:ilvl w:val="0"/>
          <w:numId w:val="248"/>
        </w:numPr>
        <w:tabs>
          <w:tab w:pos="672" w:val="left" w:leader="none"/>
          <w:tab w:pos="673" w:val="left" w:leader="none"/>
        </w:tabs>
        <w:spacing w:line="240" w:lineRule="auto" w:before="61" w:after="0"/>
        <w:ind w:left="672" w:right="608" w:hanging="454"/>
        <w:jc w:val="left"/>
        <w:rPr>
          <w:sz w:val="20"/>
        </w:rPr>
      </w:pPr>
      <w:r>
        <w:rPr>
          <w:sz w:val="20"/>
        </w:rPr>
        <w:t>Si la sección adoptada para el canalón no fuese semicircular, la sección cuadrangular equivalente debe ser un 10 % superior a la obtenida como sección</w:t>
      </w:r>
      <w:r>
        <w:rPr>
          <w:spacing w:val="-10"/>
          <w:sz w:val="20"/>
        </w:rPr>
        <w:t> </w:t>
      </w:r>
      <w:r>
        <w:rPr>
          <w:sz w:val="20"/>
        </w:rPr>
        <w:t>semicircular.</w:t>
      </w:r>
    </w:p>
    <w:p>
      <w:pPr>
        <w:pStyle w:val="BodyText"/>
        <w:spacing w:before="6"/>
        <w:rPr>
          <w:sz w:val="17"/>
        </w:rPr>
      </w:pPr>
    </w:p>
    <w:p>
      <w:pPr>
        <w:pStyle w:val="Heading5"/>
        <w:numPr>
          <w:ilvl w:val="2"/>
          <w:numId w:val="241"/>
        </w:numPr>
        <w:tabs>
          <w:tab w:pos="787" w:val="left" w:leader="none"/>
        </w:tabs>
        <w:spacing w:line="240" w:lineRule="auto" w:before="0" w:after="0"/>
        <w:ind w:left="786" w:right="0" w:hanging="569"/>
        <w:jc w:val="left"/>
      </w:pPr>
      <w:r>
        <w:rPr/>
        <w:t>Bajantes de aguas</w:t>
      </w:r>
      <w:r>
        <w:rPr>
          <w:spacing w:val="-3"/>
        </w:rPr>
        <w:t> </w:t>
      </w:r>
      <w:r>
        <w:rPr/>
        <w:t>pluviales</w:t>
      </w:r>
    </w:p>
    <w:p>
      <w:pPr>
        <w:pStyle w:val="ListParagraph"/>
        <w:numPr>
          <w:ilvl w:val="0"/>
          <w:numId w:val="249"/>
        </w:numPr>
        <w:tabs>
          <w:tab w:pos="672" w:val="left" w:leader="none"/>
          <w:tab w:pos="673" w:val="left" w:leader="none"/>
        </w:tabs>
        <w:spacing w:line="240" w:lineRule="auto" w:before="99" w:after="0"/>
        <w:ind w:left="672" w:right="0" w:hanging="455"/>
        <w:jc w:val="left"/>
        <w:rPr>
          <w:sz w:val="20"/>
        </w:rPr>
      </w:pPr>
      <w:r>
        <w:rPr>
          <w:sz w:val="20"/>
        </w:rPr>
        <w:t>El diámetro correspondiente a la superficie, en proyección horizontal, servida por cada </w:t>
      </w:r>
      <w:r>
        <w:rPr>
          <w:i/>
          <w:sz w:val="20"/>
        </w:rPr>
        <w:t>bajante</w:t>
      </w:r>
      <w:r>
        <w:rPr>
          <w:i/>
          <w:spacing w:val="-7"/>
          <w:sz w:val="20"/>
        </w:rPr>
        <w:t> </w:t>
      </w:r>
      <w:r>
        <w:rPr>
          <w:sz w:val="20"/>
        </w:rPr>
        <w:t>de</w:t>
      </w:r>
    </w:p>
    <w:p>
      <w:pPr>
        <w:spacing w:before="0"/>
        <w:ind w:left="672" w:right="0" w:firstLine="0"/>
        <w:jc w:val="left"/>
        <w:rPr>
          <w:sz w:val="20"/>
        </w:rPr>
      </w:pPr>
      <w:r>
        <w:rPr>
          <w:i/>
          <w:sz w:val="20"/>
        </w:rPr>
        <w:t>aguas pluviales </w:t>
      </w:r>
      <w:r>
        <w:rPr>
          <w:sz w:val="20"/>
        </w:rPr>
        <w:t>se obtiene en la tabla 4.8:</w:t>
      </w:r>
    </w:p>
    <w:p>
      <w:pPr>
        <w:spacing w:after="0"/>
        <w:jc w:val="left"/>
        <w:rPr>
          <w:sz w:val="20"/>
        </w:rPr>
        <w:sectPr>
          <w:pgSz w:w="11910" w:h="16840"/>
          <w:pgMar w:header="714" w:footer="642" w:top="1320" w:bottom="840" w:left="1200" w:right="740"/>
        </w:sectPr>
      </w:pPr>
    </w:p>
    <w:p>
      <w:pPr>
        <w:spacing w:before="91" w:after="3"/>
        <w:ind w:left="689" w:right="0" w:firstLine="0"/>
        <w:jc w:val="left"/>
        <w:rPr>
          <w:b/>
          <w:sz w:val="18"/>
        </w:rPr>
      </w:pPr>
      <w:r>
        <w:rPr>
          <w:b/>
          <w:sz w:val="18"/>
        </w:rPr>
        <w:t>Tabla 4.8 Diámetro de las bajantes de </w:t>
      </w:r>
      <w:r>
        <w:rPr>
          <w:b/>
          <w:i/>
          <w:sz w:val="18"/>
        </w:rPr>
        <w:t>aguas pluviales </w:t>
      </w:r>
      <w:r>
        <w:rPr>
          <w:b/>
          <w:sz w:val="18"/>
        </w:rPr>
        <w:t>para un régimen pluviométrico de 100 mm/h</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1"/>
        <w:gridCol w:w="4443"/>
      </w:tblGrid>
      <w:tr>
        <w:trPr>
          <w:trHeight w:val="184" w:hRule="atLeast"/>
        </w:trPr>
        <w:tc>
          <w:tcPr>
            <w:tcW w:w="4331" w:type="dxa"/>
            <w:tcBorders>
              <w:top w:val="single" w:sz="4" w:space="0" w:color="000000"/>
              <w:bottom w:val="single" w:sz="4" w:space="0" w:color="000000"/>
              <w:right w:val="single" w:sz="4" w:space="0" w:color="000000"/>
            </w:tcBorders>
          </w:tcPr>
          <w:p>
            <w:pPr>
              <w:pStyle w:val="TableParagraph"/>
              <w:spacing w:line="164" w:lineRule="exact"/>
              <w:ind w:left="318" w:right="300"/>
              <w:rPr>
                <w:b/>
                <w:sz w:val="16"/>
              </w:rPr>
            </w:pPr>
            <w:r>
              <w:rPr>
                <w:b/>
                <w:sz w:val="16"/>
              </w:rPr>
              <w:t>Superficie en proyección horizontal servida (m</w:t>
            </w:r>
            <w:r>
              <w:rPr>
                <w:b/>
                <w:sz w:val="16"/>
                <w:vertAlign w:val="superscript"/>
              </w:rPr>
              <w:t>2</w:t>
            </w:r>
            <w:r>
              <w:rPr>
                <w:b/>
                <w:sz w:val="16"/>
                <w:vertAlign w:val="baseline"/>
              </w:rPr>
              <w:t>)</w:t>
            </w:r>
          </w:p>
        </w:tc>
        <w:tc>
          <w:tcPr>
            <w:tcW w:w="4443" w:type="dxa"/>
            <w:tcBorders>
              <w:top w:val="single" w:sz="4" w:space="0" w:color="000000"/>
              <w:left w:val="single" w:sz="4" w:space="0" w:color="000000"/>
              <w:bottom w:val="single" w:sz="4" w:space="0" w:color="000000"/>
            </w:tcBorders>
          </w:tcPr>
          <w:p>
            <w:pPr>
              <w:pStyle w:val="TableParagraph"/>
              <w:spacing w:line="164" w:lineRule="exact"/>
              <w:ind w:left="796" w:right="800"/>
              <w:rPr>
                <w:b/>
                <w:sz w:val="16"/>
              </w:rPr>
            </w:pPr>
            <w:r>
              <w:rPr>
                <w:b/>
                <w:i/>
                <w:sz w:val="16"/>
              </w:rPr>
              <w:t>Diámetro nominal </w:t>
            </w:r>
            <w:r>
              <w:rPr>
                <w:b/>
                <w:sz w:val="16"/>
              </w:rPr>
              <w:t>de la </w:t>
            </w:r>
            <w:r>
              <w:rPr>
                <w:b/>
                <w:i/>
                <w:sz w:val="16"/>
              </w:rPr>
              <w:t>bajante </w:t>
            </w:r>
            <w:r>
              <w:rPr>
                <w:b/>
                <w:sz w:val="16"/>
              </w:rPr>
              <w:t>(mm)</w:t>
            </w:r>
          </w:p>
        </w:tc>
      </w:tr>
      <w:tr>
        <w:trPr>
          <w:trHeight w:val="183" w:hRule="atLeast"/>
        </w:trPr>
        <w:tc>
          <w:tcPr>
            <w:tcW w:w="4331" w:type="dxa"/>
            <w:tcBorders>
              <w:top w:val="single" w:sz="4" w:space="0" w:color="000000"/>
              <w:right w:val="single" w:sz="4" w:space="0" w:color="000000"/>
            </w:tcBorders>
          </w:tcPr>
          <w:p>
            <w:pPr>
              <w:pStyle w:val="TableParagraph"/>
              <w:spacing w:line="164" w:lineRule="exact"/>
              <w:ind w:left="318" w:right="300"/>
              <w:rPr>
                <w:sz w:val="16"/>
              </w:rPr>
            </w:pPr>
            <w:r>
              <w:rPr>
                <w:sz w:val="16"/>
              </w:rPr>
              <w:t>65</w:t>
            </w:r>
          </w:p>
        </w:tc>
        <w:tc>
          <w:tcPr>
            <w:tcW w:w="4443" w:type="dxa"/>
            <w:tcBorders>
              <w:top w:val="single" w:sz="4" w:space="0" w:color="000000"/>
              <w:left w:val="single" w:sz="4" w:space="0" w:color="000000"/>
            </w:tcBorders>
          </w:tcPr>
          <w:p>
            <w:pPr>
              <w:pStyle w:val="TableParagraph"/>
              <w:spacing w:line="164" w:lineRule="exact"/>
              <w:ind w:left="796" w:right="800"/>
              <w:rPr>
                <w:sz w:val="16"/>
              </w:rPr>
            </w:pPr>
            <w:r>
              <w:rPr>
                <w:sz w:val="16"/>
              </w:rPr>
              <w:t>50</w:t>
            </w:r>
          </w:p>
        </w:tc>
      </w:tr>
      <w:tr>
        <w:trPr>
          <w:trHeight w:val="184" w:hRule="atLeast"/>
        </w:trPr>
        <w:tc>
          <w:tcPr>
            <w:tcW w:w="4331" w:type="dxa"/>
            <w:tcBorders>
              <w:right w:val="single" w:sz="4" w:space="0" w:color="000000"/>
            </w:tcBorders>
          </w:tcPr>
          <w:p>
            <w:pPr>
              <w:pStyle w:val="TableParagraph"/>
              <w:spacing w:line="164" w:lineRule="exact"/>
              <w:ind w:left="318" w:right="300"/>
              <w:rPr>
                <w:sz w:val="16"/>
              </w:rPr>
            </w:pPr>
            <w:r>
              <w:rPr>
                <w:sz w:val="16"/>
              </w:rPr>
              <w:t>113</w:t>
            </w:r>
          </w:p>
        </w:tc>
        <w:tc>
          <w:tcPr>
            <w:tcW w:w="4443" w:type="dxa"/>
            <w:tcBorders>
              <w:left w:val="single" w:sz="4" w:space="0" w:color="000000"/>
            </w:tcBorders>
          </w:tcPr>
          <w:p>
            <w:pPr>
              <w:pStyle w:val="TableParagraph"/>
              <w:spacing w:line="164" w:lineRule="exact"/>
              <w:ind w:left="796" w:right="800"/>
              <w:rPr>
                <w:sz w:val="16"/>
              </w:rPr>
            </w:pPr>
            <w:r>
              <w:rPr>
                <w:sz w:val="16"/>
              </w:rPr>
              <w:t>63</w:t>
            </w:r>
          </w:p>
        </w:tc>
      </w:tr>
      <w:tr>
        <w:trPr>
          <w:trHeight w:val="184" w:hRule="atLeast"/>
        </w:trPr>
        <w:tc>
          <w:tcPr>
            <w:tcW w:w="4331" w:type="dxa"/>
            <w:tcBorders>
              <w:right w:val="single" w:sz="4" w:space="0" w:color="000000"/>
            </w:tcBorders>
          </w:tcPr>
          <w:p>
            <w:pPr>
              <w:pStyle w:val="TableParagraph"/>
              <w:spacing w:line="164" w:lineRule="exact"/>
              <w:ind w:left="318" w:right="300"/>
              <w:rPr>
                <w:sz w:val="16"/>
              </w:rPr>
            </w:pPr>
            <w:r>
              <w:rPr>
                <w:sz w:val="16"/>
              </w:rPr>
              <w:t>177</w:t>
            </w:r>
          </w:p>
        </w:tc>
        <w:tc>
          <w:tcPr>
            <w:tcW w:w="4443" w:type="dxa"/>
            <w:tcBorders>
              <w:left w:val="single" w:sz="4" w:space="0" w:color="000000"/>
            </w:tcBorders>
          </w:tcPr>
          <w:p>
            <w:pPr>
              <w:pStyle w:val="TableParagraph"/>
              <w:spacing w:line="164" w:lineRule="exact"/>
              <w:ind w:left="796" w:right="800"/>
              <w:rPr>
                <w:sz w:val="16"/>
              </w:rPr>
            </w:pPr>
            <w:r>
              <w:rPr>
                <w:sz w:val="16"/>
              </w:rPr>
              <w:t>75</w:t>
            </w:r>
          </w:p>
        </w:tc>
      </w:tr>
      <w:tr>
        <w:trPr>
          <w:trHeight w:val="183" w:hRule="atLeast"/>
        </w:trPr>
        <w:tc>
          <w:tcPr>
            <w:tcW w:w="4331" w:type="dxa"/>
            <w:tcBorders>
              <w:right w:val="single" w:sz="4" w:space="0" w:color="000000"/>
            </w:tcBorders>
          </w:tcPr>
          <w:p>
            <w:pPr>
              <w:pStyle w:val="TableParagraph"/>
              <w:spacing w:line="164" w:lineRule="exact"/>
              <w:ind w:left="318" w:right="300"/>
              <w:rPr>
                <w:sz w:val="16"/>
              </w:rPr>
            </w:pPr>
            <w:r>
              <w:rPr>
                <w:sz w:val="16"/>
              </w:rPr>
              <w:t>318</w:t>
            </w:r>
          </w:p>
        </w:tc>
        <w:tc>
          <w:tcPr>
            <w:tcW w:w="4443" w:type="dxa"/>
            <w:tcBorders>
              <w:left w:val="single" w:sz="4" w:space="0" w:color="000000"/>
            </w:tcBorders>
          </w:tcPr>
          <w:p>
            <w:pPr>
              <w:pStyle w:val="TableParagraph"/>
              <w:spacing w:line="164" w:lineRule="exact"/>
              <w:ind w:left="796" w:right="800"/>
              <w:rPr>
                <w:sz w:val="16"/>
              </w:rPr>
            </w:pPr>
            <w:r>
              <w:rPr>
                <w:sz w:val="16"/>
              </w:rPr>
              <w:t>90</w:t>
            </w:r>
          </w:p>
        </w:tc>
      </w:tr>
      <w:tr>
        <w:trPr>
          <w:trHeight w:val="184" w:hRule="atLeast"/>
        </w:trPr>
        <w:tc>
          <w:tcPr>
            <w:tcW w:w="4331" w:type="dxa"/>
            <w:tcBorders>
              <w:right w:val="single" w:sz="4" w:space="0" w:color="000000"/>
            </w:tcBorders>
          </w:tcPr>
          <w:p>
            <w:pPr>
              <w:pStyle w:val="TableParagraph"/>
              <w:spacing w:line="164" w:lineRule="exact"/>
              <w:ind w:left="318" w:right="300"/>
              <w:rPr>
                <w:sz w:val="16"/>
              </w:rPr>
            </w:pPr>
            <w:r>
              <w:rPr>
                <w:sz w:val="16"/>
              </w:rPr>
              <w:t>580</w:t>
            </w:r>
          </w:p>
        </w:tc>
        <w:tc>
          <w:tcPr>
            <w:tcW w:w="4443" w:type="dxa"/>
            <w:tcBorders>
              <w:left w:val="single" w:sz="4" w:space="0" w:color="000000"/>
            </w:tcBorders>
          </w:tcPr>
          <w:p>
            <w:pPr>
              <w:pStyle w:val="TableParagraph"/>
              <w:spacing w:line="164" w:lineRule="exact"/>
              <w:ind w:left="796" w:right="800"/>
              <w:rPr>
                <w:sz w:val="16"/>
              </w:rPr>
            </w:pPr>
            <w:r>
              <w:rPr>
                <w:sz w:val="16"/>
              </w:rPr>
              <w:t>110</w:t>
            </w:r>
          </w:p>
        </w:tc>
      </w:tr>
      <w:tr>
        <w:trPr>
          <w:trHeight w:val="184" w:hRule="atLeast"/>
        </w:trPr>
        <w:tc>
          <w:tcPr>
            <w:tcW w:w="4331" w:type="dxa"/>
            <w:tcBorders>
              <w:right w:val="single" w:sz="4" w:space="0" w:color="000000"/>
            </w:tcBorders>
          </w:tcPr>
          <w:p>
            <w:pPr>
              <w:pStyle w:val="TableParagraph"/>
              <w:spacing w:line="164" w:lineRule="exact"/>
              <w:ind w:left="318" w:right="300"/>
              <w:rPr>
                <w:sz w:val="16"/>
              </w:rPr>
            </w:pPr>
            <w:r>
              <w:rPr>
                <w:sz w:val="16"/>
              </w:rPr>
              <w:t>805</w:t>
            </w:r>
          </w:p>
        </w:tc>
        <w:tc>
          <w:tcPr>
            <w:tcW w:w="4443" w:type="dxa"/>
            <w:tcBorders>
              <w:left w:val="single" w:sz="4" w:space="0" w:color="000000"/>
            </w:tcBorders>
          </w:tcPr>
          <w:p>
            <w:pPr>
              <w:pStyle w:val="TableParagraph"/>
              <w:spacing w:line="164" w:lineRule="exact"/>
              <w:ind w:left="796" w:right="800"/>
              <w:rPr>
                <w:sz w:val="16"/>
              </w:rPr>
            </w:pPr>
            <w:r>
              <w:rPr>
                <w:sz w:val="16"/>
              </w:rPr>
              <w:t>125</w:t>
            </w:r>
          </w:p>
        </w:tc>
      </w:tr>
      <w:tr>
        <w:trPr>
          <w:trHeight w:val="183" w:hRule="atLeast"/>
        </w:trPr>
        <w:tc>
          <w:tcPr>
            <w:tcW w:w="4331" w:type="dxa"/>
            <w:tcBorders>
              <w:right w:val="single" w:sz="4" w:space="0" w:color="000000"/>
            </w:tcBorders>
          </w:tcPr>
          <w:p>
            <w:pPr>
              <w:pStyle w:val="TableParagraph"/>
              <w:spacing w:line="164" w:lineRule="exact"/>
              <w:ind w:left="316" w:right="300"/>
              <w:rPr>
                <w:sz w:val="16"/>
              </w:rPr>
            </w:pPr>
            <w:r>
              <w:rPr>
                <w:sz w:val="16"/>
              </w:rPr>
              <w:t>1.544</w:t>
            </w:r>
          </w:p>
        </w:tc>
        <w:tc>
          <w:tcPr>
            <w:tcW w:w="4443" w:type="dxa"/>
            <w:tcBorders>
              <w:left w:val="single" w:sz="4" w:space="0" w:color="000000"/>
            </w:tcBorders>
          </w:tcPr>
          <w:p>
            <w:pPr>
              <w:pStyle w:val="TableParagraph"/>
              <w:spacing w:line="164" w:lineRule="exact"/>
              <w:ind w:left="796" w:right="800"/>
              <w:rPr>
                <w:sz w:val="16"/>
              </w:rPr>
            </w:pPr>
            <w:r>
              <w:rPr>
                <w:sz w:val="16"/>
              </w:rPr>
              <w:t>160</w:t>
            </w:r>
          </w:p>
        </w:tc>
      </w:tr>
      <w:tr>
        <w:trPr>
          <w:trHeight w:val="184" w:hRule="atLeast"/>
        </w:trPr>
        <w:tc>
          <w:tcPr>
            <w:tcW w:w="4331" w:type="dxa"/>
            <w:tcBorders>
              <w:bottom w:val="single" w:sz="4" w:space="0" w:color="000000"/>
              <w:right w:val="single" w:sz="4" w:space="0" w:color="000000"/>
            </w:tcBorders>
          </w:tcPr>
          <w:p>
            <w:pPr>
              <w:pStyle w:val="TableParagraph"/>
              <w:spacing w:line="164" w:lineRule="exact"/>
              <w:ind w:left="316" w:right="300"/>
              <w:rPr>
                <w:sz w:val="16"/>
              </w:rPr>
            </w:pPr>
            <w:r>
              <w:rPr>
                <w:sz w:val="16"/>
              </w:rPr>
              <w:t>2.700</w:t>
            </w:r>
          </w:p>
        </w:tc>
        <w:tc>
          <w:tcPr>
            <w:tcW w:w="4443" w:type="dxa"/>
            <w:tcBorders>
              <w:left w:val="single" w:sz="4" w:space="0" w:color="000000"/>
              <w:bottom w:val="single" w:sz="4" w:space="0" w:color="000000"/>
            </w:tcBorders>
          </w:tcPr>
          <w:p>
            <w:pPr>
              <w:pStyle w:val="TableParagraph"/>
              <w:spacing w:line="164" w:lineRule="exact"/>
              <w:ind w:left="796" w:right="800"/>
              <w:rPr>
                <w:sz w:val="16"/>
              </w:rPr>
            </w:pPr>
            <w:r>
              <w:rPr>
                <w:sz w:val="16"/>
              </w:rPr>
              <w:t>200</w:t>
            </w:r>
          </w:p>
        </w:tc>
      </w:tr>
    </w:tbl>
    <w:p>
      <w:pPr>
        <w:pStyle w:val="ListParagraph"/>
        <w:numPr>
          <w:ilvl w:val="0"/>
          <w:numId w:val="249"/>
        </w:numPr>
        <w:tabs>
          <w:tab w:pos="672" w:val="left" w:leader="none"/>
          <w:tab w:pos="673" w:val="left" w:leader="none"/>
        </w:tabs>
        <w:spacing w:line="240" w:lineRule="auto" w:before="57" w:after="0"/>
        <w:ind w:left="672" w:right="429" w:hanging="454"/>
        <w:jc w:val="left"/>
        <w:rPr>
          <w:sz w:val="20"/>
        </w:rPr>
      </w:pPr>
      <w:r>
        <w:rPr>
          <w:sz w:val="20"/>
        </w:rPr>
        <w:t>Análogamente al caso de los canalones, para intensidades distintas de 100 mm/h, debe aplicarse el factor f</w:t>
      </w:r>
      <w:r>
        <w:rPr>
          <w:spacing w:val="-1"/>
          <w:sz w:val="20"/>
        </w:rPr>
        <w:t> </w:t>
      </w:r>
      <w:r>
        <w:rPr>
          <w:sz w:val="20"/>
        </w:rPr>
        <w:t>correspondiente.</w:t>
      </w:r>
    </w:p>
    <w:p>
      <w:pPr>
        <w:pStyle w:val="BodyText"/>
        <w:spacing w:before="5"/>
        <w:rPr>
          <w:sz w:val="17"/>
        </w:rPr>
      </w:pPr>
    </w:p>
    <w:p>
      <w:pPr>
        <w:pStyle w:val="Heading5"/>
        <w:numPr>
          <w:ilvl w:val="2"/>
          <w:numId w:val="241"/>
        </w:numPr>
        <w:tabs>
          <w:tab w:pos="787" w:val="left" w:leader="none"/>
        </w:tabs>
        <w:spacing w:line="240" w:lineRule="auto" w:before="1" w:after="0"/>
        <w:ind w:left="786" w:right="0" w:hanging="569"/>
        <w:jc w:val="left"/>
      </w:pPr>
      <w:r>
        <w:rPr/>
        <w:t>Colectores de aguas</w:t>
      </w:r>
      <w:r>
        <w:rPr>
          <w:spacing w:val="-3"/>
        </w:rPr>
        <w:t> </w:t>
      </w:r>
      <w:r>
        <w:rPr/>
        <w:t>pluviales</w:t>
      </w:r>
    </w:p>
    <w:p>
      <w:pPr>
        <w:pStyle w:val="ListParagraph"/>
        <w:numPr>
          <w:ilvl w:val="0"/>
          <w:numId w:val="250"/>
        </w:numPr>
        <w:tabs>
          <w:tab w:pos="672" w:val="left" w:leader="none"/>
          <w:tab w:pos="673" w:val="left" w:leader="none"/>
        </w:tabs>
        <w:spacing w:line="240" w:lineRule="auto" w:before="98" w:after="0"/>
        <w:ind w:left="672" w:right="0" w:hanging="455"/>
        <w:jc w:val="left"/>
        <w:rPr>
          <w:sz w:val="20"/>
        </w:rPr>
      </w:pPr>
      <w:r>
        <w:rPr>
          <w:sz w:val="20"/>
        </w:rPr>
        <w:t>Los </w:t>
      </w:r>
      <w:r>
        <w:rPr>
          <w:i/>
          <w:sz w:val="20"/>
        </w:rPr>
        <w:t>colectores </w:t>
      </w:r>
      <w:r>
        <w:rPr>
          <w:sz w:val="20"/>
        </w:rPr>
        <w:t>de </w:t>
      </w:r>
      <w:r>
        <w:rPr>
          <w:i/>
          <w:sz w:val="20"/>
        </w:rPr>
        <w:t>aguas pluviales </w:t>
      </w:r>
      <w:r>
        <w:rPr>
          <w:sz w:val="20"/>
        </w:rPr>
        <w:t>se calculan a sección llena en régimen</w:t>
      </w:r>
      <w:r>
        <w:rPr>
          <w:spacing w:val="-7"/>
          <w:sz w:val="20"/>
        </w:rPr>
        <w:t> </w:t>
      </w:r>
      <w:r>
        <w:rPr>
          <w:sz w:val="20"/>
        </w:rPr>
        <w:t>permanente.</w:t>
      </w:r>
    </w:p>
    <w:p>
      <w:pPr>
        <w:pStyle w:val="ListParagraph"/>
        <w:numPr>
          <w:ilvl w:val="0"/>
          <w:numId w:val="250"/>
        </w:numPr>
        <w:tabs>
          <w:tab w:pos="672" w:val="left" w:leader="none"/>
          <w:tab w:pos="673" w:val="left" w:leader="none"/>
        </w:tabs>
        <w:spacing w:line="240" w:lineRule="auto" w:before="61" w:after="0"/>
        <w:ind w:left="672" w:right="685" w:hanging="454"/>
        <w:jc w:val="left"/>
        <w:rPr>
          <w:sz w:val="20"/>
        </w:rPr>
      </w:pPr>
      <w:r>
        <w:rPr>
          <w:sz w:val="20"/>
        </w:rPr>
        <w:t>El diámetro de los </w:t>
      </w:r>
      <w:r>
        <w:rPr>
          <w:i/>
          <w:sz w:val="20"/>
        </w:rPr>
        <w:t>colectores </w:t>
      </w:r>
      <w:r>
        <w:rPr>
          <w:sz w:val="20"/>
        </w:rPr>
        <w:t>de </w:t>
      </w:r>
      <w:r>
        <w:rPr>
          <w:i/>
          <w:sz w:val="20"/>
        </w:rPr>
        <w:t>aguas pluviales </w:t>
      </w:r>
      <w:r>
        <w:rPr>
          <w:sz w:val="20"/>
        </w:rPr>
        <w:t>se obtiene en la tabla 4.9, en función de su pen- diente y de la superficie a la que</w:t>
      </w:r>
      <w:r>
        <w:rPr>
          <w:spacing w:val="-5"/>
          <w:sz w:val="20"/>
        </w:rPr>
        <w:t> </w:t>
      </w:r>
      <w:r>
        <w:rPr>
          <w:sz w:val="20"/>
        </w:rPr>
        <w:t>sirve.</w:t>
      </w:r>
    </w:p>
    <w:p>
      <w:pPr>
        <w:spacing w:before="59" w:after="3"/>
        <w:ind w:left="598" w:right="0" w:firstLine="0"/>
        <w:jc w:val="left"/>
        <w:rPr>
          <w:b/>
          <w:sz w:val="18"/>
        </w:rPr>
      </w:pPr>
      <w:r>
        <w:rPr>
          <w:b/>
          <w:sz w:val="18"/>
        </w:rPr>
        <w:t>Tabla 4.9 Diámetro de los </w:t>
      </w:r>
      <w:r>
        <w:rPr>
          <w:b/>
          <w:i/>
          <w:sz w:val="18"/>
        </w:rPr>
        <w:t>colectores </w:t>
      </w:r>
      <w:r>
        <w:rPr>
          <w:b/>
          <w:sz w:val="18"/>
        </w:rPr>
        <w:t>de </w:t>
      </w:r>
      <w:r>
        <w:rPr>
          <w:b/>
          <w:i/>
          <w:sz w:val="18"/>
        </w:rPr>
        <w:t>aguas pluviales </w:t>
      </w:r>
      <w:r>
        <w:rPr>
          <w:b/>
          <w:sz w:val="18"/>
        </w:rPr>
        <w:t>para un régimen pluviométrico de 100 mm/h</w:t>
      </w: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5"/>
        <w:gridCol w:w="2103"/>
        <w:gridCol w:w="2105"/>
        <w:gridCol w:w="2585"/>
      </w:tblGrid>
      <w:tr>
        <w:trPr>
          <w:trHeight w:val="184" w:hRule="atLeast"/>
        </w:trPr>
        <w:tc>
          <w:tcPr>
            <w:tcW w:w="6323" w:type="dxa"/>
            <w:gridSpan w:val="3"/>
            <w:tcBorders>
              <w:top w:val="single" w:sz="4" w:space="0" w:color="000000"/>
              <w:bottom w:val="single" w:sz="4" w:space="0" w:color="000000"/>
              <w:right w:val="single" w:sz="4" w:space="0" w:color="000000"/>
            </w:tcBorders>
          </w:tcPr>
          <w:p>
            <w:pPr>
              <w:pStyle w:val="TableParagraph"/>
              <w:spacing w:line="164" w:lineRule="exact"/>
              <w:ind w:left="2136" w:right="2119"/>
              <w:rPr>
                <w:b/>
                <w:sz w:val="16"/>
              </w:rPr>
            </w:pPr>
            <w:r>
              <w:rPr>
                <w:b/>
                <w:sz w:val="16"/>
              </w:rPr>
              <w:t>Superficie proyectada (m</w:t>
            </w:r>
            <w:r>
              <w:rPr>
                <w:b/>
                <w:sz w:val="16"/>
                <w:vertAlign w:val="superscript"/>
              </w:rPr>
              <w:t>2</w:t>
            </w:r>
            <w:r>
              <w:rPr>
                <w:b/>
                <w:sz w:val="16"/>
                <w:vertAlign w:val="baseline"/>
              </w:rPr>
              <w:t>)</w:t>
            </w:r>
          </w:p>
        </w:tc>
        <w:tc>
          <w:tcPr>
            <w:tcW w:w="2585" w:type="dxa"/>
            <w:vMerge w:val="restart"/>
            <w:tcBorders>
              <w:top w:val="single" w:sz="4" w:space="0" w:color="000000"/>
              <w:left w:val="single" w:sz="4" w:space="0" w:color="000000"/>
              <w:bottom w:val="single" w:sz="4" w:space="0" w:color="000000"/>
            </w:tcBorders>
          </w:tcPr>
          <w:p>
            <w:pPr>
              <w:pStyle w:val="TableParagraph"/>
              <w:spacing w:line="184" w:lineRule="exact" w:before="95"/>
              <w:ind w:left="121" w:right="124"/>
              <w:rPr>
                <w:b/>
                <w:i/>
                <w:sz w:val="16"/>
              </w:rPr>
            </w:pPr>
            <w:r>
              <w:rPr>
                <w:b/>
                <w:i/>
                <w:sz w:val="16"/>
              </w:rPr>
              <w:t>Diámetro nominal </w:t>
            </w:r>
            <w:r>
              <w:rPr>
                <w:b/>
                <w:sz w:val="16"/>
              </w:rPr>
              <w:t>del </w:t>
            </w:r>
            <w:r>
              <w:rPr>
                <w:b/>
                <w:i/>
                <w:sz w:val="16"/>
              </w:rPr>
              <w:t>colector</w:t>
            </w:r>
          </w:p>
          <w:p>
            <w:pPr>
              <w:pStyle w:val="TableParagraph"/>
              <w:ind w:left="121" w:right="123"/>
              <w:rPr>
                <w:b/>
                <w:sz w:val="16"/>
              </w:rPr>
            </w:pPr>
            <w:r>
              <w:rPr>
                <w:b/>
                <w:sz w:val="16"/>
              </w:rPr>
              <w:t>(mm)</w:t>
            </w:r>
          </w:p>
        </w:tc>
      </w:tr>
      <w:tr>
        <w:trPr>
          <w:trHeight w:val="179" w:hRule="atLeast"/>
        </w:trPr>
        <w:tc>
          <w:tcPr>
            <w:tcW w:w="2115" w:type="dxa"/>
            <w:tcBorders>
              <w:top w:val="single" w:sz="4" w:space="0" w:color="000000"/>
            </w:tcBorders>
          </w:tcPr>
          <w:p>
            <w:pPr>
              <w:pStyle w:val="TableParagraph"/>
              <w:jc w:val="left"/>
              <w:rPr>
                <w:rFonts w:ascii="Times New Roman"/>
                <w:sz w:val="12"/>
              </w:rPr>
            </w:pPr>
          </w:p>
        </w:tc>
        <w:tc>
          <w:tcPr>
            <w:tcW w:w="2103" w:type="dxa"/>
            <w:tcBorders>
              <w:top w:val="single" w:sz="4" w:space="0" w:color="000000"/>
            </w:tcBorders>
          </w:tcPr>
          <w:p>
            <w:pPr>
              <w:pStyle w:val="TableParagraph"/>
              <w:spacing w:line="159" w:lineRule="exact"/>
              <w:ind w:left="179" w:right="176"/>
              <w:rPr>
                <w:b/>
                <w:i/>
                <w:sz w:val="16"/>
              </w:rPr>
            </w:pPr>
            <w:r>
              <w:rPr>
                <w:b/>
                <w:sz w:val="16"/>
              </w:rPr>
              <w:t>Pendiente del </w:t>
            </w:r>
            <w:r>
              <w:rPr>
                <w:b/>
                <w:i/>
                <w:sz w:val="16"/>
              </w:rPr>
              <w:t>colector</w:t>
            </w:r>
          </w:p>
        </w:tc>
        <w:tc>
          <w:tcPr>
            <w:tcW w:w="2105" w:type="dxa"/>
            <w:tcBorders>
              <w:top w:val="single" w:sz="4" w:space="0" w:color="000000"/>
              <w:right w:val="single" w:sz="4" w:space="0" w:color="000000"/>
            </w:tcBorders>
          </w:tcPr>
          <w:p>
            <w:pPr>
              <w:pStyle w:val="TableParagraph"/>
              <w:jc w:val="left"/>
              <w:rPr>
                <w:rFonts w:ascii="Times New Roman"/>
                <w:sz w:val="12"/>
              </w:rPr>
            </w:pPr>
          </w:p>
        </w:tc>
        <w:tc>
          <w:tcPr>
            <w:tcW w:w="2585" w:type="dxa"/>
            <w:vMerge/>
            <w:tcBorders>
              <w:top w:val="nil"/>
              <w:left w:val="single" w:sz="4" w:space="0" w:color="000000"/>
              <w:bottom w:val="single" w:sz="4" w:space="0" w:color="000000"/>
            </w:tcBorders>
          </w:tcPr>
          <w:p>
            <w:pPr>
              <w:rPr>
                <w:sz w:val="2"/>
                <w:szCs w:val="2"/>
              </w:rPr>
            </w:pPr>
          </w:p>
        </w:tc>
      </w:tr>
      <w:tr>
        <w:trPr>
          <w:trHeight w:val="178" w:hRule="atLeast"/>
        </w:trPr>
        <w:tc>
          <w:tcPr>
            <w:tcW w:w="2115" w:type="dxa"/>
            <w:tcBorders>
              <w:bottom w:val="single" w:sz="4" w:space="0" w:color="000000"/>
            </w:tcBorders>
          </w:tcPr>
          <w:p>
            <w:pPr>
              <w:pStyle w:val="TableParagraph"/>
              <w:spacing w:line="159" w:lineRule="exact"/>
              <w:ind w:right="909"/>
              <w:jc w:val="right"/>
              <w:rPr>
                <w:b/>
                <w:sz w:val="16"/>
              </w:rPr>
            </w:pPr>
            <w:r>
              <w:rPr>
                <w:b/>
                <w:sz w:val="16"/>
              </w:rPr>
              <w:t>1 %</w:t>
            </w:r>
          </w:p>
        </w:tc>
        <w:tc>
          <w:tcPr>
            <w:tcW w:w="2103" w:type="dxa"/>
            <w:tcBorders>
              <w:bottom w:val="single" w:sz="4" w:space="0" w:color="000000"/>
            </w:tcBorders>
          </w:tcPr>
          <w:p>
            <w:pPr>
              <w:pStyle w:val="TableParagraph"/>
              <w:spacing w:line="159" w:lineRule="exact"/>
              <w:ind w:left="178" w:right="176"/>
              <w:rPr>
                <w:b/>
                <w:sz w:val="16"/>
              </w:rPr>
            </w:pPr>
            <w:r>
              <w:rPr>
                <w:b/>
                <w:sz w:val="16"/>
              </w:rPr>
              <w:t>2 %</w:t>
            </w:r>
          </w:p>
        </w:tc>
        <w:tc>
          <w:tcPr>
            <w:tcW w:w="2105" w:type="dxa"/>
            <w:tcBorders>
              <w:bottom w:val="single" w:sz="4" w:space="0" w:color="000000"/>
              <w:right w:val="single" w:sz="4" w:space="0" w:color="000000"/>
            </w:tcBorders>
          </w:tcPr>
          <w:p>
            <w:pPr>
              <w:pStyle w:val="TableParagraph"/>
              <w:spacing w:line="159" w:lineRule="exact"/>
              <w:ind w:left="914"/>
              <w:jc w:val="left"/>
              <w:rPr>
                <w:b/>
                <w:sz w:val="16"/>
              </w:rPr>
            </w:pPr>
            <w:r>
              <w:rPr>
                <w:b/>
                <w:sz w:val="16"/>
              </w:rPr>
              <w:t>4 %</w:t>
            </w:r>
          </w:p>
        </w:tc>
        <w:tc>
          <w:tcPr>
            <w:tcW w:w="2585" w:type="dxa"/>
            <w:vMerge/>
            <w:tcBorders>
              <w:top w:val="nil"/>
              <w:left w:val="single" w:sz="4" w:space="0" w:color="000000"/>
              <w:bottom w:val="single" w:sz="4" w:space="0" w:color="000000"/>
            </w:tcBorders>
          </w:tcPr>
          <w:p>
            <w:pPr>
              <w:rPr>
                <w:sz w:val="2"/>
                <w:szCs w:val="2"/>
              </w:rPr>
            </w:pPr>
          </w:p>
        </w:tc>
      </w:tr>
      <w:tr>
        <w:trPr>
          <w:trHeight w:val="184" w:hRule="atLeast"/>
        </w:trPr>
        <w:tc>
          <w:tcPr>
            <w:tcW w:w="2115" w:type="dxa"/>
            <w:tcBorders>
              <w:top w:val="single" w:sz="4" w:space="0" w:color="000000"/>
            </w:tcBorders>
          </w:tcPr>
          <w:p>
            <w:pPr>
              <w:pStyle w:val="TableParagraph"/>
              <w:spacing w:line="164" w:lineRule="exact"/>
              <w:ind w:right="915"/>
              <w:jc w:val="right"/>
              <w:rPr>
                <w:sz w:val="16"/>
              </w:rPr>
            </w:pPr>
            <w:r>
              <w:rPr>
                <w:w w:val="95"/>
                <w:sz w:val="16"/>
              </w:rPr>
              <w:t>125</w:t>
            </w:r>
          </w:p>
        </w:tc>
        <w:tc>
          <w:tcPr>
            <w:tcW w:w="2103" w:type="dxa"/>
            <w:tcBorders>
              <w:top w:val="single" w:sz="4" w:space="0" w:color="000000"/>
            </w:tcBorders>
          </w:tcPr>
          <w:p>
            <w:pPr>
              <w:pStyle w:val="TableParagraph"/>
              <w:spacing w:line="164" w:lineRule="exact"/>
              <w:ind w:left="177" w:right="176"/>
              <w:rPr>
                <w:sz w:val="16"/>
              </w:rPr>
            </w:pPr>
            <w:r>
              <w:rPr>
                <w:sz w:val="16"/>
              </w:rPr>
              <w:t>178</w:t>
            </w:r>
          </w:p>
        </w:tc>
        <w:tc>
          <w:tcPr>
            <w:tcW w:w="2105" w:type="dxa"/>
            <w:tcBorders>
              <w:top w:val="single" w:sz="4" w:space="0" w:color="000000"/>
              <w:right w:val="single" w:sz="4" w:space="0" w:color="000000"/>
            </w:tcBorders>
          </w:tcPr>
          <w:p>
            <w:pPr>
              <w:pStyle w:val="TableParagraph"/>
              <w:spacing w:line="164" w:lineRule="exact"/>
              <w:ind w:left="919"/>
              <w:jc w:val="left"/>
              <w:rPr>
                <w:sz w:val="16"/>
              </w:rPr>
            </w:pPr>
            <w:r>
              <w:rPr>
                <w:sz w:val="16"/>
              </w:rPr>
              <w:t>253</w:t>
            </w:r>
          </w:p>
        </w:tc>
        <w:tc>
          <w:tcPr>
            <w:tcW w:w="2585" w:type="dxa"/>
            <w:tcBorders>
              <w:top w:val="single" w:sz="4" w:space="0" w:color="000000"/>
              <w:left w:val="single" w:sz="4" w:space="0" w:color="000000"/>
            </w:tcBorders>
          </w:tcPr>
          <w:p>
            <w:pPr>
              <w:pStyle w:val="TableParagraph"/>
              <w:spacing w:line="164" w:lineRule="exact"/>
              <w:ind w:left="121" w:right="124"/>
              <w:rPr>
                <w:sz w:val="16"/>
              </w:rPr>
            </w:pPr>
            <w:r>
              <w:rPr>
                <w:sz w:val="16"/>
              </w:rPr>
              <w:t>90</w:t>
            </w:r>
          </w:p>
        </w:tc>
      </w:tr>
      <w:tr>
        <w:trPr>
          <w:trHeight w:val="184" w:hRule="atLeast"/>
        </w:trPr>
        <w:tc>
          <w:tcPr>
            <w:tcW w:w="2115" w:type="dxa"/>
          </w:tcPr>
          <w:p>
            <w:pPr>
              <w:pStyle w:val="TableParagraph"/>
              <w:spacing w:line="164" w:lineRule="exact"/>
              <w:ind w:right="915"/>
              <w:jc w:val="right"/>
              <w:rPr>
                <w:sz w:val="16"/>
              </w:rPr>
            </w:pPr>
            <w:r>
              <w:rPr>
                <w:w w:val="95"/>
                <w:sz w:val="16"/>
              </w:rPr>
              <w:t>229</w:t>
            </w:r>
          </w:p>
        </w:tc>
        <w:tc>
          <w:tcPr>
            <w:tcW w:w="2103" w:type="dxa"/>
          </w:tcPr>
          <w:p>
            <w:pPr>
              <w:pStyle w:val="TableParagraph"/>
              <w:spacing w:line="164" w:lineRule="exact"/>
              <w:ind w:left="177" w:right="176"/>
              <w:rPr>
                <w:sz w:val="16"/>
              </w:rPr>
            </w:pPr>
            <w:r>
              <w:rPr>
                <w:sz w:val="16"/>
              </w:rPr>
              <w:t>323</w:t>
            </w:r>
          </w:p>
        </w:tc>
        <w:tc>
          <w:tcPr>
            <w:tcW w:w="2105" w:type="dxa"/>
            <w:tcBorders>
              <w:right w:val="single" w:sz="4" w:space="0" w:color="000000"/>
            </w:tcBorders>
          </w:tcPr>
          <w:p>
            <w:pPr>
              <w:pStyle w:val="TableParagraph"/>
              <w:spacing w:line="164" w:lineRule="exact"/>
              <w:ind w:left="919"/>
              <w:jc w:val="left"/>
              <w:rPr>
                <w:sz w:val="16"/>
              </w:rPr>
            </w:pPr>
            <w:r>
              <w:rPr>
                <w:sz w:val="16"/>
              </w:rPr>
              <w:t>458</w:t>
            </w:r>
          </w:p>
        </w:tc>
        <w:tc>
          <w:tcPr>
            <w:tcW w:w="2585" w:type="dxa"/>
            <w:tcBorders>
              <w:left w:val="single" w:sz="4" w:space="0" w:color="000000"/>
            </w:tcBorders>
          </w:tcPr>
          <w:p>
            <w:pPr>
              <w:pStyle w:val="TableParagraph"/>
              <w:spacing w:line="164" w:lineRule="exact"/>
              <w:ind w:left="121" w:right="124"/>
              <w:rPr>
                <w:sz w:val="16"/>
              </w:rPr>
            </w:pPr>
            <w:r>
              <w:rPr>
                <w:sz w:val="16"/>
              </w:rPr>
              <w:t>110</w:t>
            </w:r>
          </w:p>
        </w:tc>
      </w:tr>
      <w:tr>
        <w:trPr>
          <w:trHeight w:val="183" w:hRule="atLeast"/>
        </w:trPr>
        <w:tc>
          <w:tcPr>
            <w:tcW w:w="2115" w:type="dxa"/>
          </w:tcPr>
          <w:p>
            <w:pPr>
              <w:pStyle w:val="TableParagraph"/>
              <w:spacing w:line="164" w:lineRule="exact"/>
              <w:ind w:right="915"/>
              <w:jc w:val="right"/>
              <w:rPr>
                <w:sz w:val="16"/>
              </w:rPr>
            </w:pPr>
            <w:r>
              <w:rPr>
                <w:w w:val="95"/>
                <w:sz w:val="16"/>
              </w:rPr>
              <w:t>310</w:t>
            </w:r>
          </w:p>
        </w:tc>
        <w:tc>
          <w:tcPr>
            <w:tcW w:w="2103" w:type="dxa"/>
          </w:tcPr>
          <w:p>
            <w:pPr>
              <w:pStyle w:val="TableParagraph"/>
              <w:spacing w:line="164" w:lineRule="exact"/>
              <w:ind w:left="177" w:right="176"/>
              <w:rPr>
                <w:sz w:val="16"/>
              </w:rPr>
            </w:pPr>
            <w:r>
              <w:rPr>
                <w:sz w:val="16"/>
              </w:rPr>
              <w:t>440</w:t>
            </w:r>
          </w:p>
        </w:tc>
        <w:tc>
          <w:tcPr>
            <w:tcW w:w="2105" w:type="dxa"/>
            <w:tcBorders>
              <w:right w:val="single" w:sz="4" w:space="0" w:color="000000"/>
            </w:tcBorders>
          </w:tcPr>
          <w:p>
            <w:pPr>
              <w:pStyle w:val="TableParagraph"/>
              <w:spacing w:line="164" w:lineRule="exact"/>
              <w:ind w:left="919"/>
              <w:jc w:val="left"/>
              <w:rPr>
                <w:sz w:val="16"/>
              </w:rPr>
            </w:pPr>
            <w:r>
              <w:rPr>
                <w:sz w:val="16"/>
              </w:rPr>
              <w:t>620</w:t>
            </w:r>
          </w:p>
        </w:tc>
        <w:tc>
          <w:tcPr>
            <w:tcW w:w="2585" w:type="dxa"/>
            <w:tcBorders>
              <w:left w:val="single" w:sz="4" w:space="0" w:color="000000"/>
            </w:tcBorders>
          </w:tcPr>
          <w:p>
            <w:pPr>
              <w:pStyle w:val="TableParagraph"/>
              <w:spacing w:line="164" w:lineRule="exact"/>
              <w:ind w:left="121" w:right="124"/>
              <w:rPr>
                <w:sz w:val="16"/>
              </w:rPr>
            </w:pPr>
            <w:r>
              <w:rPr>
                <w:sz w:val="16"/>
              </w:rPr>
              <w:t>125</w:t>
            </w:r>
          </w:p>
        </w:tc>
      </w:tr>
      <w:tr>
        <w:trPr>
          <w:trHeight w:val="184" w:hRule="atLeast"/>
        </w:trPr>
        <w:tc>
          <w:tcPr>
            <w:tcW w:w="2115" w:type="dxa"/>
          </w:tcPr>
          <w:p>
            <w:pPr>
              <w:pStyle w:val="TableParagraph"/>
              <w:spacing w:line="164" w:lineRule="exact"/>
              <w:ind w:right="915"/>
              <w:jc w:val="right"/>
              <w:rPr>
                <w:sz w:val="16"/>
              </w:rPr>
            </w:pPr>
            <w:r>
              <w:rPr>
                <w:w w:val="95"/>
                <w:sz w:val="16"/>
              </w:rPr>
              <w:t>614</w:t>
            </w:r>
          </w:p>
        </w:tc>
        <w:tc>
          <w:tcPr>
            <w:tcW w:w="2103" w:type="dxa"/>
          </w:tcPr>
          <w:p>
            <w:pPr>
              <w:pStyle w:val="TableParagraph"/>
              <w:spacing w:line="164" w:lineRule="exact"/>
              <w:ind w:left="177" w:right="176"/>
              <w:rPr>
                <w:sz w:val="16"/>
              </w:rPr>
            </w:pPr>
            <w:r>
              <w:rPr>
                <w:sz w:val="16"/>
              </w:rPr>
              <w:t>862</w:t>
            </w:r>
          </w:p>
        </w:tc>
        <w:tc>
          <w:tcPr>
            <w:tcW w:w="2105" w:type="dxa"/>
            <w:tcBorders>
              <w:right w:val="single" w:sz="4" w:space="0" w:color="000000"/>
            </w:tcBorders>
          </w:tcPr>
          <w:p>
            <w:pPr>
              <w:pStyle w:val="TableParagraph"/>
              <w:spacing w:line="164" w:lineRule="exact"/>
              <w:ind w:left="852"/>
              <w:jc w:val="left"/>
              <w:rPr>
                <w:sz w:val="16"/>
              </w:rPr>
            </w:pPr>
            <w:r>
              <w:rPr>
                <w:sz w:val="16"/>
              </w:rPr>
              <w:t>1.228</w:t>
            </w:r>
          </w:p>
        </w:tc>
        <w:tc>
          <w:tcPr>
            <w:tcW w:w="2585" w:type="dxa"/>
            <w:tcBorders>
              <w:left w:val="single" w:sz="4" w:space="0" w:color="000000"/>
            </w:tcBorders>
          </w:tcPr>
          <w:p>
            <w:pPr>
              <w:pStyle w:val="TableParagraph"/>
              <w:spacing w:line="164" w:lineRule="exact"/>
              <w:ind w:left="121" w:right="124"/>
              <w:rPr>
                <w:sz w:val="16"/>
              </w:rPr>
            </w:pPr>
            <w:r>
              <w:rPr>
                <w:sz w:val="16"/>
              </w:rPr>
              <w:t>160</w:t>
            </w:r>
          </w:p>
        </w:tc>
      </w:tr>
      <w:tr>
        <w:trPr>
          <w:trHeight w:val="184" w:hRule="atLeast"/>
        </w:trPr>
        <w:tc>
          <w:tcPr>
            <w:tcW w:w="2115" w:type="dxa"/>
          </w:tcPr>
          <w:p>
            <w:pPr>
              <w:pStyle w:val="TableParagraph"/>
              <w:spacing w:line="164" w:lineRule="exact"/>
              <w:ind w:right="849"/>
              <w:jc w:val="right"/>
              <w:rPr>
                <w:sz w:val="16"/>
              </w:rPr>
            </w:pPr>
            <w:r>
              <w:rPr>
                <w:w w:val="95"/>
                <w:sz w:val="16"/>
              </w:rPr>
              <w:t>1.070</w:t>
            </w:r>
          </w:p>
        </w:tc>
        <w:tc>
          <w:tcPr>
            <w:tcW w:w="2103" w:type="dxa"/>
          </w:tcPr>
          <w:p>
            <w:pPr>
              <w:pStyle w:val="TableParagraph"/>
              <w:spacing w:line="164" w:lineRule="exact"/>
              <w:ind w:left="176" w:right="176"/>
              <w:rPr>
                <w:sz w:val="16"/>
              </w:rPr>
            </w:pPr>
            <w:r>
              <w:rPr>
                <w:sz w:val="16"/>
              </w:rPr>
              <w:t>1.510</w:t>
            </w:r>
          </w:p>
        </w:tc>
        <w:tc>
          <w:tcPr>
            <w:tcW w:w="2105" w:type="dxa"/>
            <w:tcBorders>
              <w:right w:val="single" w:sz="4" w:space="0" w:color="000000"/>
            </w:tcBorders>
          </w:tcPr>
          <w:p>
            <w:pPr>
              <w:pStyle w:val="TableParagraph"/>
              <w:spacing w:line="164" w:lineRule="exact"/>
              <w:ind w:left="852"/>
              <w:jc w:val="left"/>
              <w:rPr>
                <w:sz w:val="16"/>
              </w:rPr>
            </w:pPr>
            <w:r>
              <w:rPr>
                <w:sz w:val="16"/>
              </w:rPr>
              <w:t>2.140</w:t>
            </w:r>
          </w:p>
        </w:tc>
        <w:tc>
          <w:tcPr>
            <w:tcW w:w="2585" w:type="dxa"/>
            <w:tcBorders>
              <w:left w:val="single" w:sz="4" w:space="0" w:color="000000"/>
            </w:tcBorders>
          </w:tcPr>
          <w:p>
            <w:pPr>
              <w:pStyle w:val="TableParagraph"/>
              <w:spacing w:line="164" w:lineRule="exact"/>
              <w:ind w:left="121" w:right="124"/>
              <w:rPr>
                <w:sz w:val="16"/>
              </w:rPr>
            </w:pPr>
            <w:r>
              <w:rPr>
                <w:sz w:val="16"/>
              </w:rPr>
              <w:t>200</w:t>
            </w:r>
          </w:p>
        </w:tc>
      </w:tr>
      <w:tr>
        <w:trPr>
          <w:trHeight w:val="183" w:hRule="atLeast"/>
        </w:trPr>
        <w:tc>
          <w:tcPr>
            <w:tcW w:w="2115" w:type="dxa"/>
          </w:tcPr>
          <w:p>
            <w:pPr>
              <w:pStyle w:val="TableParagraph"/>
              <w:spacing w:line="164" w:lineRule="exact"/>
              <w:ind w:right="849"/>
              <w:jc w:val="right"/>
              <w:rPr>
                <w:sz w:val="16"/>
              </w:rPr>
            </w:pPr>
            <w:r>
              <w:rPr>
                <w:w w:val="95"/>
                <w:sz w:val="16"/>
              </w:rPr>
              <w:t>1.920</w:t>
            </w:r>
          </w:p>
        </w:tc>
        <w:tc>
          <w:tcPr>
            <w:tcW w:w="2103" w:type="dxa"/>
          </w:tcPr>
          <w:p>
            <w:pPr>
              <w:pStyle w:val="TableParagraph"/>
              <w:spacing w:line="164" w:lineRule="exact"/>
              <w:ind w:left="176" w:right="176"/>
              <w:rPr>
                <w:sz w:val="16"/>
              </w:rPr>
            </w:pPr>
            <w:r>
              <w:rPr>
                <w:sz w:val="16"/>
              </w:rPr>
              <w:t>2.710</w:t>
            </w:r>
          </w:p>
        </w:tc>
        <w:tc>
          <w:tcPr>
            <w:tcW w:w="2105" w:type="dxa"/>
            <w:tcBorders>
              <w:right w:val="single" w:sz="4" w:space="0" w:color="000000"/>
            </w:tcBorders>
          </w:tcPr>
          <w:p>
            <w:pPr>
              <w:pStyle w:val="TableParagraph"/>
              <w:spacing w:line="164" w:lineRule="exact"/>
              <w:ind w:left="852"/>
              <w:jc w:val="left"/>
              <w:rPr>
                <w:sz w:val="16"/>
              </w:rPr>
            </w:pPr>
            <w:r>
              <w:rPr>
                <w:sz w:val="16"/>
              </w:rPr>
              <w:t>3.850</w:t>
            </w:r>
          </w:p>
        </w:tc>
        <w:tc>
          <w:tcPr>
            <w:tcW w:w="2585" w:type="dxa"/>
            <w:tcBorders>
              <w:left w:val="single" w:sz="4" w:space="0" w:color="000000"/>
            </w:tcBorders>
          </w:tcPr>
          <w:p>
            <w:pPr>
              <w:pStyle w:val="TableParagraph"/>
              <w:spacing w:line="164" w:lineRule="exact"/>
              <w:ind w:left="121" w:right="124"/>
              <w:rPr>
                <w:sz w:val="16"/>
              </w:rPr>
            </w:pPr>
            <w:r>
              <w:rPr>
                <w:sz w:val="16"/>
              </w:rPr>
              <w:t>250</w:t>
            </w:r>
          </w:p>
        </w:tc>
      </w:tr>
      <w:tr>
        <w:trPr>
          <w:trHeight w:val="184" w:hRule="atLeast"/>
        </w:trPr>
        <w:tc>
          <w:tcPr>
            <w:tcW w:w="2115" w:type="dxa"/>
            <w:tcBorders>
              <w:bottom w:val="single" w:sz="4" w:space="0" w:color="000000"/>
            </w:tcBorders>
          </w:tcPr>
          <w:p>
            <w:pPr>
              <w:pStyle w:val="TableParagraph"/>
              <w:spacing w:line="164" w:lineRule="exact"/>
              <w:ind w:right="849"/>
              <w:jc w:val="right"/>
              <w:rPr>
                <w:sz w:val="16"/>
              </w:rPr>
            </w:pPr>
            <w:r>
              <w:rPr>
                <w:w w:val="95"/>
                <w:sz w:val="16"/>
              </w:rPr>
              <w:t>2.016</w:t>
            </w:r>
          </w:p>
        </w:tc>
        <w:tc>
          <w:tcPr>
            <w:tcW w:w="2103" w:type="dxa"/>
            <w:tcBorders>
              <w:bottom w:val="single" w:sz="4" w:space="0" w:color="000000"/>
            </w:tcBorders>
          </w:tcPr>
          <w:p>
            <w:pPr>
              <w:pStyle w:val="TableParagraph"/>
              <w:spacing w:line="164" w:lineRule="exact"/>
              <w:ind w:left="176" w:right="176"/>
              <w:rPr>
                <w:sz w:val="16"/>
              </w:rPr>
            </w:pPr>
            <w:r>
              <w:rPr>
                <w:sz w:val="16"/>
              </w:rPr>
              <w:t>4.589</w:t>
            </w:r>
          </w:p>
        </w:tc>
        <w:tc>
          <w:tcPr>
            <w:tcW w:w="2105" w:type="dxa"/>
            <w:tcBorders>
              <w:bottom w:val="single" w:sz="4" w:space="0" w:color="000000"/>
              <w:right w:val="single" w:sz="4" w:space="0" w:color="000000"/>
            </w:tcBorders>
          </w:tcPr>
          <w:p>
            <w:pPr>
              <w:pStyle w:val="TableParagraph"/>
              <w:spacing w:line="164" w:lineRule="exact"/>
              <w:ind w:left="852"/>
              <w:jc w:val="left"/>
              <w:rPr>
                <w:sz w:val="16"/>
              </w:rPr>
            </w:pPr>
            <w:r>
              <w:rPr>
                <w:sz w:val="16"/>
              </w:rPr>
              <w:t>6.500</w:t>
            </w:r>
          </w:p>
        </w:tc>
        <w:tc>
          <w:tcPr>
            <w:tcW w:w="2585" w:type="dxa"/>
            <w:tcBorders>
              <w:left w:val="single" w:sz="4" w:space="0" w:color="000000"/>
              <w:bottom w:val="single" w:sz="4" w:space="0" w:color="000000"/>
            </w:tcBorders>
          </w:tcPr>
          <w:p>
            <w:pPr>
              <w:pStyle w:val="TableParagraph"/>
              <w:spacing w:line="164" w:lineRule="exact"/>
              <w:ind w:left="121" w:right="124"/>
              <w:rPr>
                <w:sz w:val="16"/>
              </w:rPr>
            </w:pPr>
            <w:r>
              <w:rPr>
                <w:sz w:val="16"/>
              </w:rPr>
              <w:t>315</w:t>
            </w:r>
          </w:p>
        </w:tc>
      </w:tr>
    </w:tbl>
    <w:p>
      <w:pPr>
        <w:pStyle w:val="BodyText"/>
        <w:spacing w:before="2"/>
        <w:rPr>
          <w:b/>
          <w:sz w:val="24"/>
        </w:rPr>
      </w:pPr>
    </w:p>
    <w:p>
      <w:pPr>
        <w:pStyle w:val="ListParagraph"/>
        <w:numPr>
          <w:ilvl w:val="1"/>
          <w:numId w:val="241"/>
        </w:numPr>
        <w:tabs>
          <w:tab w:pos="787" w:val="left" w:leader="none"/>
        </w:tabs>
        <w:spacing w:line="240" w:lineRule="auto" w:before="1" w:after="0"/>
        <w:ind w:left="786" w:right="0" w:hanging="502"/>
        <w:jc w:val="left"/>
        <w:rPr>
          <w:b/>
          <w:sz w:val="24"/>
        </w:rPr>
      </w:pPr>
      <w:r>
        <w:rPr>
          <w:b/>
          <w:sz w:val="24"/>
        </w:rPr>
        <w:t>Dimensionado de los </w:t>
      </w:r>
      <w:r>
        <w:rPr>
          <w:b/>
          <w:i/>
          <w:sz w:val="24"/>
        </w:rPr>
        <w:t>colectores </w:t>
      </w:r>
      <w:r>
        <w:rPr>
          <w:b/>
          <w:sz w:val="24"/>
        </w:rPr>
        <w:t>de tipo</w:t>
      </w:r>
      <w:r>
        <w:rPr>
          <w:b/>
          <w:spacing w:val="-3"/>
          <w:sz w:val="24"/>
        </w:rPr>
        <w:t> </w:t>
      </w:r>
      <w:r>
        <w:rPr>
          <w:b/>
          <w:sz w:val="24"/>
        </w:rPr>
        <w:t>mixto</w:t>
      </w:r>
    </w:p>
    <w:p>
      <w:pPr>
        <w:pStyle w:val="ListParagraph"/>
        <w:numPr>
          <w:ilvl w:val="0"/>
          <w:numId w:val="251"/>
        </w:numPr>
        <w:tabs>
          <w:tab w:pos="672" w:val="left" w:leader="none"/>
          <w:tab w:pos="673" w:val="left" w:leader="none"/>
        </w:tabs>
        <w:spacing w:line="240" w:lineRule="auto" w:before="98" w:after="0"/>
        <w:ind w:left="672" w:right="396" w:hanging="454"/>
        <w:jc w:val="left"/>
        <w:rPr>
          <w:sz w:val="20"/>
        </w:rPr>
      </w:pPr>
      <w:r>
        <w:rPr>
          <w:sz w:val="20"/>
        </w:rPr>
        <w:t>Para dimensionar los </w:t>
      </w:r>
      <w:r>
        <w:rPr>
          <w:i/>
          <w:sz w:val="20"/>
        </w:rPr>
        <w:t>colectores </w:t>
      </w:r>
      <w:r>
        <w:rPr>
          <w:sz w:val="20"/>
        </w:rPr>
        <w:t>de tipo mixto deben transformarse las unidades de desagüe co- rrespondientes a las </w:t>
      </w:r>
      <w:r>
        <w:rPr>
          <w:i/>
          <w:sz w:val="20"/>
        </w:rPr>
        <w:t>aguas residuales </w:t>
      </w:r>
      <w:r>
        <w:rPr>
          <w:sz w:val="20"/>
        </w:rPr>
        <w:t>en superficies equivalentes de recogida de aguas, y sumarse a las correspondientes a las </w:t>
      </w:r>
      <w:r>
        <w:rPr>
          <w:i/>
          <w:sz w:val="20"/>
        </w:rPr>
        <w:t>aguas pluviales</w:t>
      </w:r>
      <w:r>
        <w:rPr>
          <w:sz w:val="20"/>
        </w:rPr>
        <w:t>. El diámetro de los </w:t>
      </w:r>
      <w:r>
        <w:rPr>
          <w:i/>
          <w:sz w:val="20"/>
        </w:rPr>
        <w:t>colectores </w:t>
      </w:r>
      <w:r>
        <w:rPr>
          <w:sz w:val="20"/>
        </w:rPr>
        <w:t>se obtiene en la tabla 4.9 en función de su pendiente y de la superficie así</w:t>
      </w:r>
      <w:r>
        <w:rPr>
          <w:spacing w:val="-6"/>
          <w:sz w:val="20"/>
        </w:rPr>
        <w:t> </w:t>
      </w:r>
      <w:r>
        <w:rPr>
          <w:sz w:val="20"/>
        </w:rPr>
        <w:t>obtenida.</w:t>
      </w:r>
    </w:p>
    <w:p>
      <w:pPr>
        <w:pStyle w:val="ListParagraph"/>
        <w:numPr>
          <w:ilvl w:val="0"/>
          <w:numId w:val="251"/>
        </w:numPr>
        <w:tabs>
          <w:tab w:pos="672" w:val="left" w:leader="none"/>
          <w:tab w:pos="673" w:val="left" w:leader="none"/>
        </w:tabs>
        <w:spacing w:line="240" w:lineRule="auto" w:before="60" w:after="0"/>
        <w:ind w:left="672" w:right="520" w:hanging="454"/>
        <w:jc w:val="left"/>
        <w:rPr>
          <w:sz w:val="20"/>
        </w:rPr>
      </w:pPr>
      <w:r>
        <w:rPr>
          <w:sz w:val="20"/>
        </w:rPr>
        <w:t>La transformación de las UD en superficie equivalente para un régimen pluviométrico de 100 mm/h se efectúa con el siguiente</w:t>
      </w:r>
      <w:r>
        <w:rPr>
          <w:spacing w:val="-5"/>
          <w:sz w:val="20"/>
        </w:rPr>
        <w:t> </w:t>
      </w:r>
      <w:r>
        <w:rPr>
          <w:sz w:val="20"/>
        </w:rPr>
        <w:t>criterio:</w:t>
      </w:r>
    </w:p>
    <w:p>
      <w:pPr>
        <w:pStyle w:val="ListParagraph"/>
        <w:numPr>
          <w:ilvl w:val="1"/>
          <w:numId w:val="251"/>
        </w:numPr>
        <w:tabs>
          <w:tab w:pos="1125" w:val="left" w:leader="none"/>
          <w:tab w:pos="1126" w:val="left" w:leader="none"/>
        </w:tabs>
        <w:spacing w:line="240" w:lineRule="auto" w:before="61" w:after="0"/>
        <w:ind w:left="1126" w:right="0" w:hanging="454"/>
        <w:jc w:val="left"/>
        <w:rPr>
          <w:sz w:val="20"/>
        </w:rPr>
      </w:pPr>
      <w:r>
        <w:rPr>
          <w:sz w:val="20"/>
        </w:rPr>
        <w:t>para un número de UD menor o igual que 250 la superficie equivalente es de 90</w:t>
      </w:r>
      <w:r>
        <w:rPr>
          <w:spacing w:val="-9"/>
          <w:sz w:val="20"/>
        </w:rPr>
        <w:t> </w:t>
      </w:r>
      <w:r>
        <w:rPr>
          <w:sz w:val="20"/>
        </w:rPr>
        <w:t>m</w:t>
      </w:r>
      <w:r>
        <w:rPr>
          <w:sz w:val="20"/>
          <w:vertAlign w:val="superscript"/>
        </w:rPr>
        <w:t>2</w:t>
      </w:r>
      <w:r>
        <w:rPr>
          <w:sz w:val="20"/>
          <w:vertAlign w:val="baseline"/>
        </w:rPr>
        <w:t>;</w:t>
      </w:r>
    </w:p>
    <w:p>
      <w:pPr>
        <w:pStyle w:val="ListParagraph"/>
        <w:numPr>
          <w:ilvl w:val="1"/>
          <w:numId w:val="251"/>
        </w:numPr>
        <w:tabs>
          <w:tab w:pos="1125" w:val="left" w:leader="none"/>
          <w:tab w:pos="1126" w:val="left" w:leader="none"/>
        </w:tabs>
        <w:spacing w:line="240" w:lineRule="auto" w:before="59" w:after="0"/>
        <w:ind w:left="1126" w:right="0" w:hanging="454"/>
        <w:jc w:val="left"/>
        <w:rPr>
          <w:sz w:val="20"/>
        </w:rPr>
      </w:pPr>
      <w:r>
        <w:rPr>
          <w:sz w:val="20"/>
        </w:rPr>
        <w:t>para un número de UD mayor que 250 la superficie equivalente es de 0,36 x nº UD</w:t>
      </w:r>
      <w:r>
        <w:rPr>
          <w:spacing w:val="-10"/>
          <w:sz w:val="20"/>
        </w:rPr>
        <w:t> </w:t>
      </w:r>
      <w:r>
        <w:rPr>
          <w:sz w:val="20"/>
        </w:rPr>
        <w:t>m</w:t>
      </w:r>
      <w:r>
        <w:rPr>
          <w:sz w:val="20"/>
          <w:vertAlign w:val="superscript"/>
        </w:rPr>
        <w:t>2</w:t>
      </w:r>
      <w:r>
        <w:rPr>
          <w:sz w:val="20"/>
          <w:vertAlign w:val="baseline"/>
        </w:rPr>
        <w:t>.</w:t>
      </w:r>
    </w:p>
    <w:p>
      <w:pPr>
        <w:pStyle w:val="BodyText"/>
        <w:tabs>
          <w:tab w:pos="672" w:val="left" w:leader="none"/>
        </w:tabs>
        <w:spacing w:before="61"/>
        <w:ind w:left="672" w:right="631" w:hanging="454"/>
      </w:pPr>
      <w:r>
        <w:rPr/>
        <w:t>1</w:t>
        <w:tab/>
        <w:t>Si el régimen pluviométrico es diferente, deben multiplicarse los valores de las superficies equiva- lentes por el factor f de corrección indicado en</w:t>
      </w:r>
      <w:r>
        <w:rPr>
          <w:spacing w:val="-5"/>
        </w:rPr>
        <w:t> </w:t>
      </w:r>
      <w:r>
        <w:rPr/>
        <w:t>4.2.2.</w:t>
      </w:r>
    </w:p>
    <w:p>
      <w:pPr>
        <w:pStyle w:val="BodyText"/>
        <w:spacing w:before="5"/>
        <w:rPr>
          <w:sz w:val="24"/>
        </w:rPr>
      </w:pPr>
    </w:p>
    <w:p>
      <w:pPr>
        <w:pStyle w:val="ListParagraph"/>
        <w:numPr>
          <w:ilvl w:val="1"/>
          <w:numId w:val="241"/>
        </w:numPr>
        <w:tabs>
          <w:tab w:pos="786" w:val="left" w:leader="none"/>
          <w:tab w:pos="787" w:val="left" w:leader="none"/>
        </w:tabs>
        <w:spacing w:line="240" w:lineRule="auto" w:before="0" w:after="0"/>
        <w:ind w:left="786" w:right="0" w:hanging="569"/>
        <w:jc w:val="left"/>
        <w:rPr>
          <w:b/>
          <w:sz w:val="24"/>
        </w:rPr>
      </w:pPr>
      <w:r>
        <w:rPr>
          <w:b/>
          <w:sz w:val="24"/>
        </w:rPr>
        <w:t>Dimensionado de las redes de</w:t>
      </w:r>
      <w:r>
        <w:rPr>
          <w:b/>
          <w:spacing w:val="-1"/>
          <w:sz w:val="24"/>
        </w:rPr>
        <w:t> </w:t>
      </w:r>
      <w:r>
        <w:rPr>
          <w:b/>
          <w:sz w:val="24"/>
        </w:rPr>
        <w:t>ventilación</w:t>
      </w:r>
    </w:p>
    <w:p>
      <w:pPr>
        <w:pStyle w:val="Heading5"/>
        <w:numPr>
          <w:ilvl w:val="2"/>
          <w:numId w:val="241"/>
        </w:numPr>
        <w:tabs>
          <w:tab w:pos="787" w:val="left" w:leader="none"/>
        </w:tabs>
        <w:spacing w:line="240" w:lineRule="auto" w:before="201" w:after="0"/>
        <w:ind w:left="786" w:right="0" w:hanging="569"/>
        <w:jc w:val="left"/>
      </w:pPr>
      <w:r>
        <w:rPr/>
        <w:t>Ventilación</w:t>
      </w:r>
      <w:r>
        <w:rPr>
          <w:spacing w:val="-2"/>
        </w:rPr>
        <w:t> </w:t>
      </w:r>
      <w:r>
        <w:rPr/>
        <w:t>primaria</w:t>
      </w:r>
    </w:p>
    <w:p>
      <w:pPr>
        <w:tabs>
          <w:tab w:pos="672" w:val="left" w:leader="none"/>
        </w:tabs>
        <w:spacing w:before="97"/>
        <w:ind w:left="672" w:right="875" w:hanging="454"/>
        <w:jc w:val="left"/>
        <w:rPr>
          <w:sz w:val="20"/>
        </w:rPr>
      </w:pPr>
      <w:r>
        <w:rPr>
          <w:sz w:val="20"/>
        </w:rPr>
        <w:t>1</w:t>
        <w:tab/>
        <w:t>La </w:t>
      </w:r>
      <w:r>
        <w:rPr>
          <w:i/>
          <w:sz w:val="20"/>
        </w:rPr>
        <w:t>ventilación primaria </w:t>
      </w:r>
      <w:r>
        <w:rPr>
          <w:sz w:val="20"/>
        </w:rPr>
        <w:t>debe tener el mismo diámetro que la </w:t>
      </w:r>
      <w:r>
        <w:rPr>
          <w:i/>
          <w:sz w:val="20"/>
        </w:rPr>
        <w:t>bajante </w:t>
      </w:r>
      <w:r>
        <w:rPr>
          <w:sz w:val="20"/>
        </w:rPr>
        <w:t>de la que es prolongación, aunque a ella se conecte una columna de </w:t>
      </w:r>
      <w:r>
        <w:rPr>
          <w:i/>
          <w:sz w:val="20"/>
        </w:rPr>
        <w:t>ventilación</w:t>
      </w:r>
      <w:r>
        <w:rPr>
          <w:i/>
          <w:spacing w:val="-5"/>
          <w:sz w:val="20"/>
        </w:rPr>
        <w:t> </w:t>
      </w:r>
      <w:r>
        <w:rPr>
          <w:i/>
          <w:sz w:val="20"/>
        </w:rPr>
        <w:t>secundaria</w:t>
      </w:r>
      <w:r>
        <w:rPr>
          <w:sz w:val="20"/>
        </w:rPr>
        <w:t>.</w:t>
      </w:r>
    </w:p>
    <w:p>
      <w:pPr>
        <w:pStyle w:val="BodyText"/>
        <w:spacing w:before="6"/>
        <w:rPr>
          <w:sz w:val="17"/>
        </w:rPr>
      </w:pPr>
    </w:p>
    <w:p>
      <w:pPr>
        <w:pStyle w:val="Heading5"/>
        <w:numPr>
          <w:ilvl w:val="2"/>
          <w:numId w:val="241"/>
        </w:numPr>
        <w:tabs>
          <w:tab w:pos="787" w:val="left" w:leader="none"/>
        </w:tabs>
        <w:spacing w:line="240" w:lineRule="auto" w:before="0" w:after="0"/>
        <w:ind w:left="786" w:right="0" w:hanging="569"/>
        <w:jc w:val="left"/>
      </w:pPr>
      <w:r>
        <w:rPr/>
        <w:t>Ventilación</w:t>
      </w:r>
      <w:r>
        <w:rPr>
          <w:spacing w:val="-2"/>
        </w:rPr>
        <w:t> </w:t>
      </w:r>
      <w:r>
        <w:rPr/>
        <w:t>secundaria</w:t>
      </w:r>
    </w:p>
    <w:p>
      <w:pPr>
        <w:pStyle w:val="ListParagraph"/>
        <w:numPr>
          <w:ilvl w:val="0"/>
          <w:numId w:val="252"/>
        </w:numPr>
        <w:tabs>
          <w:tab w:pos="672" w:val="left" w:leader="none"/>
          <w:tab w:pos="673" w:val="left" w:leader="none"/>
        </w:tabs>
        <w:spacing w:line="240" w:lineRule="auto" w:before="99" w:after="0"/>
        <w:ind w:left="672" w:right="0" w:hanging="455"/>
        <w:jc w:val="left"/>
        <w:rPr>
          <w:sz w:val="20"/>
        </w:rPr>
      </w:pPr>
      <w:r>
        <w:rPr>
          <w:sz w:val="20"/>
        </w:rPr>
        <w:t>Debe tener un diámetro uniforme en todo su</w:t>
      </w:r>
      <w:r>
        <w:rPr>
          <w:spacing w:val="-2"/>
          <w:sz w:val="20"/>
        </w:rPr>
        <w:t> </w:t>
      </w:r>
      <w:r>
        <w:rPr>
          <w:sz w:val="20"/>
        </w:rPr>
        <w:t>recorrido.</w:t>
      </w:r>
    </w:p>
    <w:p>
      <w:pPr>
        <w:pStyle w:val="ListParagraph"/>
        <w:numPr>
          <w:ilvl w:val="0"/>
          <w:numId w:val="252"/>
        </w:numPr>
        <w:tabs>
          <w:tab w:pos="672" w:val="left" w:leader="none"/>
          <w:tab w:pos="673" w:val="left" w:leader="none"/>
        </w:tabs>
        <w:spacing w:line="240" w:lineRule="auto" w:before="60" w:after="0"/>
        <w:ind w:left="672" w:right="600" w:hanging="454"/>
        <w:jc w:val="left"/>
        <w:rPr>
          <w:sz w:val="20"/>
        </w:rPr>
      </w:pPr>
      <w:r>
        <w:rPr>
          <w:sz w:val="20"/>
        </w:rPr>
        <w:t>Cuando existan desviaciones de la </w:t>
      </w:r>
      <w:r>
        <w:rPr>
          <w:i/>
          <w:sz w:val="20"/>
        </w:rPr>
        <w:t>bajante</w:t>
      </w:r>
      <w:r>
        <w:rPr>
          <w:sz w:val="20"/>
        </w:rPr>
        <w:t>, la columna de ventilación correspondiente al tramo anterior a la desviación se dimensiona para la carga de dicho tramo, y la correspondiente al tramo posterior a la desviación se dimensiona para la carga de toda la</w:t>
      </w:r>
      <w:r>
        <w:rPr>
          <w:spacing w:val="-9"/>
          <w:sz w:val="20"/>
        </w:rPr>
        <w:t> </w:t>
      </w:r>
      <w:r>
        <w:rPr>
          <w:i/>
          <w:sz w:val="20"/>
        </w:rPr>
        <w:t>bajante</w:t>
      </w:r>
      <w:r>
        <w:rPr>
          <w:sz w:val="20"/>
        </w:rPr>
        <w:t>.</w:t>
      </w:r>
    </w:p>
    <w:p>
      <w:pPr>
        <w:pStyle w:val="ListParagraph"/>
        <w:numPr>
          <w:ilvl w:val="0"/>
          <w:numId w:val="252"/>
        </w:numPr>
        <w:tabs>
          <w:tab w:pos="672" w:val="left" w:leader="none"/>
          <w:tab w:pos="673" w:val="left" w:leader="none"/>
        </w:tabs>
        <w:spacing w:line="240" w:lineRule="auto" w:before="60" w:after="0"/>
        <w:ind w:left="672" w:right="595" w:hanging="454"/>
        <w:jc w:val="left"/>
        <w:rPr>
          <w:sz w:val="20"/>
        </w:rPr>
      </w:pPr>
      <w:r>
        <w:rPr>
          <w:sz w:val="20"/>
        </w:rPr>
        <w:t>El diámetro de la tubería de unión entre la </w:t>
      </w:r>
      <w:r>
        <w:rPr>
          <w:i/>
          <w:sz w:val="20"/>
        </w:rPr>
        <w:t>bajante </w:t>
      </w:r>
      <w:r>
        <w:rPr>
          <w:sz w:val="20"/>
        </w:rPr>
        <w:t>y la columna de ventilación debe ser igual al de la columna.</w:t>
      </w:r>
    </w:p>
    <w:p>
      <w:pPr>
        <w:pStyle w:val="ListParagraph"/>
        <w:numPr>
          <w:ilvl w:val="0"/>
          <w:numId w:val="252"/>
        </w:numPr>
        <w:tabs>
          <w:tab w:pos="672" w:val="left" w:leader="none"/>
          <w:tab w:pos="673" w:val="left" w:leader="none"/>
        </w:tabs>
        <w:spacing w:line="240" w:lineRule="auto" w:before="60" w:after="0"/>
        <w:ind w:left="672" w:right="608" w:hanging="454"/>
        <w:jc w:val="left"/>
        <w:rPr>
          <w:sz w:val="20"/>
        </w:rPr>
      </w:pPr>
      <w:r>
        <w:rPr>
          <w:sz w:val="20"/>
        </w:rPr>
        <w:t>El diámetro de la columna de ventilación debe ser al menos igual a la mitad del diámetro de la </w:t>
      </w:r>
      <w:r>
        <w:rPr>
          <w:i/>
          <w:sz w:val="20"/>
        </w:rPr>
        <w:t>ba- </w:t>
      </w:r>
      <w:r>
        <w:rPr>
          <w:i/>
          <w:sz w:val="20"/>
        </w:rPr>
        <w:t>jante </w:t>
      </w:r>
      <w:r>
        <w:rPr>
          <w:sz w:val="20"/>
        </w:rPr>
        <w:t>a la que</w:t>
      </w:r>
      <w:r>
        <w:rPr>
          <w:spacing w:val="-3"/>
          <w:sz w:val="20"/>
        </w:rPr>
        <w:t> </w:t>
      </w:r>
      <w:r>
        <w:rPr>
          <w:sz w:val="20"/>
        </w:rPr>
        <w:t>sirve</w:t>
      </w:r>
    </w:p>
    <w:p>
      <w:pPr>
        <w:pStyle w:val="ListParagraph"/>
        <w:numPr>
          <w:ilvl w:val="0"/>
          <w:numId w:val="252"/>
        </w:numPr>
        <w:tabs>
          <w:tab w:pos="672" w:val="left" w:leader="none"/>
          <w:tab w:pos="673" w:val="left" w:leader="none"/>
        </w:tabs>
        <w:spacing w:line="240" w:lineRule="auto" w:before="60" w:after="0"/>
        <w:ind w:left="672" w:right="662" w:hanging="454"/>
        <w:jc w:val="left"/>
        <w:rPr>
          <w:sz w:val="20"/>
        </w:rPr>
      </w:pPr>
      <w:r>
        <w:rPr>
          <w:i/>
          <w:sz w:val="20"/>
        </w:rPr>
        <w:t>Los diámetros nominales </w:t>
      </w:r>
      <w:r>
        <w:rPr>
          <w:sz w:val="20"/>
        </w:rPr>
        <w:t>de la columna de </w:t>
      </w:r>
      <w:r>
        <w:rPr>
          <w:i/>
          <w:sz w:val="20"/>
        </w:rPr>
        <w:t>ventilación secundaria </w:t>
      </w:r>
      <w:r>
        <w:rPr>
          <w:sz w:val="20"/>
        </w:rPr>
        <w:t>se obtienen de la tabla 4.10 en función del diámetro de la </w:t>
      </w:r>
      <w:r>
        <w:rPr>
          <w:i/>
          <w:sz w:val="20"/>
        </w:rPr>
        <w:t>bajante</w:t>
      </w:r>
      <w:r>
        <w:rPr>
          <w:sz w:val="20"/>
        </w:rPr>
        <w:t>, del número de UD y de la </w:t>
      </w:r>
      <w:r>
        <w:rPr>
          <w:i/>
          <w:sz w:val="20"/>
        </w:rPr>
        <w:t>longitud</w:t>
      </w:r>
      <w:r>
        <w:rPr>
          <w:i/>
          <w:spacing w:val="-9"/>
          <w:sz w:val="20"/>
        </w:rPr>
        <w:t> </w:t>
      </w:r>
      <w:r>
        <w:rPr>
          <w:i/>
          <w:sz w:val="20"/>
        </w:rPr>
        <w:t>efectiva</w:t>
      </w:r>
      <w:r>
        <w:rPr>
          <w:sz w:val="20"/>
        </w:rPr>
        <w:t>.</w:t>
      </w:r>
    </w:p>
    <w:p>
      <w:pPr>
        <w:spacing w:after="0" w:line="240" w:lineRule="auto"/>
        <w:jc w:val="left"/>
        <w:rPr>
          <w:sz w:val="20"/>
        </w:rPr>
        <w:sectPr>
          <w:pgSz w:w="11910" w:h="16840"/>
          <w:pgMar w:header="714" w:footer="642" w:top="1320" w:bottom="840" w:left="1200" w:right="740"/>
        </w:sectPr>
      </w:pPr>
    </w:p>
    <w:p>
      <w:pPr>
        <w:spacing w:before="91" w:after="3"/>
        <w:ind w:left="1180" w:right="1355" w:firstLine="0"/>
        <w:jc w:val="center"/>
        <w:rPr>
          <w:b/>
          <w:i/>
          <w:sz w:val="18"/>
        </w:rPr>
      </w:pPr>
      <w:r>
        <w:rPr>
          <w:b/>
          <w:sz w:val="18"/>
        </w:rPr>
        <w:t>Tabla 4.10 Dimensionado de la columna de </w:t>
      </w:r>
      <w:r>
        <w:rPr>
          <w:b/>
          <w:i/>
          <w:sz w:val="18"/>
        </w:rPr>
        <w:t>ventilación secundaria</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9"/>
        <w:gridCol w:w="704"/>
        <w:gridCol w:w="546"/>
        <w:gridCol w:w="547"/>
        <w:gridCol w:w="531"/>
        <w:gridCol w:w="557"/>
        <w:gridCol w:w="587"/>
        <w:gridCol w:w="660"/>
        <w:gridCol w:w="722"/>
        <w:gridCol w:w="700"/>
        <w:gridCol w:w="697"/>
        <w:gridCol w:w="690"/>
      </w:tblGrid>
      <w:tr>
        <w:trPr>
          <w:trHeight w:val="564" w:hRule="atLeast"/>
        </w:trPr>
        <w:tc>
          <w:tcPr>
            <w:tcW w:w="2429" w:type="dxa"/>
            <w:tcBorders>
              <w:top w:val="single" w:sz="4" w:space="0" w:color="000000"/>
              <w:bottom w:val="single" w:sz="4" w:space="0" w:color="000000"/>
            </w:tcBorders>
          </w:tcPr>
          <w:p>
            <w:pPr>
              <w:pStyle w:val="TableParagraph"/>
              <w:spacing w:before="4"/>
              <w:jc w:val="left"/>
              <w:rPr>
                <w:b/>
                <w:i/>
                <w:sz w:val="16"/>
              </w:rPr>
            </w:pPr>
          </w:p>
          <w:p>
            <w:pPr>
              <w:pStyle w:val="TableParagraph"/>
              <w:ind w:left="123" w:right="123"/>
              <w:rPr>
                <w:b/>
                <w:sz w:val="16"/>
              </w:rPr>
            </w:pPr>
            <w:r>
              <w:rPr>
                <w:b/>
                <w:sz w:val="16"/>
              </w:rPr>
              <w:t>Diámetro de la </w:t>
            </w:r>
            <w:r>
              <w:rPr>
                <w:b/>
                <w:i/>
                <w:sz w:val="16"/>
              </w:rPr>
              <w:t>bajante </w:t>
            </w:r>
            <w:r>
              <w:rPr>
                <w:b/>
                <w:sz w:val="16"/>
              </w:rPr>
              <w:t>(mm)</w:t>
            </w:r>
          </w:p>
        </w:tc>
        <w:tc>
          <w:tcPr>
            <w:tcW w:w="704" w:type="dxa"/>
            <w:tcBorders>
              <w:top w:val="single" w:sz="4" w:space="0" w:color="000000"/>
              <w:bottom w:val="single" w:sz="4" w:space="0" w:color="000000"/>
              <w:right w:val="single" w:sz="4" w:space="0" w:color="000000"/>
            </w:tcBorders>
          </w:tcPr>
          <w:p>
            <w:pPr>
              <w:pStyle w:val="TableParagraph"/>
              <w:spacing w:before="4"/>
              <w:jc w:val="left"/>
              <w:rPr>
                <w:b/>
                <w:i/>
                <w:sz w:val="16"/>
              </w:rPr>
            </w:pPr>
          </w:p>
          <w:p>
            <w:pPr>
              <w:pStyle w:val="TableParagraph"/>
              <w:ind w:left="125" w:right="132"/>
              <w:rPr>
                <w:b/>
                <w:sz w:val="16"/>
              </w:rPr>
            </w:pPr>
            <w:r>
              <w:rPr>
                <w:b/>
                <w:sz w:val="16"/>
              </w:rPr>
              <w:t>UD</w:t>
            </w:r>
          </w:p>
        </w:tc>
        <w:tc>
          <w:tcPr>
            <w:tcW w:w="6237" w:type="dxa"/>
            <w:gridSpan w:val="10"/>
            <w:tcBorders>
              <w:top w:val="single" w:sz="4" w:space="0" w:color="000000"/>
              <w:left w:val="single" w:sz="4" w:space="0" w:color="000000"/>
              <w:bottom w:val="single" w:sz="4" w:space="0" w:color="000000"/>
            </w:tcBorders>
          </w:tcPr>
          <w:p>
            <w:pPr>
              <w:pStyle w:val="TableParagraph"/>
              <w:spacing w:before="4"/>
              <w:jc w:val="left"/>
              <w:rPr>
                <w:b/>
                <w:i/>
                <w:sz w:val="16"/>
              </w:rPr>
            </w:pPr>
          </w:p>
          <w:p>
            <w:pPr>
              <w:pStyle w:val="TableParagraph"/>
              <w:ind w:left="2172" w:right="1824"/>
              <w:rPr>
                <w:b/>
                <w:sz w:val="16"/>
              </w:rPr>
            </w:pPr>
            <w:r>
              <w:rPr>
                <w:b/>
                <w:sz w:val="16"/>
              </w:rPr>
              <w:t>Máxima </w:t>
            </w:r>
            <w:r>
              <w:rPr>
                <w:b/>
                <w:i/>
                <w:sz w:val="16"/>
              </w:rPr>
              <w:t>longitud efectiva </w:t>
            </w:r>
            <w:r>
              <w:rPr>
                <w:b/>
                <w:sz w:val="16"/>
              </w:rPr>
              <w:t>(m)</w:t>
            </w:r>
          </w:p>
        </w:tc>
      </w:tr>
      <w:tr>
        <w:trPr>
          <w:trHeight w:val="184" w:hRule="atLeast"/>
        </w:trPr>
        <w:tc>
          <w:tcPr>
            <w:tcW w:w="2429" w:type="dxa"/>
            <w:tcBorders>
              <w:top w:val="single" w:sz="4" w:space="0" w:color="000000"/>
              <w:bottom w:val="single" w:sz="4" w:space="0" w:color="808080"/>
            </w:tcBorders>
          </w:tcPr>
          <w:p>
            <w:pPr>
              <w:pStyle w:val="TableParagraph"/>
              <w:spacing w:line="164" w:lineRule="exact"/>
              <w:ind w:left="123" w:right="123"/>
              <w:rPr>
                <w:sz w:val="16"/>
              </w:rPr>
            </w:pPr>
            <w:r>
              <w:rPr>
                <w:sz w:val="16"/>
              </w:rPr>
              <w:t>32</w:t>
            </w:r>
          </w:p>
        </w:tc>
        <w:tc>
          <w:tcPr>
            <w:tcW w:w="704" w:type="dxa"/>
            <w:tcBorders>
              <w:top w:val="single" w:sz="4" w:space="0" w:color="000000"/>
              <w:bottom w:val="single" w:sz="4" w:space="0" w:color="808080"/>
              <w:right w:val="single" w:sz="4" w:space="0" w:color="000000"/>
            </w:tcBorders>
          </w:tcPr>
          <w:p>
            <w:pPr>
              <w:pStyle w:val="TableParagraph"/>
              <w:spacing w:line="164" w:lineRule="exact"/>
              <w:ind w:right="7"/>
              <w:rPr>
                <w:sz w:val="16"/>
              </w:rPr>
            </w:pPr>
            <w:r>
              <w:rPr>
                <w:w w:val="99"/>
                <w:sz w:val="16"/>
              </w:rPr>
              <w:t>2</w:t>
            </w:r>
          </w:p>
        </w:tc>
        <w:tc>
          <w:tcPr>
            <w:tcW w:w="6237" w:type="dxa"/>
            <w:gridSpan w:val="10"/>
            <w:tcBorders>
              <w:top w:val="single" w:sz="4" w:space="0" w:color="000000"/>
              <w:left w:val="single" w:sz="4" w:space="0" w:color="000000"/>
              <w:bottom w:val="single" w:sz="4" w:space="0" w:color="808080"/>
            </w:tcBorders>
          </w:tcPr>
          <w:p>
            <w:pPr>
              <w:pStyle w:val="TableParagraph"/>
              <w:spacing w:line="164" w:lineRule="exact"/>
              <w:ind w:left="224"/>
              <w:jc w:val="left"/>
              <w:rPr>
                <w:sz w:val="16"/>
              </w:rPr>
            </w:pPr>
            <w:r>
              <w:rPr>
                <w:w w:val="99"/>
                <w:sz w:val="16"/>
              </w:rPr>
              <w:t>9</w:t>
            </w:r>
          </w:p>
        </w:tc>
      </w:tr>
      <w:tr>
        <w:trPr>
          <w:trHeight w:val="184" w:hRule="atLeast"/>
        </w:trPr>
        <w:tc>
          <w:tcPr>
            <w:tcW w:w="2429" w:type="dxa"/>
            <w:tcBorders>
              <w:top w:val="single" w:sz="4" w:space="0" w:color="808080"/>
              <w:bottom w:val="single" w:sz="4" w:space="0" w:color="808080"/>
            </w:tcBorders>
          </w:tcPr>
          <w:p>
            <w:pPr>
              <w:pStyle w:val="TableParagraph"/>
              <w:spacing w:line="164" w:lineRule="exact"/>
              <w:ind w:left="123" w:right="123"/>
              <w:rPr>
                <w:sz w:val="16"/>
              </w:rPr>
            </w:pPr>
            <w:r>
              <w:rPr>
                <w:sz w:val="16"/>
              </w:rPr>
              <w:t>40</w:t>
            </w:r>
          </w:p>
        </w:tc>
        <w:tc>
          <w:tcPr>
            <w:tcW w:w="704" w:type="dxa"/>
            <w:tcBorders>
              <w:top w:val="single" w:sz="4" w:space="0" w:color="808080"/>
              <w:bottom w:val="single" w:sz="4" w:space="0" w:color="808080"/>
              <w:right w:val="single" w:sz="4" w:space="0" w:color="000000"/>
            </w:tcBorders>
          </w:tcPr>
          <w:p>
            <w:pPr>
              <w:pStyle w:val="TableParagraph"/>
              <w:spacing w:line="164" w:lineRule="exact"/>
              <w:ind w:right="7"/>
              <w:rPr>
                <w:sz w:val="16"/>
              </w:rPr>
            </w:pPr>
            <w:r>
              <w:rPr>
                <w:w w:val="99"/>
                <w:sz w:val="16"/>
              </w:rPr>
              <w:t>8</w:t>
            </w:r>
          </w:p>
        </w:tc>
        <w:tc>
          <w:tcPr>
            <w:tcW w:w="546" w:type="dxa"/>
            <w:tcBorders>
              <w:top w:val="single" w:sz="4" w:space="0" w:color="808080"/>
              <w:left w:val="single" w:sz="4" w:space="0" w:color="000000"/>
              <w:bottom w:val="single" w:sz="4" w:space="0" w:color="808080"/>
            </w:tcBorders>
          </w:tcPr>
          <w:p>
            <w:pPr>
              <w:pStyle w:val="TableParagraph"/>
              <w:spacing w:line="164" w:lineRule="exact"/>
              <w:ind w:left="160" w:right="162"/>
              <w:rPr>
                <w:sz w:val="16"/>
              </w:rPr>
            </w:pPr>
            <w:r>
              <w:rPr>
                <w:sz w:val="16"/>
              </w:rPr>
              <w:t>15</w:t>
            </w:r>
          </w:p>
        </w:tc>
        <w:tc>
          <w:tcPr>
            <w:tcW w:w="547" w:type="dxa"/>
            <w:tcBorders>
              <w:top w:val="single" w:sz="4" w:space="0" w:color="808080"/>
              <w:bottom w:val="single" w:sz="4" w:space="0" w:color="808080"/>
            </w:tcBorders>
          </w:tcPr>
          <w:p>
            <w:pPr>
              <w:pStyle w:val="TableParagraph"/>
              <w:spacing w:line="164" w:lineRule="exact"/>
              <w:ind w:left="165" w:right="163"/>
              <w:rPr>
                <w:sz w:val="16"/>
              </w:rPr>
            </w:pPr>
            <w:r>
              <w:rPr>
                <w:sz w:val="16"/>
              </w:rPr>
              <w:t>45</w:t>
            </w:r>
          </w:p>
        </w:tc>
        <w:tc>
          <w:tcPr>
            <w:tcW w:w="531" w:type="dxa"/>
            <w:tcBorders>
              <w:top w:val="single" w:sz="4" w:space="0" w:color="808080"/>
              <w:bottom w:val="single" w:sz="4" w:space="0" w:color="808080"/>
            </w:tcBorders>
          </w:tcPr>
          <w:p>
            <w:pPr>
              <w:pStyle w:val="TableParagraph"/>
              <w:jc w:val="left"/>
              <w:rPr>
                <w:rFonts w:ascii="Times New Roman"/>
                <w:sz w:val="12"/>
              </w:rPr>
            </w:pPr>
          </w:p>
        </w:tc>
        <w:tc>
          <w:tcPr>
            <w:tcW w:w="557" w:type="dxa"/>
            <w:tcBorders>
              <w:top w:val="single" w:sz="4" w:space="0" w:color="000000"/>
              <w:bottom w:val="single" w:sz="4" w:space="0" w:color="000000"/>
            </w:tcBorders>
          </w:tcPr>
          <w:p>
            <w:pPr>
              <w:pStyle w:val="TableParagraph"/>
              <w:jc w:val="left"/>
              <w:rPr>
                <w:rFonts w:ascii="Times New Roman"/>
                <w:sz w:val="12"/>
              </w:rPr>
            </w:pPr>
          </w:p>
        </w:tc>
        <w:tc>
          <w:tcPr>
            <w:tcW w:w="587" w:type="dxa"/>
            <w:tcBorders>
              <w:top w:val="single" w:sz="4" w:space="0" w:color="000000"/>
              <w:bottom w:val="single" w:sz="4" w:space="0" w:color="000000"/>
            </w:tcBorders>
          </w:tcPr>
          <w:p>
            <w:pPr>
              <w:pStyle w:val="TableParagraph"/>
              <w:jc w:val="left"/>
              <w:rPr>
                <w:rFonts w:ascii="Times New Roman"/>
                <w:sz w:val="12"/>
              </w:rPr>
            </w:pPr>
          </w:p>
        </w:tc>
        <w:tc>
          <w:tcPr>
            <w:tcW w:w="660" w:type="dxa"/>
            <w:tcBorders>
              <w:top w:val="single" w:sz="4" w:space="0" w:color="808080"/>
              <w:bottom w:val="single" w:sz="4" w:space="0" w:color="808080"/>
            </w:tcBorders>
          </w:tcPr>
          <w:p>
            <w:pPr>
              <w:pStyle w:val="TableParagraph"/>
              <w:jc w:val="left"/>
              <w:rPr>
                <w:rFonts w:ascii="Times New Roman"/>
                <w:sz w:val="12"/>
              </w:rPr>
            </w:pPr>
          </w:p>
        </w:tc>
        <w:tc>
          <w:tcPr>
            <w:tcW w:w="722" w:type="dxa"/>
            <w:tcBorders>
              <w:top w:val="single" w:sz="4" w:space="0" w:color="808080"/>
              <w:bottom w:val="single" w:sz="4" w:space="0" w:color="808080"/>
            </w:tcBorders>
          </w:tcPr>
          <w:p>
            <w:pPr>
              <w:pStyle w:val="TableParagraph"/>
              <w:jc w:val="left"/>
              <w:rPr>
                <w:rFonts w:ascii="Times New Roman"/>
                <w:sz w:val="12"/>
              </w:rPr>
            </w:pPr>
          </w:p>
        </w:tc>
        <w:tc>
          <w:tcPr>
            <w:tcW w:w="700" w:type="dxa"/>
            <w:tcBorders>
              <w:top w:val="single" w:sz="4" w:space="0" w:color="808080"/>
              <w:bottom w:val="single" w:sz="4" w:space="0" w:color="808080"/>
            </w:tcBorders>
          </w:tcPr>
          <w:p>
            <w:pPr>
              <w:pStyle w:val="TableParagraph"/>
              <w:jc w:val="left"/>
              <w:rPr>
                <w:rFonts w:ascii="Times New Roman"/>
                <w:sz w:val="12"/>
              </w:rPr>
            </w:pPr>
          </w:p>
        </w:tc>
        <w:tc>
          <w:tcPr>
            <w:tcW w:w="697" w:type="dxa"/>
            <w:tcBorders>
              <w:top w:val="single" w:sz="4" w:space="0" w:color="808080"/>
              <w:bottom w:val="single" w:sz="4" w:space="0" w:color="808080"/>
            </w:tcBorders>
          </w:tcPr>
          <w:p>
            <w:pPr>
              <w:pStyle w:val="TableParagraph"/>
              <w:jc w:val="left"/>
              <w:rPr>
                <w:rFonts w:ascii="Times New Roman"/>
                <w:sz w:val="12"/>
              </w:rPr>
            </w:pPr>
          </w:p>
        </w:tc>
        <w:tc>
          <w:tcPr>
            <w:tcW w:w="690" w:type="dxa"/>
            <w:tcBorders>
              <w:top w:val="single" w:sz="4" w:space="0" w:color="808080"/>
              <w:bottom w:val="single" w:sz="4" w:space="0" w:color="808080"/>
            </w:tcBorders>
          </w:tcPr>
          <w:p>
            <w:pPr>
              <w:pStyle w:val="TableParagraph"/>
              <w:jc w:val="left"/>
              <w:rPr>
                <w:rFonts w:ascii="Times New Roman"/>
                <w:sz w:val="12"/>
              </w:rPr>
            </w:pPr>
          </w:p>
        </w:tc>
      </w:tr>
      <w:tr>
        <w:trPr>
          <w:trHeight w:val="368" w:hRule="atLeast"/>
        </w:trPr>
        <w:tc>
          <w:tcPr>
            <w:tcW w:w="2429" w:type="dxa"/>
            <w:tcBorders>
              <w:top w:val="single" w:sz="4" w:space="0" w:color="808080"/>
              <w:bottom w:val="single" w:sz="4" w:space="0" w:color="808080"/>
            </w:tcBorders>
          </w:tcPr>
          <w:p>
            <w:pPr>
              <w:pStyle w:val="TableParagraph"/>
              <w:spacing w:line="182" w:lineRule="exact"/>
              <w:ind w:left="123" w:right="123"/>
              <w:rPr>
                <w:sz w:val="16"/>
              </w:rPr>
            </w:pPr>
            <w:r>
              <w:rPr>
                <w:sz w:val="16"/>
              </w:rPr>
              <w:t>50</w:t>
            </w:r>
          </w:p>
        </w:tc>
        <w:tc>
          <w:tcPr>
            <w:tcW w:w="704" w:type="dxa"/>
            <w:tcBorders>
              <w:top w:val="single" w:sz="4" w:space="0" w:color="808080"/>
              <w:bottom w:val="single" w:sz="4" w:space="0" w:color="808080"/>
              <w:right w:val="single" w:sz="4" w:space="0" w:color="000000"/>
            </w:tcBorders>
          </w:tcPr>
          <w:p>
            <w:pPr>
              <w:pStyle w:val="TableParagraph"/>
              <w:spacing w:line="182" w:lineRule="exact"/>
              <w:ind w:left="125" w:right="132"/>
              <w:rPr>
                <w:sz w:val="16"/>
              </w:rPr>
            </w:pPr>
            <w:r>
              <w:rPr>
                <w:sz w:val="16"/>
              </w:rPr>
              <w:t>10</w:t>
            </w:r>
          </w:p>
          <w:p>
            <w:pPr>
              <w:pStyle w:val="TableParagraph"/>
              <w:spacing w:line="167" w:lineRule="exact"/>
              <w:ind w:left="125" w:right="132"/>
              <w:rPr>
                <w:sz w:val="16"/>
              </w:rPr>
            </w:pPr>
            <w:r>
              <w:rPr>
                <w:sz w:val="16"/>
              </w:rPr>
              <w:t>24</w:t>
            </w:r>
          </w:p>
        </w:tc>
        <w:tc>
          <w:tcPr>
            <w:tcW w:w="546" w:type="dxa"/>
            <w:tcBorders>
              <w:top w:val="single" w:sz="4" w:space="0" w:color="808080"/>
              <w:left w:val="single" w:sz="4" w:space="0" w:color="000000"/>
              <w:bottom w:val="single" w:sz="4" w:space="0" w:color="808080"/>
            </w:tcBorders>
          </w:tcPr>
          <w:p>
            <w:pPr>
              <w:pStyle w:val="TableParagraph"/>
              <w:spacing w:line="182" w:lineRule="exact"/>
              <w:ind w:right="2"/>
              <w:rPr>
                <w:sz w:val="16"/>
              </w:rPr>
            </w:pPr>
            <w:r>
              <w:rPr>
                <w:w w:val="99"/>
                <w:sz w:val="16"/>
              </w:rPr>
              <w:t>9</w:t>
            </w:r>
          </w:p>
          <w:p>
            <w:pPr>
              <w:pStyle w:val="TableParagraph"/>
              <w:spacing w:line="167" w:lineRule="exact"/>
              <w:ind w:right="2"/>
              <w:rPr>
                <w:sz w:val="16"/>
              </w:rPr>
            </w:pPr>
            <w:r>
              <w:rPr>
                <w:w w:val="99"/>
                <w:sz w:val="16"/>
              </w:rPr>
              <w:t>7</w:t>
            </w:r>
          </w:p>
        </w:tc>
        <w:tc>
          <w:tcPr>
            <w:tcW w:w="547" w:type="dxa"/>
            <w:tcBorders>
              <w:top w:val="single" w:sz="4" w:space="0" w:color="808080"/>
              <w:bottom w:val="single" w:sz="4" w:space="0" w:color="808080"/>
            </w:tcBorders>
          </w:tcPr>
          <w:p>
            <w:pPr>
              <w:pStyle w:val="TableParagraph"/>
              <w:spacing w:line="182" w:lineRule="exact"/>
              <w:ind w:left="165" w:right="163"/>
              <w:rPr>
                <w:sz w:val="16"/>
              </w:rPr>
            </w:pPr>
            <w:r>
              <w:rPr>
                <w:sz w:val="16"/>
              </w:rPr>
              <w:t>30</w:t>
            </w:r>
          </w:p>
          <w:p>
            <w:pPr>
              <w:pStyle w:val="TableParagraph"/>
              <w:spacing w:line="167" w:lineRule="exact"/>
              <w:ind w:left="165" w:right="163"/>
              <w:rPr>
                <w:sz w:val="16"/>
              </w:rPr>
            </w:pPr>
            <w:r>
              <w:rPr>
                <w:sz w:val="16"/>
              </w:rPr>
              <w:t>14</w:t>
            </w:r>
          </w:p>
        </w:tc>
        <w:tc>
          <w:tcPr>
            <w:tcW w:w="531" w:type="dxa"/>
            <w:tcBorders>
              <w:top w:val="single" w:sz="4" w:space="0" w:color="808080"/>
              <w:bottom w:val="single" w:sz="4" w:space="0" w:color="808080"/>
            </w:tcBorders>
          </w:tcPr>
          <w:p>
            <w:pPr>
              <w:pStyle w:val="TableParagraph"/>
              <w:spacing w:before="8"/>
              <w:jc w:val="left"/>
              <w:rPr>
                <w:b/>
                <w:i/>
                <w:sz w:val="15"/>
              </w:rPr>
            </w:pPr>
          </w:p>
          <w:p>
            <w:pPr>
              <w:pStyle w:val="TableParagraph"/>
              <w:spacing w:line="167" w:lineRule="exact" w:before="1"/>
              <w:ind w:right="165"/>
              <w:jc w:val="right"/>
              <w:rPr>
                <w:sz w:val="16"/>
              </w:rPr>
            </w:pPr>
            <w:r>
              <w:rPr>
                <w:w w:val="95"/>
                <w:sz w:val="16"/>
              </w:rPr>
              <w:t>40</w:t>
            </w:r>
          </w:p>
        </w:tc>
        <w:tc>
          <w:tcPr>
            <w:tcW w:w="557" w:type="dxa"/>
            <w:tcBorders>
              <w:top w:val="single" w:sz="4" w:space="0" w:color="000000"/>
              <w:bottom w:val="single" w:sz="4" w:space="0" w:color="000000"/>
            </w:tcBorders>
          </w:tcPr>
          <w:p>
            <w:pPr>
              <w:pStyle w:val="TableParagraph"/>
              <w:jc w:val="left"/>
              <w:rPr>
                <w:rFonts w:ascii="Times New Roman"/>
                <w:sz w:val="16"/>
              </w:rPr>
            </w:pPr>
          </w:p>
        </w:tc>
        <w:tc>
          <w:tcPr>
            <w:tcW w:w="587" w:type="dxa"/>
            <w:tcBorders>
              <w:top w:val="single" w:sz="4" w:space="0" w:color="000000"/>
              <w:bottom w:val="single" w:sz="4" w:space="0" w:color="000000"/>
            </w:tcBorders>
          </w:tcPr>
          <w:p>
            <w:pPr>
              <w:pStyle w:val="TableParagraph"/>
              <w:jc w:val="left"/>
              <w:rPr>
                <w:rFonts w:ascii="Times New Roman"/>
                <w:sz w:val="16"/>
              </w:rPr>
            </w:pPr>
          </w:p>
        </w:tc>
        <w:tc>
          <w:tcPr>
            <w:tcW w:w="660" w:type="dxa"/>
            <w:tcBorders>
              <w:top w:val="single" w:sz="4" w:space="0" w:color="808080"/>
              <w:bottom w:val="single" w:sz="4" w:space="0" w:color="808080"/>
            </w:tcBorders>
          </w:tcPr>
          <w:p>
            <w:pPr>
              <w:pStyle w:val="TableParagraph"/>
              <w:jc w:val="left"/>
              <w:rPr>
                <w:rFonts w:ascii="Times New Roman"/>
                <w:sz w:val="16"/>
              </w:rPr>
            </w:pPr>
          </w:p>
        </w:tc>
        <w:tc>
          <w:tcPr>
            <w:tcW w:w="722" w:type="dxa"/>
            <w:tcBorders>
              <w:top w:val="single" w:sz="4" w:space="0" w:color="808080"/>
              <w:bottom w:val="single" w:sz="4" w:space="0" w:color="808080"/>
            </w:tcBorders>
          </w:tcPr>
          <w:p>
            <w:pPr>
              <w:pStyle w:val="TableParagraph"/>
              <w:jc w:val="left"/>
              <w:rPr>
                <w:rFonts w:ascii="Times New Roman"/>
                <w:sz w:val="16"/>
              </w:rPr>
            </w:pPr>
          </w:p>
        </w:tc>
        <w:tc>
          <w:tcPr>
            <w:tcW w:w="700" w:type="dxa"/>
            <w:tcBorders>
              <w:top w:val="single" w:sz="4" w:space="0" w:color="808080"/>
              <w:bottom w:val="single" w:sz="4" w:space="0" w:color="808080"/>
            </w:tcBorders>
          </w:tcPr>
          <w:p>
            <w:pPr>
              <w:pStyle w:val="TableParagraph"/>
              <w:jc w:val="left"/>
              <w:rPr>
                <w:rFonts w:ascii="Times New Roman"/>
                <w:sz w:val="16"/>
              </w:rPr>
            </w:pPr>
          </w:p>
        </w:tc>
        <w:tc>
          <w:tcPr>
            <w:tcW w:w="697" w:type="dxa"/>
            <w:tcBorders>
              <w:top w:val="single" w:sz="4" w:space="0" w:color="808080"/>
              <w:bottom w:val="single" w:sz="4" w:space="0" w:color="808080"/>
            </w:tcBorders>
          </w:tcPr>
          <w:p>
            <w:pPr>
              <w:pStyle w:val="TableParagraph"/>
              <w:jc w:val="left"/>
              <w:rPr>
                <w:rFonts w:ascii="Times New Roman"/>
                <w:sz w:val="16"/>
              </w:rPr>
            </w:pPr>
          </w:p>
        </w:tc>
        <w:tc>
          <w:tcPr>
            <w:tcW w:w="690" w:type="dxa"/>
            <w:tcBorders>
              <w:top w:val="single" w:sz="4" w:space="0" w:color="808080"/>
              <w:bottom w:val="single" w:sz="4" w:space="0" w:color="808080"/>
            </w:tcBorders>
          </w:tcPr>
          <w:p>
            <w:pPr>
              <w:pStyle w:val="TableParagraph"/>
              <w:jc w:val="left"/>
              <w:rPr>
                <w:rFonts w:ascii="Times New Roman"/>
                <w:sz w:val="16"/>
              </w:rPr>
            </w:pPr>
          </w:p>
        </w:tc>
      </w:tr>
      <w:tr>
        <w:trPr>
          <w:trHeight w:val="367" w:hRule="atLeast"/>
        </w:trPr>
        <w:tc>
          <w:tcPr>
            <w:tcW w:w="2429" w:type="dxa"/>
            <w:tcBorders>
              <w:top w:val="single" w:sz="4" w:space="0" w:color="808080"/>
              <w:bottom w:val="single" w:sz="4" w:space="0" w:color="808080"/>
            </w:tcBorders>
          </w:tcPr>
          <w:p>
            <w:pPr>
              <w:pStyle w:val="TableParagraph"/>
              <w:spacing w:line="181" w:lineRule="exact"/>
              <w:ind w:left="123" w:right="123"/>
              <w:rPr>
                <w:sz w:val="16"/>
              </w:rPr>
            </w:pPr>
            <w:r>
              <w:rPr>
                <w:sz w:val="16"/>
              </w:rPr>
              <w:t>63</w:t>
            </w:r>
          </w:p>
        </w:tc>
        <w:tc>
          <w:tcPr>
            <w:tcW w:w="704" w:type="dxa"/>
            <w:tcBorders>
              <w:top w:val="single" w:sz="4" w:space="0" w:color="808080"/>
              <w:bottom w:val="single" w:sz="4" w:space="0" w:color="808080"/>
              <w:right w:val="single" w:sz="4" w:space="0" w:color="000000"/>
            </w:tcBorders>
          </w:tcPr>
          <w:p>
            <w:pPr>
              <w:pStyle w:val="TableParagraph"/>
              <w:spacing w:line="181" w:lineRule="exact"/>
              <w:ind w:left="125" w:right="132"/>
              <w:rPr>
                <w:sz w:val="16"/>
              </w:rPr>
            </w:pPr>
            <w:r>
              <w:rPr>
                <w:sz w:val="16"/>
              </w:rPr>
              <w:t>19</w:t>
            </w:r>
          </w:p>
          <w:p>
            <w:pPr>
              <w:pStyle w:val="TableParagraph"/>
              <w:spacing w:line="167" w:lineRule="exact"/>
              <w:ind w:left="125" w:right="132"/>
              <w:rPr>
                <w:sz w:val="16"/>
              </w:rPr>
            </w:pPr>
            <w:r>
              <w:rPr>
                <w:sz w:val="16"/>
              </w:rPr>
              <w:t>40</w:t>
            </w:r>
          </w:p>
        </w:tc>
        <w:tc>
          <w:tcPr>
            <w:tcW w:w="546" w:type="dxa"/>
            <w:tcBorders>
              <w:top w:val="single" w:sz="4" w:space="0" w:color="808080"/>
              <w:left w:val="single" w:sz="4" w:space="0" w:color="000000"/>
              <w:bottom w:val="single" w:sz="4" w:space="0" w:color="808080"/>
            </w:tcBorders>
          </w:tcPr>
          <w:p>
            <w:pPr>
              <w:pStyle w:val="TableParagraph"/>
              <w:jc w:val="left"/>
              <w:rPr>
                <w:rFonts w:ascii="Times New Roman"/>
                <w:sz w:val="16"/>
              </w:rPr>
            </w:pPr>
          </w:p>
        </w:tc>
        <w:tc>
          <w:tcPr>
            <w:tcW w:w="547" w:type="dxa"/>
            <w:tcBorders>
              <w:top w:val="single" w:sz="4" w:space="0" w:color="808080"/>
              <w:bottom w:val="single" w:sz="4" w:space="0" w:color="808080"/>
            </w:tcBorders>
          </w:tcPr>
          <w:p>
            <w:pPr>
              <w:pStyle w:val="TableParagraph"/>
              <w:spacing w:line="181" w:lineRule="exact"/>
              <w:ind w:left="165" w:right="163"/>
              <w:rPr>
                <w:sz w:val="16"/>
              </w:rPr>
            </w:pPr>
            <w:r>
              <w:rPr>
                <w:sz w:val="16"/>
              </w:rPr>
              <w:t>13</w:t>
            </w:r>
          </w:p>
          <w:p>
            <w:pPr>
              <w:pStyle w:val="TableParagraph"/>
              <w:spacing w:line="167" w:lineRule="exact"/>
              <w:ind w:left="165" w:right="163"/>
              <w:rPr>
                <w:sz w:val="16"/>
              </w:rPr>
            </w:pPr>
            <w:r>
              <w:rPr>
                <w:sz w:val="16"/>
              </w:rPr>
              <w:t>10</w:t>
            </w:r>
          </w:p>
        </w:tc>
        <w:tc>
          <w:tcPr>
            <w:tcW w:w="531" w:type="dxa"/>
            <w:tcBorders>
              <w:top w:val="single" w:sz="4" w:space="0" w:color="808080"/>
              <w:bottom w:val="single" w:sz="4" w:space="0" w:color="808080"/>
            </w:tcBorders>
          </w:tcPr>
          <w:p>
            <w:pPr>
              <w:pStyle w:val="TableParagraph"/>
              <w:spacing w:line="181" w:lineRule="exact"/>
              <w:ind w:left="186"/>
              <w:jc w:val="left"/>
              <w:rPr>
                <w:sz w:val="16"/>
              </w:rPr>
            </w:pPr>
            <w:r>
              <w:rPr>
                <w:sz w:val="16"/>
              </w:rPr>
              <w:t>38</w:t>
            </w:r>
          </w:p>
          <w:p>
            <w:pPr>
              <w:pStyle w:val="TableParagraph"/>
              <w:spacing w:line="167" w:lineRule="exact"/>
              <w:ind w:left="186"/>
              <w:jc w:val="left"/>
              <w:rPr>
                <w:sz w:val="16"/>
              </w:rPr>
            </w:pPr>
            <w:r>
              <w:rPr>
                <w:sz w:val="16"/>
              </w:rPr>
              <w:t>32</w:t>
            </w:r>
          </w:p>
        </w:tc>
        <w:tc>
          <w:tcPr>
            <w:tcW w:w="557" w:type="dxa"/>
            <w:tcBorders>
              <w:top w:val="single" w:sz="4" w:space="0" w:color="000000"/>
              <w:bottom w:val="single" w:sz="4" w:space="0" w:color="000000"/>
            </w:tcBorders>
          </w:tcPr>
          <w:p>
            <w:pPr>
              <w:pStyle w:val="TableParagraph"/>
              <w:spacing w:line="181" w:lineRule="exact"/>
              <w:ind w:left="169"/>
              <w:jc w:val="left"/>
              <w:rPr>
                <w:sz w:val="16"/>
              </w:rPr>
            </w:pPr>
            <w:r>
              <w:rPr>
                <w:sz w:val="16"/>
              </w:rPr>
              <w:t>100</w:t>
            </w:r>
          </w:p>
          <w:p>
            <w:pPr>
              <w:pStyle w:val="TableParagraph"/>
              <w:spacing w:line="167" w:lineRule="exact"/>
              <w:ind w:left="214"/>
              <w:jc w:val="left"/>
              <w:rPr>
                <w:sz w:val="16"/>
              </w:rPr>
            </w:pPr>
            <w:r>
              <w:rPr>
                <w:sz w:val="16"/>
              </w:rPr>
              <w:t>90</w:t>
            </w:r>
          </w:p>
        </w:tc>
        <w:tc>
          <w:tcPr>
            <w:tcW w:w="587" w:type="dxa"/>
            <w:tcBorders>
              <w:top w:val="single" w:sz="4" w:space="0" w:color="000000"/>
              <w:bottom w:val="single" w:sz="4" w:space="0" w:color="000000"/>
            </w:tcBorders>
          </w:tcPr>
          <w:p>
            <w:pPr>
              <w:pStyle w:val="TableParagraph"/>
              <w:jc w:val="left"/>
              <w:rPr>
                <w:rFonts w:ascii="Times New Roman"/>
                <w:sz w:val="16"/>
              </w:rPr>
            </w:pPr>
          </w:p>
        </w:tc>
        <w:tc>
          <w:tcPr>
            <w:tcW w:w="660" w:type="dxa"/>
            <w:tcBorders>
              <w:top w:val="single" w:sz="4" w:space="0" w:color="808080"/>
              <w:bottom w:val="single" w:sz="4" w:space="0" w:color="808080"/>
            </w:tcBorders>
          </w:tcPr>
          <w:p>
            <w:pPr>
              <w:pStyle w:val="TableParagraph"/>
              <w:jc w:val="left"/>
              <w:rPr>
                <w:rFonts w:ascii="Times New Roman"/>
                <w:sz w:val="16"/>
              </w:rPr>
            </w:pPr>
          </w:p>
        </w:tc>
        <w:tc>
          <w:tcPr>
            <w:tcW w:w="722" w:type="dxa"/>
            <w:tcBorders>
              <w:top w:val="single" w:sz="4" w:space="0" w:color="808080"/>
              <w:bottom w:val="single" w:sz="4" w:space="0" w:color="808080"/>
            </w:tcBorders>
          </w:tcPr>
          <w:p>
            <w:pPr>
              <w:pStyle w:val="TableParagraph"/>
              <w:jc w:val="left"/>
              <w:rPr>
                <w:rFonts w:ascii="Times New Roman"/>
                <w:sz w:val="16"/>
              </w:rPr>
            </w:pPr>
          </w:p>
        </w:tc>
        <w:tc>
          <w:tcPr>
            <w:tcW w:w="700" w:type="dxa"/>
            <w:tcBorders>
              <w:top w:val="single" w:sz="4" w:space="0" w:color="808080"/>
              <w:bottom w:val="single" w:sz="4" w:space="0" w:color="808080"/>
            </w:tcBorders>
          </w:tcPr>
          <w:p>
            <w:pPr>
              <w:pStyle w:val="TableParagraph"/>
              <w:jc w:val="left"/>
              <w:rPr>
                <w:rFonts w:ascii="Times New Roman"/>
                <w:sz w:val="16"/>
              </w:rPr>
            </w:pPr>
          </w:p>
        </w:tc>
        <w:tc>
          <w:tcPr>
            <w:tcW w:w="697" w:type="dxa"/>
            <w:tcBorders>
              <w:top w:val="single" w:sz="4" w:space="0" w:color="808080"/>
              <w:bottom w:val="single" w:sz="4" w:space="0" w:color="808080"/>
            </w:tcBorders>
          </w:tcPr>
          <w:p>
            <w:pPr>
              <w:pStyle w:val="TableParagraph"/>
              <w:jc w:val="left"/>
              <w:rPr>
                <w:rFonts w:ascii="Times New Roman"/>
                <w:sz w:val="16"/>
              </w:rPr>
            </w:pPr>
          </w:p>
        </w:tc>
        <w:tc>
          <w:tcPr>
            <w:tcW w:w="690" w:type="dxa"/>
            <w:tcBorders>
              <w:top w:val="single" w:sz="4" w:space="0" w:color="808080"/>
              <w:bottom w:val="single" w:sz="4" w:space="0" w:color="808080"/>
            </w:tcBorders>
          </w:tcPr>
          <w:p>
            <w:pPr>
              <w:pStyle w:val="TableParagraph"/>
              <w:jc w:val="left"/>
              <w:rPr>
                <w:rFonts w:ascii="Times New Roman"/>
                <w:sz w:val="16"/>
              </w:rPr>
            </w:pPr>
          </w:p>
        </w:tc>
      </w:tr>
      <w:tr>
        <w:trPr>
          <w:trHeight w:val="183" w:hRule="atLeast"/>
        </w:trPr>
        <w:tc>
          <w:tcPr>
            <w:tcW w:w="2429" w:type="dxa"/>
            <w:tcBorders>
              <w:top w:val="single" w:sz="4" w:space="0" w:color="808080"/>
            </w:tcBorders>
          </w:tcPr>
          <w:p>
            <w:pPr>
              <w:pStyle w:val="TableParagraph"/>
              <w:spacing w:line="164" w:lineRule="exact"/>
              <w:ind w:left="123" w:right="123"/>
              <w:rPr>
                <w:sz w:val="16"/>
              </w:rPr>
            </w:pPr>
            <w:r>
              <w:rPr>
                <w:sz w:val="16"/>
              </w:rPr>
              <w:t>75</w:t>
            </w:r>
          </w:p>
        </w:tc>
        <w:tc>
          <w:tcPr>
            <w:tcW w:w="704" w:type="dxa"/>
            <w:tcBorders>
              <w:top w:val="single" w:sz="4" w:space="0" w:color="808080"/>
              <w:right w:val="single" w:sz="4" w:space="0" w:color="000000"/>
            </w:tcBorders>
          </w:tcPr>
          <w:p>
            <w:pPr>
              <w:pStyle w:val="TableParagraph"/>
              <w:spacing w:line="164" w:lineRule="exact"/>
              <w:ind w:left="125" w:right="132"/>
              <w:rPr>
                <w:sz w:val="16"/>
              </w:rPr>
            </w:pPr>
            <w:r>
              <w:rPr>
                <w:sz w:val="16"/>
              </w:rPr>
              <w:t>27</w:t>
            </w:r>
          </w:p>
        </w:tc>
        <w:tc>
          <w:tcPr>
            <w:tcW w:w="546" w:type="dxa"/>
            <w:tcBorders>
              <w:top w:val="single" w:sz="4" w:space="0" w:color="808080"/>
              <w:left w:val="single" w:sz="4" w:space="0" w:color="000000"/>
            </w:tcBorders>
          </w:tcPr>
          <w:p>
            <w:pPr>
              <w:pStyle w:val="TableParagraph"/>
              <w:jc w:val="left"/>
              <w:rPr>
                <w:rFonts w:ascii="Times New Roman"/>
                <w:sz w:val="12"/>
              </w:rPr>
            </w:pPr>
          </w:p>
        </w:tc>
        <w:tc>
          <w:tcPr>
            <w:tcW w:w="547" w:type="dxa"/>
            <w:tcBorders>
              <w:top w:val="single" w:sz="4" w:space="0" w:color="808080"/>
            </w:tcBorders>
          </w:tcPr>
          <w:p>
            <w:pPr>
              <w:pStyle w:val="TableParagraph"/>
              <w:spacing w:line="164" w:lineRule="exact"/>
              <w:ind w:left="165" w:right="163"/>
              <w:rPr>
                <w:sz w:val="16"/>
              </w:rPr>
            </w:pPr>
            <w:r>
              <w:rPr>
                <w:sz w:val="16"/>
              </w:rPr>
              <w:t>10</w:t>
            </w:r>
          </w:p>
        </w:tc>
        <w:tc>
          <w:tcPr>
            <w:tcW w:w="531" w:type="dxa"/>
            <w:tcBorders>
              <w:top w:val="single" w:sz="4" w:space="0" w:color="808080"/>
            </w:tcBorders>
          </w:tcPr>
          <w:p>
            <w:pPr>
              <w:pStyle w:val="TableParagraph"/>
              <w:spacing w:line="164" w:lineRule="exact"/>
              <w:ind w:right="165"/>
              <w:jc w:val="right"/>
              <w:rPr>
                <w:sz w:val="16"/>
              </w:rPr>
            </w:pPr>
            <w:r>
              <w:rPr>
                <w:w w:val="95"/>
                <w:sz w:val="16"/>
              </w:rPr>
              <w:t>25</w:t>
            </w:r>
          </w:p>
        </w:tc>
        <w:tc>
          <w:tcPr>
            <w:tcW w:w="557" w:type="dxa"/>
            <w:tcBorders>
              <w:top w:val="single" w:sz="4" w:space="0" w:color="000000"/>
            </w:tcBorders>
          </w:tcPr>
          <w:p>
            <w:pPr>
              <w:pStyle w:val="TableParagraph"/>
              <w:spacing w:line="164" w:lineRule="exact"/>
              <w:ind w:right="163"/>
              <w:jc w:val="right"/>
              <w:rPr>
                <w:sz w:val="16"/>
              </w:rPr>
            </w:pPr>
            <w:r>
              <w:rPr>
                <w:w w:val="95"/>
                <w:sz w:val="16"/>
              </w:rPr>
              <w:t>68</w:t>
            </w:r>
          </w:p>
        </w:tc>
        <w:tc>
          <w:tcPr>
            <w:tcW w:w="587" w:type="dxa"/>
            <w:tcBorders>
              <w:top w:val="single" w:sz="4" w:space="0" w:color="000000"/>
            </w:tcBorders>
          </w:tcPr>
          <w:p>
            <w:pPr>
              <w:pStyle w:val="TableParagraph"/>
              <w:spacing w:line="164" w:lineRule="exact"/>
              <w:ind w:left="146" w:right="133"/>
              <w:rPr>
                <w:sz w:val="16"/>
              </w:rPr>
            </w:pPr>
            <w:r>
              <w:rPr>
                <w:sz w:val="16"/>
              </w:rPr>
              <w:t>130</w:t>
            </w:r>
          </w:p>
        </w:tc>
        <w:tc>
          <w:tcPr>
            <w:tcW w:w="660" w:type="dxa"/>
            <w:tcBorders>
              <w:top w:val="single" w:sz="4" w:space="0" w:color="808080"/>
            </w:tcBorders>
          </w:tcPr>
          <w:p>
            <w:pPr>
              <w:pStyle w:val="TableParagraph"/>
              <w:jc w:val="left"/>
              <w:rPr>
                <w:rFonts w:ascii="Times New Roman"/>
                <w:sz w:val="12"/>
              </w:rPr>
            </w:pPr>
          </w:p>
        </w:tc>
        <w:tc>
          <w:tcPr>
            <w:tcW w:w="722" w:type="dxa"/>
            <w:tcBorders>
              <w:top w:val="single" w:sz="4" w:space="0" w:color="808080"/>
            </w:tcBorders>
          </w:tcPr>
          <w:p>
            <w:pPr>
              <w:pStyle w:val="TableParagraph"/>
              <w:jc w:val="left"/>
              <w:rPr>
                <w:rFonts w:ascii="Times New Roman"/>
                <w:sz w:val="12"/>
              </w:rPr>
            </w:pPr>
          </w:p>
        </w:tc>
        <w:tc>
          <w:tcPr>
            <w:tcW w:w="700" w:type="dxa"/>
            <w:tcBorders>
              <w:top w:val="single" w:sz="4" w:space="0" w:color="808080"/>
            </w:tcBorders>
          </w:tcPr>
          <w:p>
            <w:pPr>
              <w:pStyle w:val="TableParagraph"/>
              <w:jc w:val="left"/>
              <w:rPr>
                <w:rFonts w:ascii="Times New Roman"/>
                <w:sz w:val="12"/>
              </w:rPr>
            </w:pPr>
          </w:p>
        </w:tc>
        <w:tc>
          <w:tcPr>
            <w:tcW w:w="697" w:type="dxa"/>
            <w:tcBorders>
              <w:top w:val="single" w:sz="4" w:space="0" w:color="808080"/>
            </w:tcBorders>
          </w:tcPr>
          <w:p>
            <w:pPr>
              <w:pStyle w:val="TableParagraph"/>
              <w:jc w:val="left"/>
              <w:rPr>
                <w:rFonts w:ascii="Times New Roman"/>
                <w:sz w:val="12"/>
              </w:rPr>
            </w:pPr>
          </w:p>
        </w:tc>
        <w:tc>
          <w:tcPr>
            <w:tcW w:w="690" w:type="dxa"/>
            <w:tcBorders>
              <w:top w:val="single" w:sz="4" w:space="0" w:color="808080"/>
            </w:tcBorders>
          </w:tcPr>
          <w:p>
            <w:pPr>
              <w:pStyle w:val="TableParagraph"/>
              <w:jc w:val="left"/>
              <w:rPr>
                <w:rFonts w:ascii="Times New Roman"/>
                <w:sz w:val="12"/>
              </w:rPr>
            </w:pPr>
          </w:p>
        </w:tc>
      </w:tr>
      <w:tr>
        <w:trPr>
          <w:trHeight w:val="184" w:hRule="atLeast"/>
        </w:trPr>
        <w:tc>
          <w:tcPr>
            <w:tcW w:w="2429" w:type="dxa"/>
            <w:tcBorders>
              <w:bottom w:val="single" w:sz="4" w:space="0" w:color="808080"/>
            </w:tcBorders>
          </w:tcPr>
          <w:p>
            <w:pPr>
              <w:pStyle w:val="TableParagraph"/>
              <w:jc w:val="left"/>
              <w:rPr>
                <w:rFonts w:ascii="Times New Roman"/>
                <w:sz w:val="12"/>
              </w:rPr>
            </w:pPr>
          </w:p>
        </w:tc>
        <w:tc>
          <w:tcPr>
            <w:tcW w:w="704" w:type="dxa"/>
            <w:tcBorders>
              <w:bottom w:val="single" w:sz="4" w:space="0" w:color="808080"/>
              <w:right w:val="single" w:sz="4" w:space="0" w:color="000000"/>
            </w:tcBorders>
          </w:tcPr>
          <w:p>
            <w:pPr>
              <w:pStyle w:val="TableParagraph"/>
              <w:spacing w:line="164" w:lineRule="exact"/>
              <w:ind w:left="125" w:right="132"/>
              <w:rPr>
                <w:sz w:val="16"/>
              </w:rPr>
            </w:pPr>
            <w:r>
              <w:rPr>
                <w:sz w:val="16"/>
              </w:rPr>
              <w:t>54</w:t>
            </w:r>
          </w:p>
        </w:tc>
        <w:tc>
          <w:tcPr>
            <w:tcW w:w="546" w:type="dxa"/>
            <w:tcBorders>
              <w:left w:val="single" w:sz="4" w:space="0" w:color="000000"/>
              <w:bottom w:val="single" w:sz="4" w:space="0" w:color="808080"/>
            </w:tcBorders>
          </w:tcPr>
          <w:p>
            <w:pPr>
              <w:pStyle w:val="TableParagraph"/>
              <w:jc w:val="left"/>
              <w:rPr>
                <w:rFonts w:ascii="Times New Roman"/>
                <w:sz w:val="12"/>
              </w:rPr>
            </w:pPr>
          </w:p>
        </w:tc>
        <w:tc>
          <w:tcPr>
            <w:tcW w:w="547" w:type="dxa"/>
            <w:tcBorders>
              <w:bottom w:val="single" w:sz="4" w:space="0" w:color="808080"/>
            </w:tcBorders>
          </w:tcPr>
          <w:p>
            <w:pPr>
              <w:pStyle w:val="TableParagraph"/>
              <w:spacing w:line="164" w:lineRule="exact"/>
              <w:ind w:left="2"/>
              <w:rPr>
                <w:sz w:val="16"/>
              </w:rPr>
            </w:pPr>
            <w:r>
              <w:rPr>
                <w:w w:val="99"/>
                <w:sz w:val="16"/>
              </w:rPr>
              <w:t>8</w:t>
            </w:r>
          </w:p>
        </w:tc>
        <w:tc>
          <w:tcPr>
            <w:tcW w:w="531" w:type="dxa"/>
            <w:tcBorders>
              <w:bottom w:val="single" w:sz="4" w:space="0" w:color="808080"/>
            </w:tcBorders>
          </w:tcPr>
          <w:p>
            <w:pPr>
              <w:pStyle w:val="TableParagraph"/>
              <w:spacing w:line="164" w:lineRule="exact"/>
              <w:ind w:right="165"/>
              <w:jc w:val="right"/>
              <w:rPr>
                <w:sz w:val="16"/>
              </w:rPr>
            </w:pPr>
            <w:r>
              <w:rPr>
                <w:w w:val="95"/>
                <w:sz w:val="16"/>
              </w:rPr>
              <w:t>20</w:t>
            </w:r>
          </w:p>
        </w:tc>
        <w:tc>
          <w:tcPr>
            <w:tcW w:w="557" w:type="dxa"/>
            <w:tcBorders>
              <w:bottom w:val="single" w:sz="4" w:space="0" w:color="000000"/>
            </w:tcBorders>
          </w:tcPr>
          <w:p>
            <w:pPr>
              <w:pStyle w:val="TableParagraph"/>
              <w:spacing w:line="164" w:lineRule="exact"/>
              <w:ind w:right="163"/>
              <w:jc w:val="right"/>
              <w:rPr>
                <w:sz w:val="16"/>
              </w:rPr>
            </w:pPr>
            <w:r>
              <w:rPr>
                <w:w w:val="95"/>
                <w:sz w:val="16"/>
              </w:rPr>
              <w:t>63</w:t>
            </w:r>
          </w:p>
        </w:tc>
        <w:tc>
          <w:tcPr>
            <w:tcW w:w="587" w:type="dxa"/>
            <w:tcBorders>
              <w:bottom w:val="single" w:sz="4" w:space="0" w:color="000000"/>
            </w:tcBorders>
          </w:tcPr>
          <w:p>
            <w:pPr>
              <w:pStyle w:val="TableParagraph"/>
              <w:spacing w:line="164" w:lineRule="exact"/>
              <w:ind w:left="146" w:right="133"/>
              <w:rPr>
                <w:sz w:val="16"/>
              </w:rPr>
            </w:pPr>
            <w:r>
              <w:rPr>
                <w:sz w:val="16"/>
              </w:rPr>
              <w:t>120</w:t>
            </w:r>
          </w:p>
        </w:tc>
        <w:tc>
          <w:tcPr>
            <w:tcW w:w="660" w:type="dxa"/>
            <w:tcBorders>
              <w:bottom w:val="single" w:sz="4" w:space="0" w:color="808080"/>
            </w:tcBorders>
          </w:tcPr>
          <w:p>
            <w:pPr>
              <w:pStyle w:val="TableParagraph"/>
              <w:jc w:val="left"/>
              <w:rPr>
                <w:rFonts w:ascii="Times New Roman"/>
                <w:sz w:val="12"/>
              </w:rPr>
            </w:pPr>
          </w:p>
        </w:tc>
        <w:tc>
          <w:tcPr>
            <w:tcW w:w="722" w:type="dxa"/>
            <w:tcBorders>
              <w:bottom w:val="single" w:sz="4" w:space="0" w:color="808080"/>
            </w:tcBorders>
          </w:tcPr>
          <w:p>
            <w:pPr>
              <w:pStyle w:val="TableParagraph"/>
              <w:jc w:val="left"/>
              <w:rPr>
                <w:rFonts w:ascii="Times New Roman"/>
                <w:sz w:val="12"/>
              </w:rPr>
            </w:pPr>
          </w:p>
        </w:tc>
        <w:tc>
          <w:tcPr>
            <w:tcW w:w="700" w:type="dxa"/>
            <w:tcBorders>
              <w:bottom w:val="single" w:sz="4" w:space="0" w:color="808080"/>
            </w:tcBorders>
          </w:tcPr>
          <w:p>
            <w:pPr>
              <w:pStyle w:val="TableParagraph"/>
              <w:jc w:val="left"/>
              <w:rPr>
                <w:rFonts w:ascii="Times New Roman"/>
                <w:sz w:val="12"/>
              </w:rPr>
            </w:pPr>
          </w:p>
        </w:tc>
        <w:tc>
          <w:tcPr>
            <w:tcW w:w="697" w:type="dxa"/>
            <w:tcBorders>
              <w:bottom w:val="single" w:sz="4" w:space="0" w:color="808080"/>
            </w:tcBorders>
          </w:tcPr>
          <w:p>
            <w:pPr>
              <w:pStyle w:val="TableParagraph"/>
              <w:jc w:val="left"/>
              <w:rPr>
                <w:rFonts w:ascii="Times New Roman"/>
                <w:sz w:val="12"/>
              </w:rPr>
            </w:pPr>
          </w:p>
        </w:tc>
        <w:tc>
          <w:tcPr>
            <w:tcW w:w="690" w:type="dxa"/>
            <w:tcBorders>
              <w:bottom w:val="single" w:sz="4" w:space="0" w:color="808080"/>
            </w:tcBorders>
          </w:tcPr>
          <w:p>
            <w:pPr>
              <w:pStyle w:val="TableParagraph"/>
              <w:jc w:val="left"/>
              <w:rPr>
                <w:rFonts w:ascii="Times New Roman"/>
                <w:sz w:val="12"/>
              </w:rPr>
            </w:pPr>
          </w:p>
        </w:tc>
      </w:tr>
      <w:tr>
        <w:trPr>
          <w:trHeight w:val="367" w:hRule="atLeast"/>
        </w:trPr>
        <w:tc>
          <w:tcPr>
            <w:tcW w:w="2429" w:type="dxa"/>
            <w:tcBorders>
              <w:top w:val="single" w:sz="4" w:space="0" w:color="808080"/>
              <w:bottom w:val="single" w:sz="4" w:space="0" w:color="808080"/>
            </w:tcBorders>
          </w:tcPr>
          <w:p>
            <w:pPr>
              <w:pStyle w:val="TableParagraph"/>
              <w:spacing w:line="181" w:lineRule="exact"/>
              <w:ind w:left="123" w:right="123"/>
              <w:rPr>
                <w:sz w:val="16"/>
              </w:rPr>
            </w:pPr>
            <w:r>
              <w:rPr>
                <w:sz w:val="16"/>
              </w:rPr>
              <w:t>90</w:t>
            </w:r>
          </w:p>
        </w:tc>
        <w:tc>
          <w:tcPr>
            <w:tcW w:w="704" w:type="dxa"/>
            <w:tcBorders>
              <w:top w:val="single" w:sz="4" w:space="0" w:color="808080"/>
              <w:bottom w:val="single" w:sz="4" w:space="0" w:color="808080"/>
              <w:right w:val="single" w:sz="4" w:space="0" w:color="000000"/>
            </w:tcBorders>
          </w:tcPr>
          <w:p>
            <w:pPr>
              <w:pStyle w:val="TableParagraph"/>
              <w:spacing w:line="181" w:lineRule="exact"/>
              <w:ind w:left="125" w:right="132"/>
              <w:rPr>
                <w:sz w:val="16"/>
              </w:rPr>
            </w:pPr>
            <w:r>
              <w:rPr>
                <w:sz w:val="16"/>
              </w:rPr>
              <w:t>65</w:t>
            </w:r>
          </w:p>
          <w:p>
            <w:pPr>
              <w:pStyle w:val="TableParagraph"/>
              <w:spacing w:line="167" w:lineRule="exact"/>
              <w:ind w:left="125" w:right="132"/>
              <w:rPr>
                <w:sz w:val="16"/>
              </w:rPr>
            </w:pPr>
            <w:r>
              <w:rPr>
                <w:sz w:val="16"/>
              </w:rPr>
              <w:t>153</w:t>
            </w:r>
          </w:p>
        </w:tc>
        <w:tc>
          <w:tcPr>
            <w:tcW w:w="546" w:type="dxa"/>
            <w:tcBorders>
              <w:top w:val="single" w:sz="4" w:space="0" w:color="808080"/>
              <w:left w:val="single" w:sz="4" w:space="0" w:color="000000"/>
              <w:bottom w:val="single" w:sz="4" w:space="0" w:color="808080"/>
            </w:tcBorders>
          </w:tcPr>
          <w:p>
            <w:pPr>
              <w:pStyle w:val="TableParagraph"/>
              <w:jc w:val="left"/>
              <w:rPr>
                <w:rFonts w:ascii="Times New Roman"/>
                <w:sz w:val="16"/>
              </w:rPr>
            </w:pPr>
          </w:p>
        </w:tc>
        <w:tc>
          <w:tcPr>
            <w:tcW w:w="547" w:type="dxa"/>
            <w:tcBorders>
              <w:top w:val="single" w:sz="4" w:space="0" w:color="808080"/>
              <w:bottom w:val="single" w:sz="4" w:space="0" w:color="808080"/>
            </w:tcBorders>
          </w:tcPr>
          <w:p>
            <w:pPr>
              <w:pStyle w:val="TableParagraph"/>
              <w:jc w:val="left"/>
              <w:rPr>
                <w:rFonts w:ascii="Times New Roman"/>
                <w:sz w:val="16"/>
              </w:rPr>
            </w:pPr>
          </w:p>
        </w:tc>
        <w:tc>
          <w:tcPr>
            <w:tcW w:w="531" w:type="dxa"/>
            <w:tcBorders>
              <w:top w:val="single" w:sz="4" w:space="0" w:color="808080"/>
              <w:bottom w:val="single" w:sz="4" w:space="0" w:color="808080"/>
            </w:tcBorders>
          </w:tcPr>
          <w:p>
            <w:pPr>
              <w:pStyle w:val="TableParagraph"/>
              <w:spacing w:line="181" w:lineRule="exact"/>
              <w:ind w:left="186"/>
              <w:jc w:val="left"/>
              <w:rPr>
                <w:sz w:val="16"/>
              </w:rPr>
            </w:pPr>
            <w:r>
              <w:rPr>
                <w:sz w:val="16"/>
              </w:rPr>
              <w:t>14</w:t>
            </w:r>
          </w:p>
          <w:p>
            <w:pPr>
              <w:pStyle w:val="TableParagraph"/>
              <w:spacing w:line="167" w:lineRule="exact"/>
              <w:ind w:left="186"/>
              <w:jc w:val="left"/>
              <w:rPr>
                <w:sz w:val="16"/>
              </w:rPr>
            </w:pPr>
            <w:r>
              <w:rPr>
                <w:sz w:val="16"/>
              </w:rPr>
              <w:t>12</w:t>
            </w:r>
          </w:p>
        </w:tc>
        <w:tc>
          <w:tcPr>
            <w:tcW w:w="557" w:type="dxa"/>
            <w:tcBorders>
              <w:top w:val="single" w:sz="4" w:space="0" w:color="000000"/>
              <w:bottom w:val="single" w:sz="4" w:space="0" w:color="000000"/>
            </w:tcBorders>
          </w:tcPr>
          <w:p>
            <w:pPr>
              <w:pStyle w:val="TableParagraph"/>
              <w:spacing w:line="181" w:lineRule="exact"/>
              <w:ind w:left="214"/>
              <w:jc w:val="left"/>
              <w:rPr>
                <w:sz w:val="16"/>
              </w:rPr>
            </w:pPr>
            <w:r>
              <w:rPr>
                <w:sz w:val="16"/>
              </w:rPr>
              <w:t>30</w:t>
            </w:r>
          </w:p>
          <w:p>
            <w:pPr>
              <w:pStyle w:val="TableParagraph"/>
              <w:spacing w:line="167" w:lineRule="exact"/>
              <w:ind w:left="214"/>
              <w:jc w:val="left"/>
              <w:rPr>
                <w:sz w:val="16"/>
              </w:rPr>
            </w:pPr>
            <w:r>
              <w:rPr>
                <w:sz w:val="16"/>
              </w:rPr>
              <w:t>26</w:t>
            </w:r>
          </w:p>
        </w:tc>
        <w:tc>
          <w:tcPr>
            <w:tcW w:w="587" w:type="dxa"/>
            <w:tcBorders>
              <w:top w:val="single" w:sz="4" w:space="0" w:color="000000"/>
              <w:bottom w:val="single" w:sz="4" w:space="0" w:color="000000"/>
            </w:tcBorders>
          </w:tcPr>
          <w:p>
            <w:pPr>
              <w:pStyle w:val="TableParagraph"/>
              <w:spacing w:line="181" w:lineRule="exact"/>
              <w:ind w:left="146" w:right="133"/>
              <w:rPr>
                <w:sz w:val="16"/>
              </w:rPr>
            </w:pPr>
            <w:r>
              <w:rPr>
                <w:sz w:val="16"/>
              </w:rPr>
              <w:t>93</w:t>
            </w:r>
          </w:p>
          <w:p>
            <w:pPr>
              <w:pStyle w:val="TableParagraph"/>
              <w:spacing w:line="167" w:lineRule="exact"/>
              <w:ind w:left="146" w:right="133"/>
              <w:rPr>
                <w:sz w:val="16"/>
              </w:rPr>
            </w:pPr>
            <w:r>
              <w:rPr>
                <w:sz w:val="16"/>
              </w:rPr>
              <w:t>58</w:t>
            </w:r>
          </w:p>
        </w:tc>
        <w:tc>
          <w:tcPr>
            <w:tcW w:w="660" w:type="dxa"/>
            <w:tcBorders>
              <w:top w:val="single" w:sz="4" w:space="0" w:color="808080"/>
              <w:bottom w:val="single" w:sz="4" w:space="0" w:color="808080"/>
            </w:tcBorders>
          </w:tcPr>
          <w:p>
            <w:pPr>
              <w:pStyle w:val="TableParagraph"/>
              <w:spacing w:line="181" w:lineRule="exact"/>
              <w:ind w:left="199"/>
              <w:jc w:val="left"/>
              <w:rPr>
                <w:sz w:val="16"/>
              </w:rPr>
            </w:pPr>
            <w:r>
              <w:rPr>
                <w:sz w:val="16"/>
              </w:rPr>
              <w:t>175</w:t>
            </w:r>
          </w:p>
          <w:p>
            <w:pPr>
              <w:pStyle w:val="TableParagraph"/>
              <w:spacing w:line="167" w:lineRule="exact"/>
              <w:ind w:left="199"/>
              <w:jc w:val="left"/>
              <w:rPr>
                <w:sz w:val="16"/>
              </w:rPr>
            </w:pPr>
            <w:r>
              <w:rPr>
                <w:sz w:val="16"/>
              </w:rPr>
              <w:t>145</w:t>
            </w:r>
          </w:p>
        </w:tc>
        <w:tc>
          <w:tcPr>
            <w:tcW w:w="722" w:type="dxa"/>
            <w:tcBorders>
              <w:top w:val="single" w:sz="4" w:space="0" w:color="808080"/>
              <w:bottom w:val="single" w:sz="4" w:space="0" w:color="808080"/>
            </w:tcBorders>
          </w:tcPr>
          <w:p>
            <w:pPr>
              <w:pStyle w:val="TableParagraph"/>
              <w:jc w:val="left"/>
              <w:rPr>
                <w:rFonts w:ascii="Times New Roman"/>
                <w:sz w:val="16"/>
              </w:rPr>
            </w:pPr>
          </w:p>
        </w:tc>
        <w:tc>
          <w:tcPr>
            <w:tcW w:w="700" w:type="dxa"/>
            <w:tcBorders>
              <w:top w:val="single" w:sz="4" w:space="0" w:color="808080"/>
              <w:bottom w:val="single" w:sz="4" w:space="0" w:color="808080"/>
            </w:tcBorders>
          </w:tcPr>
          <w:p>
            <w:pPr>
              <w:pStyle w:val="TableParagraph"/>
              <w:jc w:val="left"/>
              <w:rPr>
                <w:rFonts w:ascii="Times New Roman"/>
                <w:sz w:val="16"/>
              </w:rPr>
            </w:pPr>
          </w:p>
        </w:tc>
        <w:tc>
          <w:tcPr>
            <w:tcW w:w="697" w:type="dxa"/>
            <w:tcBorders>
              <w:top w:val="single" w:sz="4" w:space="0" w:color="808080"/>
              <w:bottom w:val="single" w:sz="4" w:space="0" w:color="808080"/>
            </w:tcBorders>
          </w:tcPr>
          <w:p>
            <w:pPr>
              <w:pStyle w:val="TableParagraph"/>
              <w:jc w:val="left"/>
              <w:rPr>
                <w:rFonts w:ascii="Times New Roman"/>
                <w:sz w:val="16"/>
              </w:rPr>
            </w:pPr>
          </w:p>
        </w:tc>
        <w:tc>
          <w:tcPr>
            <w:tcW w:w="690" w:type="dxa"/>
            <w:tcBorders>
              <w:top w:val="single" w:sz="4" w:space="0" w:color="808080"/>
              <w:bottom w:val="single" w:sz="4" w:space="0" w:color="808080"/>
            </w:tcBorders>
          </w:tcPr>
          <w:p>
            <w:pPr>
              <w:pStyle w:val="TableParagraph"/>
              <w:jc w:val="left"/>
              <w:rPr>
                <w:rFonts w:ascii="Times New Roman"/>
                <w:sz w:val="16"/>
              </w:rPr>
            </w:pPr>
          </w:p>
        </w:tc>
      </w:tr>
      <w:tr>
        <w:trPr>
          <w:trHeight w:val="183" w:hRule="atLeast"/>
        </w:trPr>
        <w:tc>
          <w:tcPr>
            <w:tcW w:w="2429" w:type="dxa"/>
            <w:tcBorders>
              <w:top w:val="single" w:sz="4" w:space="0" w:color="808080"/>
            </w:tcBorders>
          </w:tcPr>
          <w:p>
            <w:pPr>
              <w:pStyle w:val="TableParagraph"/>
              <w:spacing w:line="164" w:lineRule="exact"/>
              <w:ind w:left="123" w:right="123"/>
              <w:rPr>
                <w:sz w:val="16"/>
              </w:rPr>
            </w:pPr>
            <w:r>
              <w:rPr>
                <w:sz w:val="16"/>
              </w:rPr>
              <w:t>110</w:t>
            </w:r>
          </w:p>
        </w:tc>
        <w:tc>
          <w:tcPr>
            <w:tcW w:w="704" w:type="dxa"/>
            <w:tcBorders>
              <w:top w:val="single" w:sz="4" w:space="0" w:color="808080"/>
              <w:right w:val="single" w:sz="4" w:space="0" w:color="000000"/>
            </w:tcBorders>
          </w:tcPr>
          <w:p>
            <w:pPr>
              <w:pStyle w:val="TableParagraph"/>
              <w:spacing w:line="164" w:lineRule="exact"/>
              <w:ind w:left="125" w:right="132"/>
              <w:rPr>
                <w:sz w:val="16"/>
              </w:rPr>
            </w:pPr>
            <w:r>
              <w:rPr>
                <w:sz w:val="16"/>
              </w:rPr>
              <w:t>180</w:t>
            </w:r>
          </w:p>
        </w:tc>
        <w:tc>
          <w:tcPr>
            <w:tcW w:w="546" w:type="dxa"/>
            <w:tcBorders>
              <w:top w:val="single" w:sz="4" w:space="0" w:color="808080"/>
              <w:left w:val="single" w:sz="4" w:space="0" w:color="000000"/>
            </w:tcBorders>
          </w:tcPr>
          <w:p>
            <w:pPr>
              <w:pStyle w:val="TableParagraph"/>
              <w:jc w:val="left"/>
              <w:rPr>
                <w:rFonts w:ascii="Times New Roman"/>
                <w:sz w:val="12"/>
              </w:rPr>
            </w:pPr>
          </w:p>
        </w:tc>
        <w:tc>
          <w:tcPr>
            <w:tcW w:w="547" w:type="dxa"/>
            <w:tcBorders>
              <w:top w:val="single" w:sz="4" w:space="0" w:color="808080"/>
            </w:tcBorders>
          </w:tcPr>
          <w:p>
            <w:pPr>
              <w:pStyle w:val="TableParagraph"/>
              <w:jc w:val="left"/>
              <w:rPr>
                <w:rFonts w:ascii="Times New Roman"/>
                <w:sz w:val="12"/>
              </w:rPr>
            </w:pPr>
          </w:p>
        </w:tc>
        <w:tc>
          <w:tcPr>
            <w:tcW w:w="531" w:type="dxa"/>
            <w:tcBorders>
              <w:top w:val="single" w:sz="4" w:space="0" w:color="808080"/>
            </w:tcBorders>
          </w:tcPr>
          <w:p>
            <w:pPr>
              <w:pStyle w:val="TableParagraph"/>
              <w:jc w:val="left"/>
              <w:rPr>
                <w:rFonts w:ascii="Times New Roman"/>
                <w:sz w:val="12"/>
              </w:rPr>
            </w:pPr>
          </w:p>
        </w:tc>
        <w:tc>
          <w:tcPr>
            <w:tcW w:w="557" w:type="dxa"/>
            <w:tcBorders>
              <w:top w:val="single" w:sz="4" w:space="0" w:color="000000"/>
            </w:tcBorders>
          </w:tcPr>
          <w:p>
            <w:pPr>
              <w:pStyle w:val="TableParagraph"/>
              <w:spacing w:line="164" w:lineRule="exact"/>
              <w:ind w:right="163"/>
              <w:jc w:val="right"/>
              <w:rPr>
                <w:sz w:val="16"/>
              </w:rPr>
            </w:pPr>
            <w:r>
              <w:rPr>
                <w:w w:val="95"/>
                <w:sz w:val="16"/>
              </w:rPr>
              <w:t>15</w:t>
            </w:r>
          </w:p>
        </w:tc>
        <w:tc>
          <w:tcPr>
            <w:tcW w:w="587" w:type="dxa"/>
            <w:tcBorders>
              <w:top w:val="single" w:sz="4" w:space="0" w:color="000000"/>
            </w:tcBorders>
          </w:tcPr>
          <w:p>
            <w:pPr>
              <w:pStyle w:val="TableParagraph"/>
              <w:spacing w:line="164" w:lineRule="exact"/>
              <w:ind w:left="146" w:right="133"/>
              <w:rPr>
                <w:sz w:val="16"/>
              </w:rPr>
            </w:pPr>
            <w:r>
              <w:rPr>
                <w:sz w:val="16"/>
              </w:rPr>
              <w:t>56</w:t>
            </w:r>
          </w:p>
        </w:tc>
        <w:tc>
          <w:tcPr>
            <w:tcW w:w="660" w:type="dxa"/>
            <w:tcBorders>
              <w:top w:val="single" w:sz="4" w:space="0" w:color="808080"/>
            </w:tcBorders>
          </w:tcPr>
          <w:p>
            <w:pPr>
              <w:pStyle w:val="TableParagraph"/>
              <w:spacing w:line="164" w:lineRule="exact"/>
              <w:ind w:left="223" w:right="218"/>
              <w:rPr>
                <w:sz w:val="16"/>
              </w:rPr>
            </w:pPr>
            <w:r>
              <w:rPr>
                <w:sz w:val="16"/>
              </w:rPr>
              <w:t>97</w:t>
            </w:r>
          </w:p>
        </w:tc>
        <w:tc>
          <w:tcPr>
            <w:tcW w:w="722" w:type="dxa"/>
            <w:tcBorders>
              <w:top w:val="single" w:sz="4" w:space="0" w:color="808080"/>
            </w:tcBorders>
          </w:tcPr>
          <w:p>
            <w:pPr>
              <w:pStyle w:val="TableParagraph"/>
              <w:spacing w:line="164" w:lineRule="exact"/>
              <w:ind w:left="219" w:right="196"/>
              <w:rPr>
                <w:sz w:val="16"/>
              </w:rPr>
            </w:pPr>
            <w:r>
              <w:rPr>
                <w:sz w:val="16"/>
              </w:rPr>
              <w:t>290</w:t>
            </w:r>
          </w:p>
        </w:tc>
        <w:tc>
          <w:tcPr>
            <w:tcW w:w="700" w:type="dxa"/>
            <w:tcBorders>
              <w:top w:val="single" w:sz="4" w:space="0" w:color="808080"/>
            </w:tcBorders>
          </w:tcPr>
          <w:p>
            <w:pPr>
              <w:pStyle w:val="TableParagraph"/>
              <w:jc w:val="left"/>
              <w:rPr>
                <w:rFonts w:ascii="Times New Roman"/>
                <w:sz w:val="12"/>
              </w:rPr>
            </w:pPr>
          </w:p>
        </w:tc>
        <w:tc>
          <w:tcPr>
            <w:tcW w:w="697" w:type="dxa"/>
            <w:tcBorders>
              <w:top w:val="single" w:sz="4" w:space="0" w:color="808080"/>
            </w:tcBorders>
          </w:tcPr>
          <w:p>
            <w:pPr>
              <w:pStyle w:val="TableParagraph"/>
              <w:jc w:val="left"/>
              <w:rPr>
                <w:rFonts w:ascii="Times New Roman"/>
                <w:sz w:val="12"/>
              </w:rPr>
            </w:pPr>
          </w:p>
        </w:tc>
        <w:tc>
          <w:tcPr>
            <w:tcW w:w="690" w:type="dxa"/>
            <w:tcBorders>
              <w:top w:val="single" w:sz="4" w:space="0" w:color="808080"/>
            </w:tcBorders>
          </w:tcPr>
          <w:p>
            <w:pPr>
              <w:pStyle w:val="TableParagraph"/>
              <w:jc w:val="left"/>
              <w:rPr>
                <w:rFonts w:ascii="Times New Roman"/>
                <w:sz w:val="12"/>
              </w:rPr>
            </w:pPr>
          </w:p>
        </w:tc>
      </w:tr>
      <w:tr>
        <w:trPr>
          <w:trHeight w:val="183" w:hRule="atLeast"/>
        </w:trPr>
        <w:tc>
          <w:tcPr>
            <w:tcW w:w="2429" w:type="dxa"/>
          </w:tcPr>
          <w:p>
            <w:pPr>
              <w:pStyle w:val="TableParagraph"/>
              <w:jc w:val="left"/>
              <w:rPr>
                <w:rFonts w:ascii="Times New Roman"/>
                <w:sz w:val="12"/>
              </w:rPr>
            </w:pPr>
          </w:p>
        </w:tc>
        <w:tc>
          <w:tcPr>
            <w:tcW w:w="704" w:type="dxa"/>
            <w:tcBorders>
              <w:right w:val="single" w:sz="4" w:space="0" w:color="000000"/>
            </w:tcBorders>
          </w:tcPr>
          <w:p>
            <w:pPr>
              <w:pStyle w:val="TableParagraph"/>
              <w:spacing w:line="164" w:lineRule="exact"/>
              <w:ind w:left="125" w:right="132"/>
              <w:rPr>
                <w:sz w:val="16"/>
              </w:rPr>
            </w:pPr>
            <w:r>
              <w:rPr>
                <w:sz w:val="16"/>
              </w:rPr>
              <w:t>360</w:t>
            </w:r>
          </w:p>
        </w:tc>
        <w:tc>
          <w:tcPr>
            <w:tcW w:w="546" w:type="dxa"/>
            <w:tcBorders>
              <w:left w:val="single" w:sz="4" w:space="0" w:color="000000"/>
            </w:tcBorders>
          </w:tcPr>
          <w:p>
            <w:pPr>
              <w:pStyle w:val="TableParagraph"/>
              <w:jc w:val="left"/>
              <w:rPr>
                <w:rFonts w:ascii="Times New Roman"/>
                <w:sz w:val="12"/>
              </w:rPr>
            </w:pPr>
          </w:p>
        </w:tc>
        <w:tc>
          <w:tcPr>
            <w:tcW w:w="547" w:type="dxa"/>
          </w:tcPr>
          <w:p>
            <w:pPr>
              <w:pStyle w:val="TableParagraph"/>
              <w:jc w:val="left"/>
              <w:rPr>
                <w:rFonts w:ascii="Times New Roman"/>
                <w:sz w:val="12"/>
              </w:rPr>
            </w:pPr>
          </w:p>
        </w:tc>
        <w:tc>
          <w:tcPr>
            <w:tcW w:w="531" w:type="dxa"/>
          </w:tcPr>
          <w:p>
            <w:pPr>
              <w:pStyle w:val="TableParagraph"/>
              <w:jc w:val="left"/>
              <w:rPr>
                <w:rFonts w:ascii="Times New Roman"/>
                <w:sz w:val="12"/>
              </w:rPr>
            </w:pPr>
          </w:p>
        </w:tc>
        <w:tc>
          <w:tcPr>
            <w:tcW w:w="557" w:type="dxa"/>
          </w:tcPr>
          <w:p>
            <w:pPr>
              <w:pStyle w:val="TableParagraph"/>
              <w:spacing w:line="164" w:lineRule="exact"/>
              <w:ind w:right="163"/>
              <w:jc w:val="right"/>
              <w:rPr>
                <w:sz w:val="16"/>
              </w:rPr>
            </w:pPr>
            <w:r>
              <w:rPr>
                <w:w w:val="95"/>
                <w:sz w:val="16"/>
              </w:rPr>
              <w:t>10</w:t>
            </w:r>
          </w:p>
        </w:tc>
        <w:tc>
          <w:tcPr>
            <w:tcW w:w="587" w:type="dxa"/>
          </w:tcPr>
          <w:p>
            <w:pPr>
              <w:pStyle w:val="TableParagraph"/>
              <w:spacing w:line="164" w:lineRule="exact"/>
              <w:ind w:left="146" w:right="133"/>
              <w:rPr>
                <w:sz w:val="16"/>
              </w:rPr>
            </w:pPr>
            <w:r>
              <w:rPr>
                <w:sz w:val="16"/>
              </w:rPr>
              <w:t>51</w:t>
            </w:r>
          </w:p>
        </w:tc>
        <w:tc>
          <w:tcPr>
            <w:tcW w:w="660" w:type="dxa"/>
          </w:tcPr>
          <w:p>
            <w:pPr>
              <w:pStyle w:val="TableParagraph"/>
              <w:spacing w:line="164" w:lineRule="exact"/>
              <w:ind w:left="223" w:right="218"/>
              <w:rPr>
                <w:sz w:val="16"/>
              </w:rPr>
            </w:pPr>
            <w:r>
              <w:rPr>
                <w:sz w:val="16"/>
              </w:rPr>
              <w:t>79</w:t>
            </w:r>
          </w:p>
        </w:tc>
        <w:tc>
          <w:tcPr>
            <w:tcW w:w="722" w:type="dxa"/>
          </w:tcPr>
          <w:p>
            <w:pPr>
              <w:pStyle w:val="TableParagraph"/>
              <w:spacing w:line="164" w:lineRule="exact"/>
              <w:ind w:left="219" w:right="196"/>
              <w:rPr>
                <w:sz w:val="16"/>
              </w:rPr>
            </w:pPr>
            <w:r>
              <w:rPr>
                <w:sz w:val="16"/>
              </w:rPr>
              <w:t>270</w:t>
            </w:r>
          </w:p>
        </w:tc>
        <w:tc>
          <w:tcPr>
            <w:tcW w:w="700" w:type="dxa"/>
          </w:tcPr>
          <w:p>
            <w:pPr>
              <w:pStyle w:val="TableParagraph"/>
              <w:jc w:val="left"/>
              <w:rPr>
                <w:rFonts w:ascii="Times New Roman"/>
                <w:sz w:val="12"/>
              </w:rPr>
            </w:pPr>
          </w:p>
        </w:tc>
        <w:tc>
          <w:tcPr>
            <w:tcW w:w="697" w:type="dxa"/>
          </w:tcPr>
          <w:p>
            <w:pPr>
              <w:pStyle w:val="TableParagraph"/>
              <w:jc w:val="left"/>
              <w:rPr>
                <w:rFonts w:ascii="Times New Roman"/>
                <w:sz w:val="12"/>
              </w:rPr>
            </w:pPr>
          </w:p>
        </w:tc>
        <w:tc>
          <w:tcPr>
            <w:tcW w:w="690" w:type="dxa"/>
          </w:tcPr>
          <w:p>
            <w:pPr>
              <w:pStyle w:val="TableParagraph"/>
              <w:jc w:val="left"/>
              <w:rPr>
                <w:rFonts w:ascii="Times New Roman"/>
                <w:sz w:val="12"/>
              </w:rPr>
            </w:pPr>
          </w:p>
        </w:tc>
      </w:tr>
      <w:tr>
        <w:trPr>
          <w:trHeight w:val="184" w:hRule="atLeast"/>
        </w:trPr>
        <w:tc>
          <w:tcPr>
            <w:tcW w:w="2429" w:type="dxa"/>
            <w:tcBorders>
              <w:bottom w:val="single" w:sz="4" w:space="0" w:color="808080"/>
            </w:tcBorders>
          </w:tcPr>
          <w:p>
            <w:pPr>
              <w:pStyle w:val="TableParagraph"/>
              <w:jc w:val="left"/>
              <w:rPr>
                <w:rFonts w:ascii="Times New Roman"/>
                <w:sz w:val="12"/>
              </w:rPr>
            </w:pPr>
          </w:p>
        </w:tc>
        <w:tc>
          <w:tcPr>
            <w:tcW w:w="704" w:type="dxa"/>
            <w:tcBorders>
              <w:bottom w:val="single" w:sz="4" w:space="0" w:color="808080"/>
              <w:right w:val="single" w:sz="4" w:space="0" w:color="000000"/>
            </w:tcBorders>
          </w:tcPr>
          <w:p>
            <w:pPr>
              <w:pStyle w:val="TableParagraph"/>
              <w:spacing w:line="164" w:lineRule="exact"/>
              <w:ind w:left="125" w:right="132"/>
              <w:rPr>
                <w:sz w:val="16"/>
              </w:rPr>
            </w:pPr>
            <w:r>
              <w:rPr>
                <w:sz w:val="16"/>
              </w:rPr>
              <w:t>740</w:t>
            </w:r>
          </w:p>
        </w:tc>
        <w:tc>
          <w:tcPr>
            <w:tcW w:w="546" w:type="dxa"/>
            <w:tcBorders>
              <w:left w:val="single" w:sz="4" w:space="0" w:color="000000"/>
              <w:bottom w:val="single" w:sz="4" w:space="0" w:color="808080"/>
            </w:tcBorders>
          </w:tcPr>
          <w:p>
            <w:pPr>
              <w:pStyle w:val="TableParagraph"/>
              <w:jc w:val="left"/>
              <w:rPr>
                <w:rFonts w:ascii="Times New Roman"/>
                <w:sz w:val="12"/>
              </w:rPr>
            </w:pPr>
          </w:p>
        </w:tc>
        <w:tc>
          <w:tcPr>
            <w:tcW w:w="547" w:type="dxa"/>
            <w:tcBorders>
              <w:bottom w:val="single" w:sz="4" w:space="0" w:color="808080"/>
            </w:tcBorders>
          </w:tcPr>
          <w:p>
            <w:pPr>
              <w:pStyle w:val="TableParagraph"/>
              <w:jc w:val="left"/>
              <w:rPr>
                <w:rFonts w:ascii="Times New Roman"/>
                <w:sz w:val="12"/>
              </w:rPr>
            </w:pPr>
          </w:p>
        </w:tc>
        <w:tc>
          <w:tcPr>
            <w:tcW w:w="531" w:type="dxa"/>
            <w:tcBorders>
              <w:bottom w:val="single" w:sz="4" w:space="0" w:color="808080"/>
            </w:tcBorders>
          </w:tcPr>
          <w:p>
            <w:pPr>
              <w:pStyle w:val="TableParagraph"/>
              <w:jc w:val="left"/>
              <w:rPr>
                <w:rFonts w:ascii="Times New Roman"/>
                <w:sz w:val="12"/>
              </w:rPr>
            </w:pPr>
          </w:p>
        </w:tc>
        <w:tc>
          <w:tcPr>
            <w:tcW w:w="557" w:type="dxa"/>
            <w:tcBorders>
              <w:bottom w:val="single" w:sz="4" w:space="0" w:color="000000"/>
            </w:tcBorders>
          </w:tcPr>
          <w:p>
            <w:pPr>
              <w:pStyle w:val="TableParagraph"/>
              <w:spacing w:line="164" w:lineRule="exact"/>
              <w:ind w:right="207"/>
              <w:jc w:val="right"/>
              <w:rPr>
                <w:sz w:val="16"/>
              </w:rPr>
            </w:pPr>
            <w:r>
              <w:rPr>
                <w:w w:val="99"/>
                <w:sz w:val="16"/>
              </w:rPr>
              <w:t>8</w:t>
            </w:r>
          </w:p>
        </w:tc>
        <w:tc>
          <w:tcPr>
            <w:tcW w:w="587" w:type="dxa"/>
            <w:tcBorders>
              <w:bottom w:val="single" w:sz="4" w:space="0" w:color="000000"/>
            </w:tcBorders>
          </w:tcPr>
          <w:p>
            <w:pPr>
              <w:pStyle w:val="TableParagraph"/>
              <w:spacing w:line="164" w:lineRule="exact"/>
              <w:ind w:left="146" w:right="133"/>
              <w:rPr>
                <w:sz w:val="16"/>
              </w:rPr>
            </w:pPr>
            <w:r>
              <w:rPr>
                <w:sz w:val="16"/>
              </w:rPr>
              <w:t>48</w:t>
            </w:r>
          </w:p>
        </w:tc>
        <w:tc>
          <w:tcPr>
            <w:tcW w:w="660" w:type="dxa"/>
            <w:tcBorders>
              <w:bottom w:val="single" w:sz="4" w:space="0" w:color="808080"/>
            </w:tcBorders>
          </w:tcPr>
          <w:p>
            <w:pPr>
              <w:pStyle w:val="TableParagraph"/>
              <w:spacing w:line="164" w:lineRule="exact"/>
              <w:ind w:left="223" w:right="218"/>
              <w:rPr>
                <w:sz w:val="16"/>
              </w:rPr>
            </w:pPr>
            <w:r>
              <w:rPr>
                <w:sz w:val="16"/>
              </w:rPr>
              <w:t>73</w:t>
            </w:r>
          </w:p>
        </w:tc>
        <w:tc>
          <w:tcPr>
            <w:tcW w:w="722" w:type="dxa"/>
            <w:tcBorders>
              <w:bottom w:val="single" w:sz="4" w:space="0" w:color="808080"/>
            </w:tcBorders>
          </w:tcPr>
          <w:p>
            <w:pPr>
              <w:pStyle w:val="TableParagraph"/>
              <w:spacing w:line="164" w:lineRule="exact"/>
              <w:ind w:left="219" w:right="196"/>
              <w:rPr>
                <w:sz w:val="16"/>
              </w:rPr>
            </w:pPr>
            <w:r>
              <w:rPr>
                <w:sz w:val="16"/>
              </w:rPr>
              <w:t>220</w:t>
            </w:r>
          </w:p>
        </w:tc>
        <w:tc>
          <w:tcPr>
            <w:tcW w:w="700" w:type="dxa"/>
            <w:tcBorders>
              <w:bottom w:val="single" w:sz="4" w:space="0" w:color="808080"/>
            </w:tcBorders>
          </w:tcPr>
          <w:p>
            <w:pPr>
              <w:pStyle w:val="TableParagraph"/>
              <w:jc w:val="left"/>
              <w:rPr>
                <w:rFonts w:ascii="Times New Roman"/>
                <w:sz w:val="12"/>
              </w:rPr>
            </w:pPr>
          </w:p>
        </w:tc>
        <w:tc>
          <w:tcPr>
            <w:tcW w:w="697" w:type="dxa"/>
            <w:tcBorders>
              <w:bottom w:val="single" w:sz="4" w:space="0" w:color="808080"/>
            </w:tcBorders>
          </w:tcPr>
          <w:p>
            <w:pPr>
              <w:pStyle w:val="TableParagraph"/>
              <w:jc w:val="left"/>
              <w:rPr>
                <w:rFonts w:ascii="Times New Roman"/>
                <w:sz w:val="12"/>
              </w:rPr>
            </w:pPr>
          </w:p>
        </w:tc>
        <w:tc>
          <w:tcPr>
            <w:tcW w:w="690" w:type="dxa"/>
            <w:tcBorders>
              <w:bottom w:val="single" w:sz="4" w:space="0" w:color="808080"/>
            </w:tcBorders>
          </w:tcPr>
          <w:p>
            <w:pPr>
              <w:pStyle w:val="TableParagraph"/>
              <w:jc w:val="left"/>
              <w:rPr>
                <w:rFonts w:ascii="Times New Roman"/>
                <w:sz w:val="12"/>
              </w:rPr>
            </w:pPr>
          </w:p>
        </w:tc>
      </w:tr>
      <w:tr>
        <w:trPr>
          <w:trHeight w:val="551" w:hRule="atLeast"/>
        </w:trPr>
        <w:tc>
          <w:tcPr>
            <w:tcW w:w="2429" w:type="dxa"/>
            <w:tcBorders>
              <w:top w:val="single" w:sz="4" w:space="0" w:color="808080"/>
              <w:bottom w:val="single" w:sz="4" w:space="0" w:color="808080"/>
            </w:tcBorders>
          </w:tcPr>
          <w:p>
            <w:pPr>
              <w:pStyle w:val="TableParagraph"/>
              <w:spacing w:line="181" w:lineRule="exact"/>
              <w:ind w:left="123" w:right="123"/>
              <w:rPr>
                <w:sz w:val="16"/>
              </w:rPr>
            </w:pPr>
            <w:r>
              <w:rPr>
                <w:sz w:val="16"/>
              </w:rPr>
              <w:t>125</w:t>
            </w:r>
          </w:p>
        </w:tc>
        <w:tc>
          <w:tcPr>
            <w:tcW w:w="704" w:type="dxa"/>
            <w:tcBorders>
              <w:top w:val="single" w:sz="4" w:space="0" w:color="808080"/>
              <w:bottom w:val="single" w:sz="4" w:space="0" w:color="808080"/>
              <w:right w:val="single" w:sz="4" w:space="0" w:color="000000"/>
            </w:tcBorders>
          </w:tcPr>
          <w:p>
            <w:pPr>
              <w:pStyle w:val="TableParagraph"/>
              <w:spacing w:line="181" w:lineRule="exact"/>
              <w:ind w:left="211"/>
              <w:jc w:val="left"/>
              <w:rPr>
                <w:sz w:val="16"/>
              </w:rPr>
            </w:pPr>
            <w:r>
              <w:rPr>
                <w:sz w:val="16"/>
              </w:rPr>
              <w:t>300</w:t>
            </w:r>
          </w:p>
          <w:p>
            <w:pPr>
              <w:pStyle w:val="TableParagraph"/>
              <w:ind w:left="211"/>
              <w:jc w:val="left"/>
              <w:rPr>
                <w:sz w:val="16"/>
              </w:rPr>
            </w:pPr>
            <w:r>
              <w:rPr>
                <w:sz w:val="16"/>
              </w:rPr>
              <w:t>540</w:t>
            </w:r>
          </w:p>
          <w:p>
            <w:pPr>
              <w:pStyle w:val="TableParagraph"/>
              <w:spacing w:line="166" w:lineRule="exact"/>
              <w:ind w:left="144"/>
              <w:jc w:val="left"/>
              <w:rPr>
                <w:sz w:val="16"/>
              </w:rPr>
            </w:pPr>
            <w:r>
              <w:rPr>
                <w:sz w:val="16"/>
              </w:rPr>
              <w:t>1.100</w:t>
            </w:r>
          </w:p>
        </w:tc>
        <w:tc>
          <w:tcPr>
            <w:tcW w:w="546" w:type="dxa"/>
            <w:tcBorders>
              <w:top w:val="single" w:sz="4" w:space="0" w:color="808080"/>
              <w:left w:val="single" w:sz="4" w:space="0" w:color="000000"/>
              <w:bottom w:val="single" w:sz="4" w:space="0" w:color="808080"/>
            </w:tcBorders>
          </w:tcPr>
          <w:p>
            <w:pPr>
              <w:pStyle w:val="TableParagraph"/>
              <w:jc w:val="left"/>
              <w:rPr>
                <w:rFonts w:ascii="Times New Roman"/>
                <w:sz w:val="16"/>
              </w:rPr>
            </w:pPr>
          </w:p>
        </w:tc>
        <w:tc>
          <w:tcPr>
            <w:tcW w:w="547" w:type="dxa"/>
            <w:tcBorders>
              <w:top w:val="single" w:sz="4" w:space="0" w:color="808080"/>
              <w:bottom w:val="single" w:sz="4" w:space="0" w:color="808080"/>
            </w:tcBorders>
          </w:tcPr>
          <w:p>
            <w:pPr>
              <w:pStyle w:val="TableParagraph"/>
              <w:jc w:val="left"/>
              <w:rPr>
                <w:rFonts w:ascii="Times New Roman"/>
                <w:sz w:val="16"/>
              </w:rPr>
            </w:pPr>
          </w:p>
        </w:tc>
        <w:tc>
          <w:tcPr>
            <w:tcW w:w="531" w:type="dxa"/>
            <w:tcBorders>
              <w:top w:val="single" w:sz="4" w:space="0" w:color="808080"/>
              <w:bottom w:val="single" w:sz="4" w:space="0" w:color="808080"/>
            </w:tcBorders>
          </w:tcPr>
          <w:p>
            <w:pPr>
              <w:pStyle w:val="TableParagraph"/>
              <w:jc w:val="left"/>
              <w:rPr>
                <w:rFonts w:ascii="Times New Roman"/>
                <w:sz w:val="16"/>
              </w:rPr>
            </w:pPr>
          </w:p>
        </w:tc>
        <w:tc>
          <w:tcPr>
            <w:tcW w:w="557" w:type="dxa"/>
            <w:tcBorders>
              <w:top w:val="single" w:sz="4" w:space="0" w:color="000000"/>
              <w:bottom w:val="single" w:sz="4" w:space="0" w:color="000000"/>
            </w:tcBorders>
          </w:tcPr>
          <w:p>
            <w:pPr>
              <w:pStyle w:val="TableParagraph"/>
              <w:spacing w:line="181" w:lineRule="exact"/>
              <w:ind w:right="207"/>
              <w:jc w:val="right"/>
              <w:rPr>
                <w:sz w:val="16"/>
              </w:rPr>
            </w:pPr>
            <w:r>
              <w:rPr>
                <w:w w:val="99"/>
                <w:sz w:val="16"/>
              </w:rPr>
              <w:t>6</w:t>
            </w:r>
          </w:p>
        </w:tc>
        <w:tc>
          <w:tcPr>
            <w:tcW w:w="587" w:type="dxa"/>
            <w:tcBorders>
              <w:top w:val="single" w:sz="4" w:space="0" w:color="000000"/>
              <w:bottom w:val="single" w:sz="4" w:space="0" w:color="000000"/>
            </w:tcBorders>
          </w:tcPr>
          <w:p>
            <w:pPr>
              <w:pStyle w:val="TableParagraph"/>
              <w:spacing w:line="181" w:lineRule="exact"/>
              <w:ind w:left="146" w:right="133"/>
              <w:rPr>
                <w:sz w:val="16"/>
              </w:rPr>
            </w:pPr>
            <w:r>
              <w:rPr>
                <w:sz w:val="16"/>
              </w:rPr>
              <w:t>45</w:t>
            </w:r>
          </w:p>
          <w:p>
            <w:pPr>
              <w:pStyle w:val="TableParagraph"/>
              <w:ind w:left="146" w:right="133"/>
              <w:rPr>
                <w:sz w:val="16"/>
              </w:rPr>
            </w:pPr>
            <w:r>
              <w:rPr>
                <w:sz w:val="16"/>
              </w:rPr>
              <w:t>42</w:t>
            </w:r>
          </w:p>
          <w:p>
            <w:pPr>
              <w:pStyle w:val="TableParagraph"/>
              <w:spacing w:line="166" w:lineRule="exact"/>
              <w:ind w:left="146" w:right="133"/>
              <w:rPr>
                <w:sz w:val="16"/>
              </w:rPr>
            </w:pPr>
            <w:r>
              <w:rPr>
                <w:sz w:val="16"/>
              </w:rPr>
              <w:t>40</w:t>
            </w:r>
          </w:p>
        </w:tc>
        <w:tc>
          <w:tcPr>
            <w:tcW w:w="660" w:type="dxa"/>
            <w:tcBorders>
              <w:top w:val="single" w:sz="4" w:space="0" w:color="808080"/>
              <w:bottom w:val="single" w:sz="4" w:space="0" w:color="808080"/>
            </w:tcBorders>
          </w:tcPr>
          <w:p>
            <w:pPr>
              <w:pStyle w:val="TableParagraph"/>
              <w:spacing w:line="181" w:lineRule="exact"/>
              <w:ind w:left="223" w:right="218"/>
              <w:rPr>
                <w:sz w:val="16"/>
              </w:rPr>
            </w:pPr>
            <w:r>
              <w:rPr>
                <w:sz w:val="16"/>
              </w:rPr>
              <w:t>65</w:t>
            </w:r>
          </w:p>
          <w:p>
            <w:pPr>
              <w:pStyle w:val="TableParagraph"/>
              <w:ind w:left="223" w:right="218"/>
              <w:rPr>
                <w:sz w:val="16"/>
              </w:rPr>
            </w:pPr>
            <w:r>
              <w:rPr>
                <w:sz w:val="16"/>
              </w:rPr>
              <w:t>57</w:t>
            </w:r>
          </w:p>
          <w:p>
            <w:pPr>
              <w:pStyle w:val="TableParagraph"/>
              <w:spacing w:line="166" w:lineRule="exact"/>
              <w:ind w:left="223" w:right="218"/>
              <w:rPr>
                <w:sz w:val="16"/>
              </w:rPr>
            </w:pPr>
            <w:r>
              <w:rPr>
                <w:sz w:val="16"/>
              </w:rPr>
              <w:t>47</w:t>
            </w:r>
          </w:p>
        </w:tc>
        <w:tc>
          <w:tcPr>
            <w:tcW w:w="722" w:type="dxa"/>
            <w:tcBorders>
              <w:top w:val="single" w:sz="4" w:space="0" w:color="808080"/>
              <w:bottom w:val="single" w:sz="4" w:space="0" w:color="808080"/>
            </w:tcBorders>
          </w:tcPr>
          <w:p>
            <w:pPr>
              <w:pStyle w:val="TableParagraph"/>
              <w:spacing w:line="181" w:lineRule="exact"/>
              <w:ind w:left="219" w:right="196"/>
              <w:rPr>
                <w:sz w:val="16"/>
              </w:rPr>
            </w:pPr>
            <w:r>
              <w:rPr>
                <w:sz w:val="16"/>
              </w:rPr>
              <w:t>100</w:t>
            </w:r>
          </w:p>
          <w:p>
            <w:pPr>
              <w:pStyle w:val="TableParagraph"/>
              <w:ind w:left="219" w:right="196"/>
              <w:rPr>
                <w:sz w:val="16"/>
              </w:rPr>
            </w:pPr>
            <w:r>
              <w:rPr>
                <w:sz w:val="16"/>
              </w:rPr>
              <w:t>85</w:t>
            </w:r>
          </w:p>
          <w:p>
            <w:pPr>
              <w:pStyle w:val="TableParagraph"/>
              <w:spacing w:line="166" w:lineRule="exact"/>
              <w:ind w:left="219" w:right="196"/>
              <w:rPr>
                <w:sz w:val="16"/>
              </w:rPr>
            </w:pPr>
            <w:r>
              <w:rPr>
                <w:sz w:val="16"/>
              </w:rPr>
              <w:t>70</w:t>
            </w:r>
          </w:p>
        </w:tc>
        <w:tc>
          <w:tcPr>
            <w:tcW w:w="700" w:type="dxa"/>
            <w:tcBorders>
              <w:top w:val="single" w:sz="4" w:space="0" w:color="808080"/>
              <w:bottom w:val="single" w:sz="4" w:space="0" w:color="808080"/>
            </w:tcBorders>
          </w:tcPr>
          <w:p>
            <w:pPr>
              <w:pStyle w:val="TableParagraph"/>
              <w:spacing w:line="181" w:lineRule="exact"/>
              <w:ind w:left="216"/>
              <w:jc w:val="left"/>
              <w:rPr>
                <w:sz w:val="16"/>
              </w:rPr>
            </w:pPr>
            <w:r>
              <w:rPr>
                <w:sz w:val="16"/>
              </w:rPr>
              <w:t>300</w:t>
            </w:r>
          </w:p>
          <w:p>
            <w:pPr>
              <w:pStyle w:val="TableParagraph"/>
              <w:ind w:left="216"/>
              <w:jc w:val="left"/>
              <w:rPr>
                <w:sz w:val="16"/>
              </w:rPr>
            </w:pPr>
            <w:r>
              <w:rPr>
                <w:sz w:val="16"/>
              </w:rPr>
              <w:t>250</w:t>
            </w:r>
          </w:p>
          <w:p>
            <w:pPr>
              <w:pStyle w:val="TableParagraph"/>
              <w:spacing w:line="166" w:lineRule="exact"/>
              <w:ind w:left="216"/>
              <w:jc w:val="left"/>
              <w:rPr>
                <w:sz w:val="16"/>
              </w:rPr>
            </w:pPr>
            <w:r>
              <w:rPr>
                <w:sz w:val="16"/>
              </w:rPr>
              <w:t>210</w:t>
            </w:r>
          </w:p>
        </w:tc>
        <w:tc>
          <w:tcPr>
            <w:tcW w:w="697" w:type="dxa"/>
            <w:tcBorders>
              <w:top w:val="single" w:sz="4" w:space="0" w:color="808080"/>
              <w:bottom w:val="single" w:sz="4" w:space="0" w:color="808080"/>
            </w:tcBorders>
          </w:tcPr>
          <w:p>
            <w:pPr>
              <w:pStyle w:val="TableParagraph"/>
              <w:jc w:val="left"/>
              <w:rPr>
                <w:rFonts w:ascii="Times New Roman"/>
                <w:sz w:val="16"/>
              </w:rPr>
            </w:pPr>
          </w:p>
        </w:tc>
        <w:tc>
          <w:tcPr>
            <w:tcW w:w="690" w:type="dxa"/>
            <w:tcBorders>
              <w:top w:val="single" w:sz="4" w:space="0" w:color="808080"/>
              <w:bottom w:val="single" w:sz="4" w:space="0" w:color="808080"/>
            </w:tcBorders>
          </w:tcPr>
          <w:p>
            <w:pPr>
              <w:pStyle w:val="TableParagraph"/>
              <w:jc w:val="left"/>
              <w:rPr>
                <w:rFonts w:ascii="Times New Roman"/>
                <w:sz w:val="16"/>
              </w:rPr>
            </w:pPr>
          </w:p>
        </w:tc>
      </w:tr>
      <w:tr>
        <w:trPr>
          <w:trHeight w:val="184" w:hRule="atLeast"/>
        </w:trPr>
        <w:tc>
          <w:tcPr>
            <w:tcW w:w="2429" w:type="dxa"/>
            <w:tcBorders>
              <w:top w:val="single" w:sz="4" w:space="0" w:color="808080"/>
            </w:tcBorders>
          </w:tcPr>
          <w:p>
            <w:pPr>
              <w:pStyle w:val="TableParagraph"/>
              <w:spacing w:line="164" w:lineRule="exact"/>
              <w:ind w:left="123" w:right="123"/>
              <w:rPr>
                <w:sz w:val="16"/>
              </w:rPr>
            </w:pPr>
            <w:r>
              <w:rPr>
                <w:sz w:val="16"/>
              </w:rPr>
              <w:t>160</w:t>
            </w:r>
          </w:p>
        </w:tc>
        <w:tc>
          <w:tcPr>
            <w:tcW w:w="704" w:type="dxa"/>
            <w:tcBorders>
              <w:top w:val="single" w:sz="4" w:space="0" w:color="808080"/>
              <w:right w:val="single" w:sz="4" w:space="0" w:color="000000"/>
            </w:tcBorders>
          </w:tcPr>
          <w:p>
            <w:pPr>
              <w:pStyle w:val="TableParagraph"/>
              <w:spacing w:line="164" w:lineRule="exact"/>
              <w:ind w:left="125" w:right="132"/>
              <w:rPr>
                <w:sz w:val="16"/>
              </w:rPr>
            </w:pPr>
            <w:r>
              <w:rPr>
                <w:sz w:val="16"/>
              </w:rPr>
              <w:t>696</w:t>
            </w:r>
          </w:p>
        </w:tc>
        <w:tc>
          <w:tcPr>
            <w:tcW w:w="546" w:type="dxa"/>
            <w:tcBorders>
              <w:top w:val="single" w:sz="4" w:space="0" w:color="808080"/>
              <w:left w:val="single" w:sz="4" w:space="0" w:color="000000"/>
            </w:tcBorders>
          </w:tcPr>
          <w:p>
            <w:pPr>
              <w:pStyle w:val="TableParagraph"/>
              <w:jc w:val="left"/>
              <w:rPr>
                <w:rFonts w:ascii="Times New Roman"/>
                <w:sz w:val="12"/>
              </w:rPr>
            </w:pPr>
          </w:p>
        </w:tc>
        <w:tc>
          <w:tcPr>
            <w:tcW w:w="547" w:type="dxa"/>
            <w:tcBorders>
              <w:top w:val="single" w:sz="4" w:space="0" w:color="808080"/>
            </w:tcBorders>
          </w:tcPr>
          <w:p>
            <w:pPr>
              <w:pStyle w:val="TableParagraph"/>
              <w:jc w:val="left"/>
              <w:rPr>
                <w:rFonts w:ascii="Times New Roman"/>
                <w:sz w:val="12"/>
              </w:rPr>
            </w:pPr>
          </w:p>
        </w:tc>
        <w:tc>
          <w:tcPr>
            <w:tcW w:w="531" w:type="dxa"/>
            <w:tcBorders>
              <w:top w:val="single" w:sz="4" w:space="0" w:color="808080"/>
            </w:tcBorders>
          </w:tcPr>
          <w:p>
            <w:pPr>
              <w:pStyle w:val="TableParagraph"/>
              <w:jc w:val="left"/>
              <w:rPr>
                <w:rFonts w:ascii="Times New Roman"/>
                <w:sz w:val="12"/>
              </w:rPr>
            </w:pPr>
          </w:p>
        </w:tc>
        <w:tc>
          <w:tcPr>
            <w:tcW w:w="557" w:type="dxa"/>
            <w:tcBorders>
              <w:top w:val="single" w:sz="4" w:space="0" w:color="000000"/>
            </w:tcBorders>
          </w:tcPr>
          <w:p>
            <w:pPr>
              <w:pStyle w:val="TableParagraph"/>
              <w:jc w:val="left"/>
              <w:rPr>
                <w:rFonts w:ascii="Times New Roman"/>
                <w:sz w:val="12"/>
              </w:rPr>
            </w:pPr>
          </w:p>
        </w:tc>
        <w:tc>
          <w:tcPr>
            <w:tcW w:w="587" w:type="dxa"/>
            <w:tcBorders>
              <w:top w:val="single" w:sz="4" w:space="0" w:color="000000"/>
            </w:tcBorders>
          </w:tcPr>
          <w:p>
            <w:pPr>
              <w:pStyle w:val="TableParagraph"/>
              <w:jc w:val="left"/>
              <w:rPr>
                <w:rFonts w:ascii="Times New Roman"/>
                <w:sz w:val="12"/>
              </w:rPr>
            </w:pPr>
          </w:p>
        </w:tc>
        <w:tc>
          <w:tcPr>
            <w:tcW w:w="660" w:type="dxa"/>
            <w:tcBorders>
              <w:top w:val="single" w:sz="4" w:space="0" w:color="808080"/>
            </w:tcBorders>
          </w:tcPr>
          <w:p>
            <w:pPr>
              <w:pStyle w:val="TableParagraph"/>
              <w:spacing w:line="164" w:lineRule="exact"/>
              <w:ind w:left="223" w:right="218"/>
              <w:rPr>
                <w:sz w:val="16"/>
              </w:rPr>
            </w:pPr>
            <w:r>
              <w:rPr>
                <w:sz w:val="16"/>
              </w:rPr>
              <w:t>32</w:t>
            </w:r>
          </w:p>
        </w:tc>
        <w:tc>
          <w:tcPr>
            <w:tcW w:w="722" w:type="dxa"/>
            <w:tcBorders>
              <w:top w:val="single" w:sz="4" w:space="0" w:color="808080"/>
            </w:tcBorders>
          </w:tcPr>
          <w:p>
            <w:pPr>
              <w:pStyle w:val="TableParagraph"/>
              <w:spacing w:line="164" w:lineRule="exact"/>
              <w:ind w:left="219" w:right="196"/>
              <w:rPr>
                <w:sz w:val="16"/>
              </w:rPr>
            </w:pPr>
            <w:r>
              <w:rPr>
                <w:sz w:val="16"/>
              </w:rPr>
              <w:t>47</w:t>
            </w:r>
          </w:p>
        </w:tc>
        <w:tc>
          <w:tcPr>
            <w:tcW w:w="700" w:type="dxa"/>
            <w:tcBorders>
              <w:top w:val="single" w:sz="4" w:space="0" w:color="808080"/>
            </w:tcBorders>
          </w:tcPr>
          <w:p>
            <w:pPr>
              <w:pStyle w:val="TableParagraph"/>
              <w:spacing w:line="164" w:lineRule="exact"/>
              <w:ind w:left="196" w:right="196"/>
              <w:rPr>
                <w:sz w:val="16"/>
              </w:rPr>
            </w:pPr>
            <w:r>
              <w:rPr>
                <w:sz w:val="16"/>
              </w:rPr>
              <w:t>100</w:t>
            </w:r>
          </w:p>
        </w:tc>
        <w:tc>
          <w:tcPr>
            <w:tcW w:w="697" w:type="dxa"/>
            <w:tcBorders>
              <w:top w:val="single" w:sz="4" w:space="0" w:color="808080"/>
            </w:tcBorders>
          </w:tcPr>
          <w:p>
            <w:pPr>
              <w:pStyle w:val="TableParagraph"/>
              <w:spacing w:line="164" w:lineRule="exact"/>
              <w:ind w:left="197" w:right="192"/>
              <w:rPr>
                <w:sz w:val="16"/>
              </w:rPr>
            </w:pPr>
            <w:r>
              <w:rPr>
                <w:sz w:val="16"/>
              </w:rPr>
              <w:t>340</w:t>
            </w:r>
          </w:p>
        </w:tc>
        <w:tc>
          <w:tcPr>
            <w:tcW w:w="690" w:type="dxa"/>
            <w:tcBorders>
              <w:top w:val="single" w:sz="4" w:space="0" w:color="808080"/>
            </w:tcBorders>
          </w:tcPr>
          <w:p>
            <w:pPr>
              <w:pStyle w:val="TableParagraph"/>
              <w:jc w:val="left"/>
              <w:rPr>
                <w:rFonts w:ascii="Times New Roman"/>
                <w:sz w:val="12"/>
              </w:rPr>
            </w:pPr>
          </w:p>
        </w:tc>
      </w:tr>
      <w:tr>
        <w:trPr>
          <w:trHeight w:val="184" w:hRule="atLeast"/>
        </w:trPr>
        <w:tc>
          <w:tcPr>
            <w:tcW w:w="2429" w:type="dxa"/>
          </w:tcPr>
          <w:p>
            <w:pPr>
              <w:pStyle w:val="TableParagraph"/>
              <w:jc w:val="left"/>
              <w:rPr>
                <w:rFonts w:ascii="Times New Roman"/>
                <w:sz w:val="12"/>
              </w:rPr>
            </w:pPr>
          </w:p>
        </w:tc>
        <w:tc>
          <w:tcPr>
            <w:tcW w:w="704" w:type="dxa"/>
            <w:tcBorders>
              <w:right w:val="single" w:sz="4" w:space="0" w:color="000000"/>
            </w:tcBorders>
          </w:tcPr>
          <w:p>
            <w:pPr>
              <w:pStyle w:val="TableParagraph"/>
              <w:spacing w:line="164" w:lineRule="exact"/>
              <w:ind w:left="125" w:right="133"/>
              <w:rPr>
                <w:sz w:val="16"/>
              </w:rPr>
            </w:pPr>
            <w:r>
              <w:rPr>
                <w:sz w:val="16"/>
              </w:rPr>
              <w:t>1.048</w:t>
            </w:r>
          </w:p>
        </w:tc>
        <w:tc>
          <w:tcPr>
            <w:tcW w:w="546" w:type="dxa"/>
            <w:tcBorders>
              <w:left w:val="single" w:sz="4" w:space="0" w:color="000000"/>
            </w:tcBorders>
          </w:tcPr>
          <w:p>
            <w:pPr>
              <w:pStyle w:val="TableParagraph"/>
              <w:jc w:val="left"/>
              <w:rPr>
                <w:rFonts w:ascii="Times New Roman"/>
                <w:sz w:val="12"/>
              </w:rPr>
            </w:pPr>
          </w:p>
        </w:tc>
        <w:tc>
          <w:tcPr>
            <w:tcW w:w="547" w:type="dxa"/>
          </w:tcPr>
          <w:p>
            <w:pPr>
              <w:pStyle w:val="TableParagraph"/>
              <w:jc w:val="left"/>
              <w:rPr>
                <w:rFonts w:ascii="Times New Roman"/>
                <w:sz w:val="12"/>
              </w:rPr>
            </w:pPr>
          </w:p>
        </w:tc>
        <w:tc>
          <w:tcPr>
            <w:tcW w:w="531" w:type="dxa"/>
          </w:tcPr>
          <w:p>
            <w:pPr>
              <w:pStyle w:val="TableParagraph"/>
              <w:jc w:val="left"/>
              <w:rPr>
                <w:rFonts w:ascii="Times New Roman"/>
                <w:sz w:val="12"/>
              </w:rPr>
            </w:pPr>
          </w:p>
        </w:tc>
        <w:tc>
          <w:tcPr>
            <w:tcW w:w="557" w:type="dxa"/>
          </w:tcPr>
          <w:p>
            <w:pPr>
              <w:pStyle w:val="TableParagraph"/>
              <w:jc w:val="left"/>
              <w:rPr>
                <w:rFonts w:ascii="Times New Roman"/>
                <w:sz w:val="12"/>
              </w:rPr>
            </w:pPr>
          </w:p>
        </w:tc>
        <w:tc>
          <w:tcPr>
            <w:tcW w:w="587" w:type="dxa"/>
          </w:tcPr>
          <w:p>
            <w:pPr>
              <w:pStyle w:val="TableParagraph"/>
              <w:jc w:val="left"/>
              <w:rPr>
                <w:rFonts w:ascii="Times New Roman"/>
                <w:sz w:val="12"/>
              </w:rPr>
            </w:pPr>
          </w:p>
        </w:tc>
        <w:tc>
          <w:tcPr>
            <w:tcW w:w="660" w:type="dxa"/>
          </w:tcPr>
          <w:p>
            <w:pPr>
              <w:pStyle w:val="TableParagraph"/>
              <w:spacing w:line="164" w:lineRule="exact"/>
              <w:ind w:left="223" w:right="218"/>
              <w:rPr>
                <w:sz w:val="16"/>
              </w:rPr>
            </w:pPr>
            <w:r>
              <w:rPr>
                <w:sz w:val="16"/>
              </w:rPr>
              <w:t>31</w:t>
            </w:r>
          </w:p>
        </w:tc>
        <w:tc>
          <w:tcPr>
            <w:tcW w:w="722" w:type="dxa"/>
          </w:tcPr>
          <w:p>
            <w:pPr>
              <w:pStyle w:val="TableParagraph"/>
              <w:spacing w:line="164" w:lineRule="exact"/>
              <w:ind w:left="219" w:right="196"/>
              <w:rPr>
                <w:sz w:val="16"/>
              </w:rPr>
            </w:pPr>
            <w:r>
              <w:rPr>
                <w:sz w:val="16"/>
              </w:rPr>
              <w:t>40</w:t>
            </w:r>
          </w:p>
        </w:tc>
        <w:tc>
          <w:tcPr>
            <w:tcW w:w="700" w:type="dxa"/>
          </w:tcPr>
          <w:p>
            <w:pPr>
              <w:pStyle w:val="TableParagraph"/>
              <w:spacing w:line="164" w:lineRule="exact"/>
              <w:ind w:left="196" w:right="196"/>
              <w:rPr>
                <w:sz w:val="16"/>
              </w:rPr>
            </w:pPr>
            <w:r>
              <w:rPr>
                <w:sz w:val="16"/>
              </w:rPr>
              <w:t>90</w:t>
            </w:r>
          </w:p>
        </w:tc>
        <w:tc>
          <w:tcPr>
            <w:tcW w:w="697" w:type="dxa"/>
          </w:tcPr>
          <w:p>
            <w:pPr>
              <w:pStyle w:val="TableParagraph"/>
              <w:spacing w:line="164" w:lineRule="exact"/>
              <w:ind w:left="197" w:right="192"/>
              <w:rPr>
                <w:sz w:val="16"/>
              </w:rPr>
            </w:pPr>
            <w:r>
              <w:rPr>
                <w:sz w:val="16"/>
              </w:rPr>
              <w:t>310</w:t>
            </w:r>
          </w:p>
        </w:tc>
        <w:tc>
          <w:tcPr>
            <w:tcW w:w="690" w:type="dxa"/>
          </w:tcPr>
          <w:p>
            <w:pPr>
              <w:pStyle w:val="TableParagraph"/>
              <w:jc w:val="left"/>
              <w:rPr>
                <w:rFonts w:ascii="Times New Roman"/>
                <w:sz w:val="12"/>
              </w:rPr>
            </w:pPr>
          </w:p>
        </w:tc>
      </w:tr>
      <w:tr>
        <w:trPr>
          <w:trHeight w:val="182" w:hRule="atLeast"/>
        </w:trPr>
        <w:tc>
          <w:tcPr>
            <w:tcW w:w="2429" w:type="dxa"/>
            <w:tcBorders>
              <w:bottom w:val="single" w:sz="4" w:space="0" w:color="808080"/>
            </w:tcBorders>
          </w:tcPr>
          <w:p>
            <w:pPr>
              <w:pStyle w:val="TableParagraph"/>
              <w:jc w:val="left"/>
              <w:rPr>
                <w:rFonts w:ascii="Times New Roman"/>
                <w:sz w:val="12"/>
              </w:rPr>
            </w:pPr>
          </w:p>
        </w:tc>
        <w:tc>
          <w:tcPr>
            <w:tcW w:w="704" w:type="dxa"/>
            <w:tcBorders>
              <w:bottom w:val="single" w:sz="4" w:space="0" w:color="808080"/>
              <w:right w:val="single" w:sz="4" w:space="0" w:color="000000"/>
            </w:tcBorders>
          </w:tcPr>
          <w:p>
            <w:pPr>
              <w:pStyle w:val="TableParagraph"/>
              <w:spacing w:line="163" w:lineRule="exact"/>
              <w:ind w:left="125" w:right="133"/>
              <w:rPr>
                <w:sz w:val="16"/>
              </w:rPr>
            </w:pPr>
            <w:r>
              <w:rPr>
                <w:sz w:val="16"/>
              </w:rPr>
              <w:t>1.960</w:t>
            </w:r>
          </w:p>
        </w:tc>
        <w:tc>
          <w:tcPr>
            <w:tcW w:w="546" w:type="dxa"/>
            <w:tcBorders>
              <w:left w:val="single" w:sz="4" w:space="0" w:color="000000"/>
              <w:bottom w:val="single" w:sz="4" w:space="0" w:color="808080"/>
            </w:tcBorders>
          </w:tcPr>
          <w:p>
            <w:pPr>
              <w:pStyle w:val="TableParagraph"/>
              <w:jc w:val="left"/>
              <w:rPr>
                <w:rFonts w:ascii="Times New Roman"/>
                <w:sz w:val="12"/>
              </w:rPr>
            </w:pPr>
          </w:p>
        </w:tc>
        <w:tc>
          <w:tcPr>
            <w:tcW w:w="547" w:type="dxa"/>
            <w:tcBorders>
              <w:bottom w:val="single" w:sz="4" w:space="0" w:color="808080"/>
            </w:tcBorders>
          </w:tcPr>
          <w:p>
            <w:pPr>
              <w:pStyle w:val="TableParagraph"/>
              <w:jc w:val="left"/>
              <w:rPr>
                <w:rFonts w:ascii="Times New Roman"/>
                <w:sz w:val="12"/>
              </w:rPr>
            </w:pPr>
          </w:p>
        </w:tc>
        <w:tc>
          <w:tcPr>
            <w:tcW w:w="531" w:type="dxa"/>
            <w:tcBorders>
              <w:bottom w:val="single" w:sz="4" w:space="0" w:color="808080"/>
            </w:tcBorders>
          </w:tcPr>
          <w:p>
            <w:pPr>
              <w:pStyle w:val="TableParagraph"/>
              <w:jc w:val="left"/>
              <w:rPr>
                <w:rFonts w:ascii="Times New Roman"/>
                <w:sz w:val="12"/>
              </w:rPr>
            </w:pPr>
          </w:p>
        </w:tc>
        <w:tc>
          <w:tcPr>
            <w:tcW w:w="557" w:type="dxa"/>
            <w:tcBorders>
              <w:bottom w:val="single" w:sz="4" w:space="0" w:color="000000"/>
            </w:tcBorders>
          </w:tcPr>
          <w:p>
            <w:pPr>
              <w:pStyle w:val="TableParagraph"/>
              <w:jc w:val="left"/>
              <w:rPr>
                <w:rFonts w:ascii="Times New Roman"/>
                <w:sz w:val="12"/>
              </w:rPr>
            </w:pPr>
          </w:p>
        </w:tc>
        <w:tc>
          <w:tcPr>
            <w:tcW w:w="587" w:type="dxa"/>
            <w:tcBorders>
              <w:bottom w:val="single" w:sz="4" w:space="0" w:color="000000"/>
            </w:tcBorders>
          </w:tcPr>
          <w:p>
            <w:pPr>
              <w:pStyle w:val="TableParagraph"/>
              <w:jc w:val="left"/>
              <w:rPr>
                <w:rFonts w:ascii="Times New Roman"/>
                <w:sz w:val="12"/>
              </w:rPr>
            </w:pPr>
          </w:p>
        </w:tc>
        <w:tc>
          <w:tcPr>
            <w:tcW w:w="660" w:type="dxa"/>
            <w:tcBorders>
              <w:bottom w:val="single" w:sz="4" w:space="0" w:color="808080"/>
            </w:tcBorders>
          </w:tcPr>
          <w:p>
            <w:pPr>
              <w:pStyle w:val="TableParagraph"/>
              <w:spacing w:line="163" w:lineRule="exact"/>
              <w:ind w:left="223" w:right="218"/>
              <w:rPr>
                <w:sz w:val="16"/>
              </w:rPr>
            </w:pPr>
            <w:r>
              <w:rPr>
                <w:sz w:val="16"/>
              </w:rPr>
              <w:t>25</w:t>
            </w:r>
          </w:p>
        </w:tc>
        <w:tc>
          <w:tcPr>
            <w:tcW w:w="722" w:type="dxa"/>
            <w:tcBorders>
              <w:bottom w:val="single" w:sz="4" w:space="0" w:color="808080"/>
            </w:tcBorders>
          </w:tcPr>
          <w:p>
            <w:pPr>
              <w:pStyle w:val="TableParagraph"/>
              <w:spacing w:line="163" w:lineRule="exact"/>
              <w:ind w:left="219" w:right="196"/>
              <w:rPr>
                <w:sz w:val="16"/>
              </w:rPr>
            </w:pPr>
            <w:r>
              <w:rPr>
                <w:sz w:val="16"/>
              </w:rPr>
              <w:t>34</w:t>
            </w:r>
          </w:p>
        </w:tc>
        <w:tc>
          <w:tcPr>
            <w:tcW w:w="700" w:type="dxa"/>
            <w:tcBorders>
              <w:bottom w:val="single" w:sz="4" w:space="0" w:color="808080"/>
            </w:tcBorders>
          </w:tcPr>
          <w:p>
            <w:pPr>
              <w:pStyle w:val="TableParagraph"/>
              <w:spacing w:line="163" w:lineRule="exact"/>
              <w:ind w:left="196" w:right="196"/>
              <w:rPr>
                <w:sz w:val="16"/>
              </w:rPr>
            </w:pPr>
            <w:r>
              <w:rPr>
                <w:sz w:val="16"/>
              </w:rPr>
              <w:t>60</w:t>
            </w:r>
          </w:p>
        </w:tc>
        <w:tc>
          <w:tcPr>
            <w:tcW w:w="697" w:type="dxa"/>
            <w:tcBorders>
              <w:bottom w:val="single" w:sz="4" w:space="0" w:color="808080"/>
            </w:tcBorders>
          </w:tcPr>
          <w:p>
            <w:pPr>
              <w:pStyle w:val="TableParagraph"/>
              <w:spacing w:line="163" w:lineRule="exact"/>
              <w:ind w:left="197" w:right="192"/>
              <w:rPr>
                <w:sz w:val="16"/>
              </w:rPr>
            </w:pPr>
            <w:r>
              <w:rPr>
                <w:sz w:val="16"/>
              </w:rPr>
              <w:t>220</w:t>
            </w:r>
          </w:p>
        </w:tc>
        <w:tc>
          <w:tcPr>
            <w:tcW w:w="690" w:type="dxa"/>
            <w:tcBorders>
              <w:bottom w:val="single" w:sz="4" w:space="0" w:color="808080"/>
            </w:tcBorders>
          </w:tcPr>
          <w:p>
            <w:pPr>
              <w:pStyle w:val="TableParagraph"/>
              <w:jc w:val="left"/>
              <w:rPr>
                <w:rFonts w:ascii="Times New Roman"/>
                <w:sz w:val="12"/>
              </w:rPr>
            </w:pPr>
          </w:p>
        </w:tc>
      </w:tr>
      <w:tr>
        <w:trPr>
          <w:trHeight w:val="736" w:hRule="atLeast"/>
        </w:trPr>
        <w:tc>
          <w:tcPr>
            <w:tcW w:w="2429" w:type="dxa"/>
            <w:tcBorders>
              <w:top w:val="single" w:sz="4" w:space="0" w:color="808080"/>
              <w:bottom w:val="single" w:sz="4" w:space="0" w:color="808080"/>
            </w:tcBorders>
          </w:tcPr>
          <w:p>
            <w:pPr>
              <w:pStyle w:val="TableParagraph"/>
              <w:spacing w:line="183" w:lineRule="exact"/>
              <w:ind w:left="123" w:right="123"/>
              <w:rPr>
                <w:sz w:val="16"/>
              </w:rPr>
            </w:pPr>
            <w:r>
              <w:rPr>
                <w:sz w:val="16"/>
              </w:rPr>
              <w:t>200</w:t>
            </w:r>
          </w:p>
        </w:tc>
        <w:tc>
          <w:tcPr>
            <w:tcW w:w="704" w:type="dxa"/>
            <w:tcBorders>
              <w:top w:val="single" w:sz="4" w:space="0" w:color="808080"/>
              <w:bottom w:val="single" w:sz="4" w:space="0" w:color="808080"/>
              <w:right w:val="single" w:sz="4" w:space="0" w:color="000000"/>
            </w:tcBorders>
          </w:tcPr>
          <w:p>
            <w:pPr>
              <w:pStyle w:val="TableParagraph"/>
              <w:spacing w:line="182" w:lineRule="exact"/>
              <w:ind w:left="144"/>
              <w:jc w:val="left"/>
              <w:rPr>
                <w:sz w:val="16"/>
              </w:rPr>
            </w:pPr>
            <w:r>
              <w:rPr>
                <w:sz w:val="16"/>
              </w:rPr>
              <w:t>1.000</w:t>
            </w:r>
          </w:p>
          <w:p>
            <w:pPr>
              <w:pStyle w:val="TableParagraph"/>
              <w:spacing w:line="184" w:lineRule="exact"/>
              <w:ind w:left="144"/>
              <w:jc w:val="left"/>
              <w:rPr>
                <w:sz w:val="16"/>
              </w:rPr>
            </w:pPr>
            <w:r>
              <w:rPr>
                <w:sz w:val="16"/>
              </w:rPr>
              <w:t>1.400</w:t>
            </w:r>
          </w:p>
          <w:p>
            <w:pPr>
              <w:pStyle w:val="TableParagraph"/>
              <w:ind w:left="144"/>
              <w:jc w:val="left"/>
              <w:rPr>
                <w:sz w:val="16"/>
              </w:rPr>
            </w:pPr>
            <w:r>
              <w:rPr>
                <w:sz w:val="16"/>
              </w:rPr>
              <w:t>2.200</w:t>
            </w:r>
          </w:p>
          <w:p>
            <w:pPr>
              <w:pStyle w:val="TableParagraph"/>
              <w:spacing w:line="166" w:lineRule="exact"/>
              <w:ind w:left="144"/>
              <w:jc w:val="left"/>
              <w:rPr>
                <w:sz w:val="16"/>
              </w:rPr>
            </w:pPr>
            <w:r>
              <w:rPr>
                <w:sz w:val="16"/>
              </w:rPr>
              <w:t>3.600</w:t>
            </w:r>
          </w:p>
        </w:tc>
        <w:tc>
          <w:tcPr>
            <w:tcW w:w="546" w:type="dxa"/>
            <w:tcBorders>
              <w:top w:val="single" w:sz="4" w:space="0" w:color="808080"/>
              <w:left w:val="single" w:sz="4" w:space="0" w:color="000000"/>
              <w:bottom w:val="single" w:sz="4" w:space="0" w:color="808080"/>
            </w:tcBorders>
          </w:tcPr>
          <w:p>
            <w:pPr>
              <w:pStyle w:val="TableParagraph"/>
              <w:jc w:val="left"/>
              <w:rPr>
                <w:rFonts w:ascii="Times New Roman"/>
                <w:sz w:val="16"/>
              </w:rPr>
            </w:pPr>
          </w:p>
        </w:tc>
        <w:tc>
          <w:tcPr>
            <w:tcW w:w="547" w:type="dxa"/>
            <w:tcBorders>
              <w:top w:val="single" w:sz="4" w:space="0" w:color="808080"/>
              <w:bottom w:val="single" w:sz="4" w:space="0" w:color="808080"/>
            </w:tcBorders>
          </w:tcPr>
          <w:p>
            <w:pPr>
              <w:pStyle w:val="TableParagraph"/>
              <w:jc w:val="left"/>
              <w:rPr>
                <w:rFonts w:ascii="Times New Roman"/>
                <w:sz w:val="16"/>
              </w:rPr>
            </w:pPr>
          </w:p>
        </w:tc>
        <w:tc>
          <w:tcPr>
            <w:tcW w:w="531" w:type="dxa"/>
            <w:tcBorders>
              <w:top w:val="single" w:sz="4" w:space="0" w:color="808080"/>
              <w:bottom w:val="single" w:sz="4" w:space="0" w:color="808080"/>
            </w:tcBorders>
          </w:tcPr>
          <w:p>
            <w:pPr>
              <w:pStyle w:val="TableParagraph"/>
              <w:jc w:val="left"/>
              <w:rPr>
                <w:rFonts w:ascii="Times New Roman"/>
                <w:sz w:val="16"/>
              </w:rPr>
            </w:pPr>
          </w:p>
        </w:tc>
        <w:tc>
          <w:tcPr>
            <w:tcW w:w="557" w:type="dxa"/>
            <w:tcBorders>
              <w:top w:val="single" w:sz="4" w:space="0" w:color="000000"/>
              <w:bottom w:val="single" w:sz="4" w:space="0" w:color="808080"/>
            </w:tcBorders>
          </w:tcPr>
          <w:p>
            <w:pPr>
              <w:pStyle w:val="TableParagraph"/>
              <w:jc w:val="left"/>
              <w:rPr>
                <w:rFonts w:ascii="Times New Roman"/>
                <w:sz w:val="16"/>
              </w:rPr>
            </w:pPr>
          </w:p>
        </w:tc>
        <w:tc>
          <w:tcPr>
            <w:tcW w:w="587" w:type="dxa"/>
            <w:tcBorders>
              <w:top w:val="single" w:sz="4" w:space="0" w:color="000000"/>
              <w:bottom w:val="single" w:sz="4" w:space="0" w:color="808080"/>
            </w:tcBorders>
          </w:tcPr>
          <w:p>
            <w:pPr>
              <w:pStyle w:val="TableParagraph"/>
              <w:jc w:val="left"/>
              <w:rPr>
                <w:rFonts w:ascii="Times New Roman"/>
                <w:sz w:val="16"/>
              </w:rPr>
            </w:pPr>
          </w:p>
        </w:tc>
        <w:tc>
          <w:tcPr>
            <w:tcW w:w="660" w:type="dxa"/>
            <w:tcBorders>
              <w:top w:val="single" w:sz="4" w:space="0" w:color="808080"/>
              <w:bottom w:val="single" w:sz="4" w:space="0" w:color="808080"/>
            </w:tcBorders>
          </w:tcPr>
          <w:p>
            <w:pPr>
              <w:pStyle w:val="TableParagraph"/>
              <w:jc w:val="left"/>
              <w:rPr>
                <w:rFonts w:ascii="Times New Roman"/>
                <w:sz w:val="16"/>
              </w:rPr>
            </w:pPr>
          </w:p>
        </w:tc>
        <w:tc>
          <w:tcPr>
            <w:tcW w:w="722" w:type="dxa"/>
            <w:tcBorders>
              <w:top w:val="single" w:sz="4" w:space="0" w:color="808080"/>
              <w:bottom w:val="single" w:sz="4" w:space="0" w:color="808080"/>
            </w:tcBorders>
          </w:tcPr>
          <w:p>
            <w:pPr>
              <w:pStyle w:val="TableParagraph"/>
              <w:spacing w:line="182" w:lineRule="exact"/>
              <w:ind w:left="219" w:right="196"/>
              <w:rPr>
                <w:sz w:val="16"/>
              </w:rPr>
            </w:pPr>
            <w:r>
              <w:rPr>
                <w:sz w:val="16"/>
              </w:rPr>
              <w:t>28</w:t>
            </w:r>
          </w:p>
          <w:p>
            <w:pPr>
              <w:pStyle w:val="TableParagraph"/>
              <w:spacing w:line="184" w:lineRule="exact"/>
              <w:ind w:left="219" w:right="196"/>
              <w:rPr>
                <w:sz w:val="16"/>
              </w:rPr>
            </w:pPr>
            <w:r>
              <w:rPr>
                <w:sz w:val="16"/>
              </w:rPr>
              <w:t>25</w:t>
            </w:r>
          </w:p>
          <w:p>
            <w:pPr>
              <w:pStyle w:val="TableParagraph"/>
              <w:ind w:left="219" w:right="196"/>
              <w:rPr>
                <w:sz w:val="16"/>
              </w:rPr>
            </w:pPr>
            <w:r>
              <w:rPr>
                <w:sz w:val="16"/>
              </w:rPr>
              <w:t>19</w:t>
            </w:r>
          </w:p>
          <w:p>
            <w:pPr>
              <w:pStyle w:val="TableParagraph"/>
              <w:spacing w:line="166" w:lineRule="exact"/>
              <w:ind w:left="219" w:right="196"/>
              <w:rPr>
                <w:sz w:val="16"/>
              </w:rPr>
            </w:pPr>
            <w:r>
              <w:rPr>
                <w:sz w:val="16"/>
              </w:rPr>
              <w:t>18</w:t>
            </w:r>
          </w:p>
        </w:tc>
        <w:tc>
          <w:tcPr>
            <w:tcW w:w="700" w:type="dxa"/>
            <w:tcBorders>
              <w:top w:val="single" w:sz="4" w:space="0" w:color="808080"/>
              <w:bottom w:val="single" w:sz="4" w:space="0" w:color="808080"/>
            </w:tcBorders>
          </w:tcPr>
          <w:p>
            <w:pPr>
              <w:pStyle w:val="TableParagraph"/>
              <w:spacing w:line="182" w:lineRule="exact"/>
              <w:ind w:left="196" w:right="196"/>
              <w:rPr>
                <w:sz w:val="16"/>
              </w:rPr>
            </w:pPr>
            <w:r>
              <w:rPr>
                <w:sz w:val="16"/>
              </w:rPr>
              <w:t>37</w:t>
            </w:r>
          </w:p>
          <w:p>
            <w:pPr>
              <w:pStyle w:val="TableParagraph"/>
              <w:spacing w:line="184" w:lineRule="exact"/>
              <w:ind w:left="196" w:right="196"/>
              <w:rPr>
                <w:sz w:val="16"/>
              </w:rPr>
            </w:pPr>
            <w:r>
              <w:rPr>
                <w:sz w:val="16"/>
              </w:rPr>
              <w:t>30</w:t>
            </w:r>
          </w:p>
          <w:p>
            <w:pPr>
              <w:pStyle w:val="TableParagraph"/>
              <w:ind w:left="196" w:right="196"/>
              <w:rPr>
                <w:sz w:val="16"/>
              </w:rPr>
            </w:pPr>
            <w:r>
              <w:rPr>
                <w:sz w:val="16"/>
              </w:rPr>
              <w:t>22</w:t>
            </w:r>
          </w:p>
          <w:p>
            <w:pPr>
              <w:pStyle w:val="TableParagraph"/>
              <w:spacing w:line="166" w:lineRule="exact"/>
              <w:ind w:left="196" w:right="196"/>
              <w:rPr>
                <w:sz w:val="16"/>
              </w:rPr>
            </w:pPr>
            <w:r>
              <w:rPr>
                <w:sz w:val="16"/>
              </w:rPr>
              <w:t>20</w:t>
            </w:r>
          </w:p>
        </w:tc>
        <w:tc>
          <w:tcPr>
            <w:tcW w:w="697" w:type="dxa"/>
            <w:tcBorders>
              <w:top w:val="single" w:sz="4" w:space="0" w:color="808080"/>
              <w:bottom w:val="single" w:sz="4" w:space="0" w:color="808080"/>
            </w:tcBorders>
          </w:tcPr>
          <w:p>
            <w:pPr>
              <w:pStyle w:val="TableParagraph"/>
              <w:spacing w:line="182" w:lineRule="exact"/>
              <w:ind w:left="217"/>
              <w:jc w:val="left"/>
              <w:rPr>
                <w:sz w:val="16"/>
              </w:rPr>
            </w:pPr>
            <w:r>
              <w:rPr>
                <w:sz w:val="16"/>
              </w:rPr>
              <w:t>202</w:t>
            </w:r>
          </w:p>
          <w:p>
            <w:pPr>
              <w:pStyle w:val="TableParagraph"/>
              <w:spacing w:line="184" w:lineRule="exact"/>
              <w:ind w:left="217"/>
              <w:jc w:val="left"/>
              <w:rPr>
                <w:sz w:val="16"/>
              </w:rPr>
            </w:pPr>
            <w:r>
              <w:rPr>
                <w:sz w:val="16"/>
              </w:rPr>
              <w:t>185</w:t>
            </w:r>
          </w:p>
          <w:p>
            <w:pPr>
              <w:pStyle w:val="TableParagraph"/>
              <w:ind w:left="217"/>
              <w:jc w:val="left"/>
              <w:rPr>
                <w:sz w:val="16"/>
              </w:rPr>
            </w:pPr>
            <w:r>
              <w:rPr>
                <w:sz w:val="16"/>
              </w:rPr>
              <w:t>157</w:t>
            </w:r>
          </w:p>
          <w:p>
            <w:pPr>
              <w:pStyle w:val="TableParagraph"/>
              <w:spacing w:line="166" w:lineRule="exact"/>
              <w:ind w:left="217"/>
              <w:jc w:val="left"/>
              <w:rPr>
                <w:sz w:val="16"/>
              </w:rPr>
            </w:pPr>
            <w:r>
              <w:rPr>
                <w:sz w:val="16"/>
              </w:rPr>
              <w:t>150</w:t>
            </w:r>
          </w:p>
        </w:tc>
        <w:tc>
          <w:tcPr>
            <w:tcW w:w="690" w:type="dxa"/>
            <w:tcBorders>
              <w:top w:val="single" w:sz="4" w:space="0" w:color="808080"/>
              <w:bottom w:val="single" w:sz="4" w:space="0" w:color="808080"/>
            </w:tcBorders>
          </w:tcPr>
          <w:p>
            <w:pPr>
              <w:pStyle w:val="TableParagraph"/>
              <w:spacing w:line="182" w:lineRule="exact"/>
              <w:ind w:left="214"/>
              <w:jc w:val="left"/>
              <w:rPr>
                <w:sz w:val="16"/>
              </w:rPr>
            </w:pPr>
            <w:r>
              <w:rPr>
                <w:sz w:val="16"/>
              </w:rPr>
              <w:t>380</w:t>
            </w:r>
          </w:p>
          <w:p>
            <w:pPr>
              <w:pStyle w:val="TableParagraph"/>
              <w:spacing w:line="184" w:lineRule="exact"/>
              <w:ind w:left="214"/>
              <w:jc w:val="left"/>
              <w:rPr>
                <w:sz w:val="16"/>
              </w:rPr>
            </w:pPr>
            <w:r>
              <w:rPr>
                <w:sz w:val="16"/>
              </w:rPr>
              <w:t>360</w:t>
            </w:r>
          </w:p>
          <w:p>
            <w:pPr>
              <w:pStyle w:val="TableParagraph"/>
              <w:ind w:left="214"/>
              <w:jc w:val="left"/>
              <w:rPr>
                <w:sz w:val="16"/>
              </w:rPr>
            </w:pPr>
            <w:r>
              <w:rPr>
                <w:sz w:val="16"/>
              </w:rPr>
              <w:t>330</w:t>
            </w:r>
          </w:p>
          <w:p>
            <w:pPr>
              <w:pStyle w:val="TableParagraph"/>
              <w:spacing w:line="166" w:lineRule="exact"/>
              <w:ind w:left="214"/>
              <w:jc w:val="left"/>
              <w:rPr>
                <w:sz w:val="16"/>
              </w:rPr>
            </w:pPr>
            <w:r>
              <w:rPr>
                <w:sz w:val="16"/>
              </w:rPr>
              <w:t>250</w:t>
            </w:r>
          </w:p>
        </w:tc>
      </w:tr>
      <w:tr>
        <w:trPr>
          <w:trHeight w:val="551" w:hRule="atLeast"/>
        </w:trPr>
        <w:tc>
          <w:tcPr>
            <w:tcW w:w="2429" w:type="dxa"/>
            <w:tcBorders>
              <w:top w:val="single" w:sz="4" w:space="0" w:color="808080"/>
              <w:bottom w:val="single" w:sz="4" w:space="0" w:color="808080"/>
            </w:tcBorders>
          </w:tcPr>
          <w:p>
            <w:pPr>
              <w:pStyle w:val="TableParagraph"/>
              <w:spacing w:line="181" w:lineRule="exact"/>
              <w:ind w:left="123" w:right="123"/>
              <w:rPr>
                <w:sz w:val="16"/>
              </w:rPr>
            </w:pPr>
            <w:r>
              <w:rPr>
                <w:sz w:val="16"/>
              </w:rPr>
              <w:t>250</w:t>
            </w:r>
          </w:p>
        </w:tc>
        <w:tc>
          <w:tcPr>
            <w:tcW w:w="704" w:type="dxa"/>
            <w:tcBorders>
              <w:top w:val="single" w:sz="4" w:space="0" w:color="808080"/>
              <w:bottom w:val="single" w:sz="4" w:space="0" w:color="808080"/>
              <w:right w:val="single" w:sz="4" w:space="0" w:color="000000"/>
            </w:tcBorders>
          </w:tcPr>
          <w:p>
            <w:pPr>
              <w:pStyle w:val="TableParagraph"/>
              <w:spacing w:line="181" w:lineRule="exact"/>
              <w:ind w:left="144"/>
              <w:jc w:val="left"/>
              <w:rPr>
                <w:sz w:val="16"/>
              </w:rPr>
            </w:pPr>
            <w:r>
              <w:rPr>
                <w:sz w:val="16"/>
              </w:rPr>
              <w:t>2.500</w:t>
            </w:r>
          </w:p>
          <w:p>
            <w:pPr>
              <w:pStyle w:val="TableParagraph"/>
              <w:spacing w:line="184" w:lineRule="exact" w:before="1"/>
              <w:ind w:left="144"/>
              <w:jc w:val="left"/>
              <w:rPr>
                <w:sz w:val="16"/>
              </w:rPr>
            </w:pPr>
            <w:r>
              <w:rPr>
                <w:sz w:val="16"/>
              </w:rPr>
              <w:t>3.800</w:t>
            </w:r>
          </w:p>
          <w:p>
            <w:pPr>
              <w:pStyle w:val="TableParagraph"/>
              <w:spacing w:line="166" w:lineRule="exact"/>
              <w:ind w:left="144"/>
              <w:jc w:val="left"/>
              <w:rPr>
                <w:sz w:val="16"/>
              </w:rPr>
            </w:pPr>
            <w:r>
              <w:rPr>
                <w:sz w:val="16"/>
              </w:rPr>
              <w:t>5.600</w:t>
            </w:r>
          </w:p>
        </w:tc>
        <w:tc>
          <w:tcPr>
            <w:tcW w:w="546" w:type="dxa"/>
            <w:tcBorders>
              <w:top w:val="single" w:sz="4" w:space="0" w:color="808080"/>
              <w:left w:val="single" w:sz="4" w:space="0" w:color="000000"/>
              <w:bottom w:val="single" w:sz="4" w:space="0" w:color="808080"/>
            </w:tcBorders>
          </w:tcPr>
          <w:p>
            <w:pPr>
              <w:pStyle w:val="TableParagraph"/>
              <w:jc w:val="left"/>
              <w:rPr>
                <w:rFonts w:ascii="Times New Roman"/>
                <w:sz w:val="16"/>
              </w:rPr>
            </w:pPr>
          </w:p>
        </w:tc>
        <w:tc>
          <w:tcPr>
            <w:tcW w:w="547" w:type="dxa"/>
            <w:tcBorders>
              <w:top w:val="single" w:sz="4" w:space="0" w:color="808080"/>
              <w:bottom w:val="single" w:sz="4" w:space="0" w:color="808080"/>
            </w:tcBorders>
          </w:tcPr>
          <w:p>
            <w:pPr>
              <w:pStyle w:val="TableParagraph"/>
              <w:jc w:val="left"/>
              <w:rPr>
                <w:rFonts w:ascii="Times New Roman"/>
                <w:sz w:val="16"/>
              </w:rPr>
            </w:pPr>
          </w:p>
        </w:tc>
        <w:tc>
          <w:tcPr>
            <w:tcW w:w="531" w:type="dxa"/>
            <w:tcBorders>
              <w:top w:val="single" w:sz="4" w:space="0" w:color="808080"/>
              <w:bottom w:val="single" w:sz="4" w:space="0" w:color="808080"/>
            </w:tcBorders>
          </w:tcPr>
          <w:p>
            <w:pPr>
              <w:pStyle w:val="TableParagraph"/>
              <w:jc w:val="left"/>
              <w:rPr>
                <w:rFonts w:ascii="Times New Roman"/>
                <w:sz w:val="16"/>
              </w:rPr>
            </w:pPr>
          </w:p>
        </w:tc>
        <w:tc>
          <w:tcPr>
            <w:tcW w:w="557" w:type="dxa"/>
            <w:tcBorders>
              <w:top w:val="single" w:sz="4" w:space="0" w:color="808080"/>
              <w:bottom w:val="single" w:sz="4" w:space="0" w:color="808080"/>
            </w:tcBorders>
          </w:tcPr>
          <w:p>
            <w:pPr>
              <w:pStyle w:val="TableParagraph"/>
              <w:jc w:val="left"/>
              <w:rPr>
                <w:rFonts w:ascii="Times New Roman"/>
                <w:sz w:val="16"/>
              </w:rPr>
            </w:pPr>
          </w:p>
        </w:tc>
        <w:tc>
          <w:tcPr>
            <w:tcW w:w="587" w:type="dxa"/>
            <w:tcBorders>
              <w:top w:val="single" w:sz="4" w:space="0" w:color="808080"/>
              <w:bottom w:val="single" w:sz="4" w:space="0" w:color="808080"/>
            </w:tcBorders>
          </w:tcPr>
          <w:p>
            <w:pPr>
              <w:pStyle w:val="TableParagraph"/>
              <w:jc w:val="left"/>
              <w:rPr>
                <w:rFonts w:ascii="Times New Roman"/>
                <w:sz w:val="16"/>
              </w:rPr>
            </w:pPr>
          </w:p>
        </w:tc>
        <w:tc>
          <w:tcPr>
            <w:tcW w:w="660" w:type="dxa"/>
            <w:tcBorders>
              <w:top w:val="single" w:sz="4" w:space="0" w:color="808080"/>
              <w:bottom w:val="single" w:sz="4" w:space="0" w:color="808080"/>
            </w:tcBorders>
          </w:tcPr>
          <w:p>
            <w:pPr>
              <w:pStyle w:val="TableParagraph"/>
              <w:jc w:val="left"/>
              <w:rPr>
                <w:rFonts w:ascii="Times New Roman"/>
                <w:sz w:val="16"/>
              </w:rPr>
            </w:pPr>
          </w:p>
        </w:tc>
        <w:tc>
          <w:tcPr>
            <w:tcW w:w="722" w:type="dxa"/>
            <w:tcBorders>
              <w:top w:val="single" w:sz="4" w:space="0" w:color="808080"/>
              <w:bottom w:val="single" w:sz="4" w:space="0" w:color="808080"/>
            </w:tcBorders>
          </w:tcPr>
          <w:p>
            <w:pPr>
              <w:pStyle w:val="TableParagraph"/>
              <w:spacing w:line="181" w:lineRule="exact"/>
              <w:ind w:left="219" w:right="196"/>
              <w:rPr>
                <w:sz w:val="16"/>
              </w:rPr>
            </w:pPr>
            <w:r>
              <w:rPr>
                <w:sz w:val="16"/>
              </w:rPr>
              <w:t>10</w:t>
            </w:r>
          </w:p>
        </w:tc>
        <w:tc>
          <w:tcPr>
            <w:tcW w:w="700" w:type="dxa"/>
            <w:tcBorders>
              <w:top w:val="single" w:sz="4" w:space="0" w:color="808080"/>
              <w:bottom w:val="single" w:sz="4" w:space="0" w:color="808080"/>
            </w:tcBorders>
          </w:tcPr>
          <w:p>
            <w:pPr>
              <w:pStyle w:val="TableParagraph"/>
              <w:spacing w:line="181" w:lineRule="exact"/>
              <w:ind w:left="196" w:right="196"/>
              <w:rPr>
                <w:sz w:val="16"/>
              </w:rPr>
            </w:pPr>
            <w:r>
              <w:rPr>
                <w:sz w:val="16"/>
              </w:rPr>
              <w:t>18</w:t>
            </w:r>
          </w:p>
          <w:p>
            <w:pPr>
              <w:pStyle w:val="TableParagraph"/>
              <w:spacing w:line="184" w:lineRule="exact" w:before="1"/>
              <w:ind w:left="196" w:right="196"/>
              <w:rPr>
                <w:sz w:val="16"/>
              </w:rPr>
            </w:pPr>
            <w:r>
              <w:rPr>
                <w:sz w:val="16"/>
              </w:rPr>
              <w:t>16</w:t>
            </w:r>
          </w:p>
          <w:p>
            <w:pPr>
              <w:pStyle w:val="TableParagraph"/>
              <w:spacing w:line="166" w:lineRule="exact"/>
              <w:ind w:left="196" w:right="196"/>
              <w:rPr>
                <w:sz w:val="16"/>
              </w:rPr>
            </w:pPr>
            <w:r>
              <w:rPr>
                <w:sz w:val="16"/>
              </w:rPr>
              <w:t>14</w:t>
            </w:r>
          </w:p>
        </w:tc>
        <w:tc>
          <w:tcPr>
            <w:tcW w:w="697" w:type="dxa"/>
            <w:tcBorders>
              <w:top w:val="single" w:sz="4" w:space="0" w:color="808080"/>
              <w:bottom w:val="single" w:sz="4" w:space="0" w:color="808080"/>
            </w:tcBorders>
          </w:tcPr>
          <w:p>
            <w:pPr>
              <w:pStyle w:val="TableParagraph"/>
              <w:spacing w:line="181" w:lineRule="exact"/>
              <w:ind w:left="197" w:right="192"/>
              <w:rPr>
                <w:sz w:val="16"/>
              </w:rPr>
            </w:pPr>
            <w:r>
              <w:rPr>
                <w:sz w:val="16"/>
              </w:rPr>
              <w:t>75</w:t>
            </w:r>
          </w:p>
          <w:p>
            <w:pPr>
              <w:pStyle w:val="TableParagraph"/>
              <w:spacing w:line="184" w:lineRule="exact" w:before="1"/>
              <w:ind w:left="197" w:right="192"/>
              <w:rPr>
                <w:sz w:val="16"/>
              </w:rPr>
            </w:pPr>
            <w:r>
              <w:rPr>
                <w:sz w:val="16"/>
              </w:rPr>
              <w:t>40</w:t>
            </w:r>
          </w:p>
          <w:p>
            <w:pPr>
              <w:pStyle w:val="TableParagraph"/>
              <w:spacing w:line="166" w:lineRule="exact"/>
              <w:ind w:left="197" w:right="192"/>
              <w:rPr>
                <w:sz w:val="16"/>
              </w:rPr>
            </w:pPr>
            <w:r>
              <w:rPr>
                <w:sz w:val="16"/>
              </w:rPr>
              <w:t>25</w:t>
            </w:r>
          </w:p>
        </w:tc>
        <w:tc>
          <w:tcPr>
            <w:tcW w:w="690" w:type="dxa"/>
            <w:tcBorders>
              <w:top w:val="single" w:sz="4" w:space="0" w:color="808080"/>
              <w:bottom w:val="single" w:sz="4" w:space="0" w:color="808080"/>
            </w:tcBorders>
          </w:tcPr>
          <w:p>
            <w:pPr>
              <w:pStyle w:val="TableParagraph"/>
              <w:spacing w:line="181" w:lineRule="exact"/>
              <w:ind w:left="194" w:right="189"/>
              <w:rPr>
                <w:sz w:val="16"/>
              </w:rPr>
            </w:pPr>
            <w:r>
              <w:rPr>
                <w:sz w:val="16"/>
              </w:rPr>
              <w:t>150</w:t>
            </w:r>
          </w:p>
          <w:p>
            <w:pPr>
              <w:pStyle w:val="TableParagraph"/>
              <w:spacing w:line="184" w:lineRule="exact" w:before="1"/>
              <w:ind w:left="194" w:right="189"/>
              <w:rPr>
                <w:sz w:val="16"/>
              </w:rPr>
            </w:pPr>
            <w:r>
              <w:rPr>
                <w:sz w:val="16"/>
              </w:rPr>
              <w:t>105</w:t>
            </w:r>
          </w:p>
          <w:p>
            <w:pPr>
              <w:pStyle w:val="TableParagraph"/>
              <w:spacing w:line="166" w:lineRule="exact"/>
              <w:ind w:left="194" w:right="189"/>
              <w:rPr>
                <w:sz w:val="16"/>
              </w:rPr>
            </w:pPr>
            <w:r>
              <w:rPr>
                <w:sz w:val="16"/>
              </w:rPr>
              <w:t>75</w:t>
            </w:r>
          </w:p>
        </w:tc>
      </w:tr>
      <w:tr>
        <w:trPr>
          <w:trHeight w:val="185" w:hRule="atLeast"/>
        </w:trPr>
        <w:tc>
          <w:tcPr>
            <w:tcW w:w="2429" w:type="dxa"/>
            <w:tcBorders>
              <w:top w:val="single" w:sz="4" w:space="0" w:color="808080"/>
            </w:tcBorders>
          </w:tcPr>
          <w:p>
            <w:pPr>
              <w:pStyle w:val="TableParagraph"/>
              <w:spacing w:line="165" w:lineRule="exact"/>
              <w:ind w:left="123" w:right="123"/>
              <w:rPr>
                <w:sz w:val="16"/>
              </w:rPr>
            </w:pPr>
            <w:r>
              <w:rPr>
                <w:sz w:val="16"/>
              </w:rPr>
              <w:t>315</w:t>
            </w:r>
          </w:p>
        </w:tc>
        <w:tc>
          <w:tcPr>
            <w:tcW w:w="704" w:type="dxa"/>
            <w:tcBorders>
              <w:top w:val="single" w:sz="4" w:space="0" w:color="808080"/>
              <w:right w:val="single" w:sz="4" w:space="0" w:color="000000"/>
            </w:tcBorders>
          </w:tcPr>
          <w:p>
            <w:pPr>
              <w:pStyle w:val="TableParagraph"/>
              <w:spacing w:line="165" w:lineRule="exact"/>
              <w:ind w:left="125" w:right="133"/>
              <w:rPr>
                <w:sz w:val="16"/>
              </w:rPr>
            </w:pPr>
            <w:r>
              <w:rPr>
                <w:sz w:val="16"/>
              </w:rPr>
              <w:t>4.450</w:t>
            </w:r>
          </w:p>
        </w:tc>
        <w:tc>
          <w:tcPr>
            <w:tcW w:w="546" w:type="dxa"/>
            <w:tcBorders>
              <w:top w:val="single" w:sz="4" w:space="0" w:color="808080"/>
              <w:left w:val="single" w:sz="4" w:space="0" w:color="000000"/>
            </w:tcBorders>
          </w:tcPr>
          <w:p>
            <w:pPr>
              <w:pStyle w:val="TableParagraph"/>
              <w:jc w:val="left"/>
              <w:rPr>
                <w:rFonts w:ascii="Times New Roman"/>
                <w:sz w:val="12"/>
              </w:rPr>
            </w:pPr>
          </w:p>
        </w:tc>
        <w:tc>
          <w:tcPr>
            <w:tcW w:w="547" w:type="dxa"/>
            <w:tcBorders>
              <w:top w:val="single" w:sz="4" w:space="0" w:color="808080"/>
            </w:tcBorders>
          </w:tcPr>
          <w:p>
            <w:pPr>
              <w:pStyle w:val="TableParagraph"/>
              <w:jc w:val="left"/>
              <w:rPr>
                <w:rFonts w:ascii="Times New Roman"/>
                <w:sz w:val="12"/>
              </w:rPr>
            </w:pPr>
          </w:p>
        </w:tc>
        <w:tc>
          <w:tcPr>
            <w:tcW w:w="531" w:type="dxa"/>
            <w:tcBorders>
              <w:top w:val="single" w:sz="4" w:space="0" w:color="808080"/>
            </w:tcBorders>
          </w:tcPr>
          <w:p>
            <w:pPr>
              <w:pStyle w:val="TableParagraph"/>
              <w:jc w:val="left"/>
              <w:rPr>
                <w:rFonts w:ascii="Times New Roman"/>
                <w:sz w:val="12"/>
              </w:rPr>
            </w:pPr>
          </w:p>
        </w:tc>
        <w:tc>
          <w:tcPr>
            <w:tcW w:w="557" w:type="dxa"/>
            <w:tcBorders>
              <w:top w:val="single" w:sz="4" w:space="0" w:color="808080"/>
            </w:tcBorders>
          </w:tcPr>
          <w:p>
            <w:pPr>
              <w:pStyle w:val="TableParagraph"/>
              <w:jc w:val="left"/>
              <w:rPr>
                <w:rFonts w:ascii="Times New Roman"/>
                <w:sz w:val="12"/>
              </w:rPr>
            </w:pPr>
          </w:p>
        </w:tc>
        <w:tc>
          <w:tcPr>
            <w:tcW w:w="587" w:type="dxa"/>
            <w:tcBorders>
              <w:top w:val="single" w:sz="4" w:space="0" w:color="808080"/>
            </w:tcBorders>
          </w:tcPr>
          <w:p>
            <w:pPr>
              <w:pStyle w:val="TableParagraph"/>
              <w:jc w:val="left"/>
              <w:rPr>
                <w:rFonts w:ascii="Times New Roman"/>
                <w:sz w:val="12"/>
              </w:rPr>
            </w:pPr>
          </w:p>
        </w:tc>
        <w:tc>
          <w:tcPr>
            <w:tcW w:w="660" w:type="dxa"/>
            <w:tcBorders>
              <w:top w:val="single" w:sz="4" w:space="0" w:color="808080"/>
            </w:tcBorders>
          </w:tcPr>
          <w:p>
            <w:pPr>
              <w:pStyle w:val="TableParagraph"/>
              <w:jc w:val="left"/>
              <w:rPr>
                <w:rFonts w:ascii="Times New Roman"/>
                <w:sz w:val="12"/>
              </w:rPr>
            </w:pPr>
          </w:p>
        </w:tc>
        <w:tc>
          <w:tcPr>
            <w:tcW w:w="722" w:type="dxa"/>
            <w:tcBorders>
              <w:top w:val="single" w:sz="4" w:space="0" w:color="808080"/>
            </w:tcBorders>
          </w:tcPr>
          <w:p>
            <w:pPr>
              <w:pStyle w:val="TableParagraph"/>
              <w:jc w:val="left"/>
              <w:rPr>
                <w:rFonts w:ascii="Times New Roman"/>
                <w:sz w:val="12"/>
              </w:rPr>
            </w:pPr>
          </w:p>
        </w:tc>
        <w:tc>
          <w:tcPr>
            <w:tcW w:w="700" w:type="dxa"/>
            <w:tcBorders>
              <w:top w:val="single" w:sz="4" w:space="0" w:color="808080"/>
            </w:tcBorders>
          </w:tcPr>
          <w:p>
            <w:pPr>
              <w:pStyle w:val="TableParagraph"/>
              <w:spacing w:line="165" w:lineRule="exact"/>
              <w:rPr>
                <w:sz w:val="16"/>
              </w:rPr>
            </w:pPr>
            <w:r>
              <w:rPr>
                <w:w w:val="99"/>
                <w:sz w:val="16"/>
              </w:rPr>
              <w:t>7</w:t>
            </w:r>
          </w:p>
        </w:tc>
        <w:tc>
          <w:tcPr>
            <w:tcW w:w="697" w:type="dxa"/>
            <w:tcBorders>
              <w:top w:val="single" w:sz="4" w:space="0" w:color="808080"/>
            </w:tcBorders>
          </w:tcPr>
          <w:p>
            <w:pPr>
              <w:pStyle w:val="TableParagraph"/>
              <w:spacing w:line="165" w:lineRule="exact"/>
              <w:ind w:left="4"/>
              <w:rPr>
                <w:sz w:val="16"/>
              </w:rPr>
            </w:pPr>
            <w:r>
              <w:rPr>
                <w:w w:val="99"/>
                <w:sz w:val="16"/>
              </w:rPr>
              <w:t>8</w:t>
            </w:r>
          </w:p>
        </w:tc>
        <w:tc>
          <w:tcPr>
            <w:tcW w:w="690" w:type="dxa"/>
            <w:tcBorders>
              <w:top w:val="single" w:sz="4" w:space="0" w:color="808080"/>
            </w:tcBorders>
          </w:tcPr>
          <w:p>
            <w:pPr>
              <w:pStyle w:val="TableParagraph"/>
              <w:spacing w:line="165" w:lineRule="exact"/>
              <w:ind w:left="258"/>
              <w:jc w:val="left"/>
              <w:rPr>
                <w:sz w:val="16"/>
              </w:rPr>
            </w:pPr>
            <w:r>
              <w:rPr>
                <w:sz w:val="16"/>
              </w:rPr>
              <w:t>15</w:t>
            </w:r>
          </w:p>
        </w:tc>
      </w:tr>
      <w:tr>
        <w:trPr>
          <w:trHeight w:val="183" w:hRule="atLeast"/>
        </w:trPr>
        <w:tc>
          <w:tcPr>
            <w:tcW w:w="2429" w:type="dxa"/>
          </w:tcPr>
          <w:p>
            <w:pPr>
              <w:pStyle w:val="TableParagraph"/>
              <w:jc w:val="left"/>
              <w:rPr>
                <w:rFonts w:ascii="Times New Roman"/>
                <w:sz w:val="12"/>
              </w:rPr>
            </w:pPr>
          </w:p>
        </w:tc>
        <w:tc>
          <w:tcPr>
            <w:tcW w:w="704" w:type="dxa"/>
            <w:tcBorders>
              <w:right w:val="single" w:sz="4" w:space="0" w:color="000000"/>
            </w:tcBorders>
          </w:tcPr>
          <w:p>
            <w:pPr>
              <w:pStyle w:val="TableParagraph"/>
              <w:spacing w:line="164" w:lineRule="exact"/>
              <w:ind w:left="125" w:right="133"/>
              <w:rPr>
                <w:sz w:val="16"/>
              </w:rPr>
            </w:pPr>
            <w:r>
              <w:rPr>
                <w:sz w:val="16"/>
              </w:rPr>
              <w:t>6.508</w:t>
            </w:r>
          </w:p>
        </w:tc>
        <w:tc>
          <w:tcPr>
            <w:tcW w:w="546" w:type="dxa"/>
            <w:tcBorders>
              <w:left w:val="single" w:sz="4" w:space="0" w:color="000000"/>
            </w:tcBorders>
          </w:tcPr>
          <w:p>
            <w:pPr>
              <w:pStyle w:val="TableParagraph"/>
              <w:jc w:val="left"/>
              <w:rPr>
                <w:rFonts w:ascii="Times New Roman"/>
                <w:sz w:val="12"/>
              </w:rPr>
            </w:pPr>
          </w:p>
        </w:tc>
        <w:tc>
          <w:tcPr>
            <w:tcW w:w="547" w:type="dxa"/>
          </w:tcPr>
          <w:p>
            <w:pPr>
              <w:pStyle w:val="TableParagraph"/>
              <w:jc w:val="left"/>
              <w:rPr>
                <w:rFonts w:ascii="Times New Roman"/>
                <w:sz w:val="12"/>
              </w:rPr>
            </w:pPr>
          </w:p>
        </w:tc>
        <w:tc>
          <w:tcPr>
            <w:tcW w:w="531" w:type="dxa"/>
          </w:tcPr>
          <w:p>
            <w:pPr>
              <w:pStyle w:val="TableParagraph"/>
              <w:jc w:val="left"/>
              <w:rPr>
                <w:rFonts w:ascii="Times New Roman"/>
                <w:sz w:val="12"/>
              </w:rPr>
            </w:pPr>
          </w:p>
        </w:tc>
        <w:tc>
          <w:tcPr>
            <w:tcW w:w="557" w:type="dxa"/>
          </w:tcPr>
          <w:p>
            <w:pPr>
              <w:pStyle w:val="TableParagraph"/>
              <w:jc w:val="left"/>
              <w:rPr>
                <w:rFonts w:ascii="Times New Roman"/>
                <w:sz w:val="12"/>
              </w:rPr>
            </w:pPr>
          </w:p>
        </w:tc>
        <w:tc>
          <w:tcPr>
            <w:tcW w:w="587" w:type="dxa"/>
          </w:tcPr>
          <w:p>
            <w:pPr>
              <w:pStyle w:val="TableParagraph"/>
              <w:jc w:val="left"/>
              <w:rPr>
                <w:rFonts w:ascii="Times New Roman"/>
                <w:sz w:val="12"/>
              </w:rPr>
            </w:pPr>
          </w:p>
        </w:tc>
        <w:tc>
          <w:tcPr>
            <w:tcW w:w="660" w:type="dxa"/>
          </w:tcPr>
          <w:p>
            <w:pPr>
              <w:pStyle w:val="TableParagraph"/>
              <w:jc w:val="left"/>
              <w:rPr>
                <w:rFonts w:ascii="Times New Roman"/>
                <w:sz w:val="12"/>
              </w:rPr>
            </w:pPr>
          </w:p>
        </w:tc>
        <w:tc>
          <w:tcPr>
            <w:tcW w:w="722" w:type="dxa"/>
          </w:tcPr>
          <w:p>
            <w:pPr>
              <w:pStyle w:val="TableParagraph"/>
              <w:jc w:val="left"/>
              <w:rPr>
                <w:rFonts w:ascii="Times New Roman"/>
                <w:sz w:val="12"/>
              </w:rPr>
            </w:pPr>
          </w:p>
        </w:tc>
        <w:tc>
          <w:tcPr>
            <w:tcW w:w="700" w:type="dxa"/>
          </w:tcPr>
          <w:p>
            <w:pPr>
              <w:pStyle w:val="TableParagraph"/>
              <w:spacing w:line="164" w:lineRule="exact"/>
              <w:rPr>
                <w:sz w:val="16"/>
              </w:rPr>
            </w:pPr>
            <w:r>
              <w:rPr>
                <w:w w:val="99"/>
                <w:sz w:val="16"/>
              </w:rPr>
              <w:t>6</w:t>
            </w:r>
          </w:p>
        </w:tc>
        <w:tc>
          <w:tcPr>
            <w:tcW w:w="697" w:type="dxa"/>
          </w:tcPr>
          <w:p>
            <w:pPr>
              <w:pStyle w:val="TableParagraph"/>
              <w:spacing w:line="164" w:lineRule="exact"/>
              <w:ind w:left="4"/>
              <w:rPr>
                <w:sz w:val="16"/>
              </w:rPr>
            </w:pPr>
            <w:r>
              <w:rPr>
                <w:w w:val="99"/>
                <w:sz w:val="16"/>
              </w:rPr>
              <w:t>7</w:t>
            </w:r>
          </w:p>
        </w:tc>
        <w:tc>
          <w:tcPr>
            <w:tcW w:w="690" w:type="dxa"/>
          </w:tcPr>
          <w:p>
            <w:pPr>
              <w:pStyle w:val="TableParagraph"/>
              <w:spacing w:line="164" w:lineRule="exact"/>
              <w:ind w:left="258"/>
              <w:jc w:val="left"/>
              <w:rPr>
                <w:sz w:val="16"/>
              </w:rPr>
            </w:pPr>
            <w:r>
              <w:rPr>
                <w:sz w:val="16"/>
              </w:rPr>
              <w:t>12</w:t>
            </w:r>
          </w:p>
        </w:tc>
      </w:tr>
      <w:tr>
        <w:trPr>
          <w:trHeight w:val="184" w:hRule="atLeast"/>
        </w:trPr>
        <w:tc>
          <w:tcPr>
            <w:tcW w:w="2429" w:type="dxa"/>
            <w:tcBorders>
              <w:bottom w:val="single" w:sz="4" w:space="0" w:color="000000"/>
            </w:tcBorders>
          </w:tcPr>
          <w:p>
            <w:pPr>
              <w:pStyle w:val="TableParagraph"/>
              <w:jc w:val="left"/>
              <w:rPr>
                <w:rFonts w:ascii="Times New Roman"/>
                <w:sz w:val="12"/>
              </w:rPr>
            </w:pPr>
          </w:p>
        </w:tc>
        <w:tc>
          <w:tcPr>
            <w:tcW w:w="704" w:type="dxa"/>
            <w:tcBorders>
              <w:bottom w:val="single" w:sz="4" w:space="0" w:color="000000"/>
              <w:right w:val="single" w:sz="4" w:space="0" w:color="000000"/>
            </w:tcBorders>
          </w:tcPr>
          <w:p>
            <w:pPr>
              <w:pStyle w:val="TableParagraph"/>
              <w:spacing w:line="164" w:lineRule="exact"/>
              <w:ind w:left="125" w:right="133"/>
              <w:rPr>
                <w:sz w:val="16"/>
              </w:rPr>
            </w:pPr>
            <w:r>
              <w:rPr>
                <w:sz w:val="16"/>
              </w:rPr>
              <w:t>9.046</w:t>
            </w:r>
          </w:p>
        </w:tc>
        <w:tc>
          <w:tcPr>
            <w:tcW w:w="546" w:type="dxa"/>
            <w:tcBorders>
              <w:left w:val="single" w:sz="4" w:space="0" w:color="000000"/>
              <w:bottom w:val="single" w:sz="4" w:space="0" w:color="000000"/>
            </w:tcBorders>
          </w:tcPr>
          <w:p>
            <w:pPr>
              <w:pStyle w:val="TableParagraph"/>
              <w:jc w:val="left"/>
              <w:rPr>
                <w:rFonts w:ascii="Times New Roman"/>
                <w:sz w:val="12"/>
              </w:rPr>
            </w:pPr>
          </w:p>
        </w:tc>
        <w:tc>
          <w:tcPr>
            <w:tcW w:w="547" w:type="dxa"/>
            <w:tcBorders>
              <w:bottom w:val="single" w:sz="4" w:space="0" w:color="000000"/>
            </w:tcBorders>
          </w:tcPr>
          <w:p>
            <w:pPr>
              <w:pStyle w:val="TableParagraph"/>
              <w:jc w:val="left"/>
              <w:rPr>
                <w:rFonts w:ascii="Times New Roman"/>
                <w:sz w:val="12"/>
              </w:rPr>
            </w:pPr>
          </w:p>
        </w:tc>
        <w:tc>
          <w:tcPr>
            <w:tcW w:w="531" w:type="dxa"/>
            <w:tcBorders>
              <w:bottom w:val="single" w:sz="4" w:space="0" w:color="000000"/>
            </w:tcBorders>
          </w:tcPr>
          <w:p>
            <w:pPr>
              <w:pStyle w:val="TableParagraph"/>
              <w:jc w:val="left"/>
              <w:rPr>
                <w:rFonts w:ascii="Times New Roman"/>
                <w:sz w:val="12"/>
              </w:rPr>
            </w:pPr>
          </w:p>
        </w:tc>
        <w:tc>
          <w:tcPr>
            <w:tcW w:w="557" w:type="dxa"/>
            <w:tcBorders>
              <w:bottom w:val="single" w:sz="4" w:space="0" w:color="000000"/>
            </w:tcBorders>
          </w:tcPr>
          <w:p>
            <w:pPr>
              <w:pStyle w:val="TableParagraph"/>
              <w:jc w:val="left"/>
              <w:rPr>
                <w:rFonts w:ascii="Times New Roman"/>
                <w:sz w:val="12"/>
              </w:rPr>
            </w:pPr>
          </w:p>
        </w:tc>
        <w:tc>
          <w:tcPr>
            <w:tcW w:w="587" w:type="dxa"/>
            <w:tcBorders>
              <w:bottom w:val="single" w:sz="4" w:space="0" w:color="000000"/>
            </w:tcBorders>
          </w:tcPr>
          <w:p>
            <w:pPr>
              <w:pStyle w:val="TableParagraph"/>
              <w:jc w:val="left"/>
              <w:rPr>
                <w:rFonts w:ascii="Times New Roman"/>
                <w:sz w:val="12"/>
              </w:rPr>
            </w:pPr>
          </w:p>
        </w:tc>
        <w:tc>
          <w:tcPr>
            <w:tcW w:w="660" w:type="dxa"/>
            <w:tcBorders>
              <w:bottom w:val="single" w:sz="4" w:space="0" w:color="000000"/>
            </w:tcBorders>
          </w:tcPr>
          <w:p>
            <w:pPr>
              <w:pStyle w:val="TableParagraph"/>
              <w:jc w:val="left"/>
              <w:rPr>
                <w:rFonts w:ascii="Times New Roman"/>
                <w:sz w:val="12"/>
              </w:rPr>
            </w:pPr>
          </w:p>
        </w:tc>
        <w:tc>
          <w:tcPr>
            <w:tcW w:w="722" w:type="dxa"/>
            <w:tcBorders>
              <w:bottom w:val="single" w:sz="4" w:space="0" w:color="000000"/>
            </w:tcBorders>
          </w:tcPr>
          <w:p>
            <w:pPr>
              <w:pStyle w:val="TableParagraph"/>
              <w:jc w:val="left"/>
              <w:rPr>
                <w:rFonts w:ascii="Times New Roman"/>
                <w:sz w:val="12"/>
              </w:rPr>
            </w:pPr>
          </w:p>
        </w:tc>
        <w:tc>
          <w:tcPr>
            <w:tcW w:w="700" w:type="dxa"/>
            <w:tcBorders>
              <w:bottom w:val="single" w:sz="4" w:space="0" w:color="000000"/>
            </w:tcBorders>
          </w:tcPr>
          <w:p>
            <w:pPr>
              <w:pStyle w:val="TableParagraph"/>
              <w:spacing w:line="164" w:lineRule="exact"/>
              <w:rPr>
                <w:sz w:val="16"/>
              </w:rPr>
            </w:pPr>
            <w:r>
              <w:rPr>
                <w:w w:val="99"/>
                <w:sz w:val="16"/>
              </w:rPr>
              <w:t>5</w:t>
            </w:r>
          </w:p>
        </w:tc>
        <w:tc>
          <w:tcPr>
            <w:tcW w:w="697" w:type="dxa"/>
            <w:tcBorders>
              <w:bottom w:val="single" w:sz="4" w:space="0" w:color="000000"/>
            </w:tcBorders>
          </w:tcPr>
          <w:p>
            <w:pPr>
              <w:pStyle w:val="TableParagraph"/>
              <w:spacing w:line="164" w:lineRule="exact"/>
              <w:ind w:left="4"/>
              <w:rPr>
                <w:sz w:val="16"/>
              </w:rPr>
            </w:pPr>
            <w:r>
              <w:rPr>
                <w:w w:val="99"/>
                <w:sz w:val="16"/>
              </w:rPr>
              <w:t>6</w:t>
            </w:r>
          </w:p>
        </w:tc>
        <w:tc>
          <w:tcPr>
            <w:tcW w:w="690" w:type="dxa"/>
            <w:tcBorders>
              <w:bottom w:val="single" w:sz="4" w:space="0" w:color="000000"/>
            </w:tcBorders>
          </w:tcPr>
          <w:p>
            <w:pPr>
              <w:pStyle w:val="TableParagraph"/>
              <w:spacing w:line="164" w:lineRule="exact"/>
              <w:ind w:left="258"/>
              <w:jc w:val="left"/>
              <w:rPr>
                <w:sz w:val="16"/>
              </w:rPr>
            </w:pPr>
            <w:r>
              <w:rPr>
                <w:sz w:val="16"/>
              </w:rPr>
              <w:t>10</w:t>
            </w:r>
          </w:p>
        </w:tc>
      </w:tr>
      <w:tr>
        <w:trPr>
          <w:trHeight w:val="178" w:hRule="atLeast"/>
        </w:trPr>
        <w:tc>
          <w:tcPr>
            <w:tcW w:w="3133" w:type="dxa"/>
            <w:gridSpan w:val="2"/>
            <w:vMerge w:val="restart"/>
            <w:tcBorders>
              <w:top w:val="single" w:sz="4" w:space="0" w:color="000000"/>
              <w:bottom w:val="single" w:sz="4" w:space="0" w:color="000000"/>
              <w:right w:val="single" w:sz="4" w:space="0" w:color="000000"/>
            </w:tcBorders>
          </w:tcPr>
          <w:p>
            <w:pPr>
              <w:pStyle w:val="TableParagraph"/>
              <w:jc w:val="left"/>
              <w:rPr>
                <w:rFonts w:ascii="Times New Roman"/>
                <w:sz w:val="16"/>
              </w:rPr>
            </w:pPr>
          </w:p>
        </w:tc>
        <w:tc>
          <w:tcPr>
            <w:tcW w:w="546" w:type="dxa"/>
            <w:tcBorders>
              <w:top w:val="single" w:sz="4" w:space="0" w:color="000000"/>
              <w:left w:val="single" w:sz="4" w:space="0" w:color="000000"/>
            </w:tcBorders>
          </w:tcPr>
          <w:p>
            <w:pPr>
              <w:pStyle w:val="TableParagraph"/>
              <w:spacing w:line="159" w:lineRule="exact"/>
              <w:ind w:left="160" w:right="162"/>
              <w:rPr>
                <w:b/>
                <w:sz w:val="16"/>
              </w:rPr>
            </w:pPr>
            <w:r>
              <w:rPr>
                <w:b/>
                <w:sz w:val="16"/>
              </w:rPr>
              <w:t>32</w:t>
            </w:r>
          </w:p>
        </w:tc>
        <w:tc>
          <w:tcPr>
            <w:tcW w:w="547" w:type="dxa"/>
            <w:tcBorders>
              <w:top w:val="single" w:sz="4" w:space="0" w:color="000000"/>
            </w:tcBorders>
          </w:tcPr>
          <w:p>
            <w:pPr>
              <w:pStyle w:val="TableParagraph"/>
              <w:spacing w:line="159" w:lineRule="exact"/>
              <w:ind w:left="165" w:right="163"/>
              <w:rPr>
                <w:b/>
                <w:sz w:val="16"/>
              </w:rPr>
            </w:pPr>
            <w:r>
              <w:rPr>
                <w:b/>
                <w:sz w:val="16"/>
              </w:rPr>
              <w:t>40</w:t>
            </w:r>
          </w:p>
        </w:tc>
        <w:tc>
          <w:tcPr>
            <w:tcW w:w="531" w:type="dxa"/>
            <w:tcBorders>
              <w:top w:val="single" w:sz="4" w:space="0" w:color="000000"/>
            </w:tcBorders>
          </w:tcPr>
          <w:p>
            <w:pPr>
              <w:pStyle w:val="TableParagraph"/>
              <w:spacing w:line="159" w:lineRule="exact"/>
              <w:ind w:right="165"/>
              <w:jc w:val="right"/>
              <w:rPr>
                <w:b/>
                <w:sz w:val="16"/>
              </w:rPr>
            </w:pPr>
            <w:r>
              <w:rPr>
                <w:b/>
                <w:w w:val="95"/>
                <w:sz w:val="16"/>
              </w:rPr>
              <w:t>50</w:t>
            </w:r>
          </w:p>
        </w:tc>
        <w:tc>
          <w:tcPr>
            <w:tcW w:w="557" w:type="dxa"/>
            <w:tcBorders>
              <w:top w:val="single" w:sz="4" w:space="0" w:color="000000"/>
            </w:tcBorders>
          </w:tcPr>
          <w:p>
            <w:pPr>
              <w:pStyle w:val="TableParagraph"/>
              <w:spacing w:line="159" w:lineRule="exact"/>
              <w:ind w:right="171"/>
              <w:jc w:val="right"/>
              <w:rPr>
                <w:b/>
                <w:sz w:val="16"/>
              </w:rPr>
            </w:pPr>
            <w:r>
              <w:rPr>
                <w:b/>
                <w:w w:val="95"/>
                <w:sz w:val="16"/>
              </w:rPr>
              <w:t>63</w:t>
            </w:r>
          </w:p>
        </w:tc>
        <w:tc>
          <w:tcPr>
            <w:tcW w:w="587" w:type="dxa"/>
            <w:tcBorders>
              <w:top w:val="single" w:sz="4" w:space="0" w:color="000000"/>
            </w:tcBorders>
          </w:tcPr>
          <w:p>
            <w:pPr>
              <w:pStyle w:val="TableParagraph"/>
              <w:spacing w:line="159" w:lineRule="exact"/>
              <w:ind w:left="131" w:right="133"/>
              <w:rPr>
                <w:b/>
                <w:sz w:val="16"/>
              </w:rPr>
            </w:pPr>
            <w:r>
              <w:rPr>
                <w:b/>
                <w:sz w:val="16"/>
              </w:rPr>
              <w:t>65</w:t>
            </w:r>
          </w:p>
        </w:tc>
        <w:tc>
          <w:tcPr>
            <w:tcW w:w="660" w:type="dxa"/>
            <w:tcBorders>
              <w:top w:val="single" w:sz="4" w:space="0" w:color="000000"/>
            </w:tcBorders>
          </w:tcPr>
          <w:p>
            <w:pPr>
              <w:pStyle w:val="TableParagraph"/>
              <w:spacing w:line="159" w:lineRule="exact"/>
              <w:ind w:left="223" w:right="218"/>
              <w:rPr>
                <w:b/>
                <w:sz w:val="16"/>
              </w:rPr>
            </w:pPr>
            <w:r>
              <w:rPr>
                <w:b/>
                <w:sz w:val="16"/>
              </w:rPr>
              <w:t>80</w:t>
            </w:r>
          </w:p>
        </w:tc>
        <w:tc>
          <w:tcPr>
            <w:tcW w:w="722" w:type="dxa"/>
            <w:tcBorders>
              <w:top w:val="single" w:sz="4" w:space="0" w:color="000000"/>
            </w:tcBorders>
          </w:tcPr>
          <w:p>
            <w:pPr>
              <w:pStyle w:val="TableParagraph"/>
              <w:spacing w:line="159" w:lineRule="exact"/>
              <w:ind w:left="219" w:right="196"/>
              <w:rPr>
                <w:b/>
                <w:sz w:val="16"/>
              </w:rPr>
            </w:pPr>
            <w:r>
              <w:rPr>
                <w:b/>
                <w:sz w:val="16"/>
              </w:rPr>
              <w:t>100</w:t>
            </w:r>
          </w:p>
        </w:tc>
        <w:tc>
          <w:tcPr>
            <w:tcW w:w="700" w:type="dxa"/>
            <w:tcBorders>
              <w:top w:val="single" w:sz="4" w:space="0" w:color="000000"/>
            </w:tcBorders>
          </w:tcPr>
          <w:p>
            <w:pPr>
              <w:pStyle w:val="TableParagraph"/>
              <w:spacing w:line="159" w:lineRule="exact"/>
              <w:ind w:left="196" w:right="196"/>
              <w:rPr>
                <w:b/>
                <w:sz w:val="16"/>
              </w:rPr>
            </w:pPr>
            <w:r>
              <w:rPr>
                <w:b/>
                <w:sz w:val="16"/>
              </w:rPr>
              <w:t>125</w:t>
            </w:r>
          </w:p>
        </w:tc>
        <w:tc>
          <w:tcPr>
            <w:tcW w:w="697" w:type="dxa"/>
            <w:tcBorders>
              <w:top w:val="single" w:sz="4" w:space="0" w:color="000000"/>
            </w:tcBorders>
          </w:tcPr>
          <w:p>
            <w:pPr>
              <w:pStyle w:val="TableParagraph"/>
              <w:spacing w:line="159" w:lineRule="exact"/>
              <w:ind w:left="197" w:right="192"/>
              <w:rPr>
                <w:b/>
                <w:sz w:val="16"/>
              </w:rPr>
            </w:pPr>
            <w:r>
              <w:rPr>
                <w:b/>
                <w:sz w:val="16"/>
              </w:rPr>
              <w:t>150</w:t>
            </w:r>
          </w:p>
        </w:tc>
        <w:tc>
          <w:tcPr>
            <w:tcW w:w="690" w:type="dxa"/>
            <w:tcBorders>
              <w:top w:val="single" w:sz="4" w:space="0" w:color="000000"/>
            </w:tcBorders>
          </w:tcPr>
          <w:p>
            <w:pPr>
              <w:pStyle w:val="TableParagraph"/>
              <w:spacing w:line="159" w:lineRule="exact"/>
              <w:ind w:left="214"/>
              <w:jc w:val="left"/>
              <w:rPr>
                <w:b/>
                <w:sz w:val="16"/>
              </w:rPr>
            </w:pPr>
            <w:r>
              <w:rPr>
                <w:b/>
                <w:sz w:val="16"/>
              </w:rPr>
              <w:t>200</w:t>
            </w:r>
          </w:p>
        </w:tc>
      </w:tr>
      <w:tr>
        <w:trPr>
          <w:trHeight w:val="179" w:hRule="atLeast"/>
        </w:trPr>
        <w:tc>
          <w:tcPr>
            <w:tcW w:w="3133" w:type="dxa"/>
            <w:gridSpan w:val="2"/>
            <w:vMerge/>
            <w:tcBorders>
              <w:top w:val="nil"/>
              <w:bottom w:val="single" w:sz="4" w:space="0" w:color="000000"/>
              <w:right w:val="single" w:sz="4" w:space="0" w:color="000000"/>
            </w:tcBorders>
          </w:tcPr>
          <w:p>
            <w:pPr>
              <w:rPr>
                <w:sz w:val="2"/>
                <w:szCs w:val="2"/>
              </w:rPr>
            </w:pPr>
          </w:p>
        </w:tc>
        <w:tc>
          <w:tcPr>
            <w:tcW w:w="546" w:type="dxa"/>
            <w:tcBorders>
              <w:left w:val="single" w:sz="4" w:space="0" w:color="000000"/>
              <w:bottom w:val="single" w:sz="4" w:space="0" w:color="000000"/>
            </w:tcBorders>
          </w:tcPr>
          <w:p>
            <w:pPr>
              <w:pStyle w:val="TableParagraph"/>
              <w:jc w:val="left"/>
              <w:rPr>
                <w:rFonts w:ascii="Times New Roman"/>
                <w:sz w:val="12"/>
              </w:rPr>
            </w:pPr>
          </w:p>
        </w:tc>
        <w:tc>
          <w:tcPr>
            <w:tcW w:w="5001" w:type="dxa"/>
            <w:gridSpan w:val="8"/>
            <w:tcBorders>
              <w:bottom w:val="single" w:sz="4" w:space="0" w:color="000000"/>
            </w:tcBorders>
          </w:tcPr>
          <w:p>
            <w:pPr>
              <w:pStyle w:val="TableParagraph"/>
              <w:spacing w:line="159" w:lineRule="exact"/>
              <w:ind w:left="452"/>
              <w:jc w:val="left"/>
              <w:rPr>
                <w:b/>
                <w:sz w:val="16"/>
              </w:rPr>
            </w:pPr>
            <w:r>
              <w:rPr>
                <w:b/>
                <w:sz w:val="16"/>
              </w:rPr>
              <w:t>Diámetro de la columna de </w:t>
            </w:r>
            <w:r>
              <w:rPr>
                <w:b/>
                <w:i/>
                <w:sz w:val="16"/>
              </w:rPr>
              <w:t>ventilación secundaria </w:t>
            </w:r>
            <w:r>
              <w:rPr>
                <w:b/>
                <w:sz w:val="16"/>
              </w:rPr>
              <w:t>(mm)</w:t>
            </w:r>
          </w:p>
        </w:tc>
        <w:tc>
          <w:tcPr>
            <w:tcW w:w="690" w:type="dxa"/>
            <w:tcBorders>
              <w:bottom w:val="single" w:sz="4" w:space="0" w:color="000000"/>
            </w:tcBorders>
          </w:tcPr>
          <w:p>
            <w:pPr>
              <w:pStyle w:val="TableParagraph"/>
              <w:jc w:val="left"/>
              <w:rPr>
                <w:rFonts w:ascii="Times New Roman"/>
                <w:sz w:val="12"/>
              </w:rPr>
            </w:pPr>
          </w:p>
        </w:tc>
      </w:tr>
    </w:tbl>
    <w:p>
      <w:pPr>
        <w:pStyle w:val="ListParagraph"/>
        <w:numPr>
          <w:ilvl w:val="0"/>
          <w:numId w:val="252"/>
        </w:numPr>
        <w:tabs>
          <w:tab w:pos="672" w:val="left" w:leader="none"/>
          <w:tab w:pos="673" w:val="left" w:leader="none"/>
        </w:tabs>
        <w:spacing w:line="240" w:lineRule="auto" w:before="57" w:after="0"/>
        <w:ind w:left="672" w:right="551" w:hanging="454"/>
        <w:jc w:val="left"/>
        <w:rPr>
          <w:sz w:val="20"/>
        </w:rPr>
      </w:pPr>
      <w:r>
        <w:rPr>
          <w:sz w:val="20"/>
        </w:rPr>
        <w:t>En el caso de conexiones a la columna de ventilación en cada planta, los diámetros de esta se ob- tienen en la tabla 4.11 en función del diámetro de la</w:t>
      </w:r>
      <w:r>
        <w:rPr>
          <w:spacing w:val="-5"/>
          <w:sz w:val="20"/>
        </w:rPr>
        <w:t> </w:t>
      </w:r>
      <w:r>
        <w:rPr>
          <w:sz w:val="20"/>
        </w:rPr>
        <w:t>bajante:</w:t>
      </w:r>
    </w:p>
    <w:p>
      <w:pPr>
        <w:spacing w:before="60" w:after="4"/>
        <w:ind w:left="1090" w:right="0" w:firstLine="0"/>
        <w:jc w:val="left"/>
        <w:rPr>
          <w:b/>
          <w:sz w:val="18"/>
        </w:rPr>
      </w:pPr>
      <w:r>
        <w:rPr>
          <w:b/>
          <w:sz w:val="18"/>
        </w:rPr>
        <w:t>Tabla 4.11 Diámetros de columnas de </w:t>
      </w:r>
      <w:r>
        <w:rPr>
          <w:b/>
          <w:i/>
          <w:sz w:val="18"/>
        </w:rPr>
        <w:t>ventilación secundaria </w:t>
      </w:r>
      <w:r>
        <w:rPr>
          <w:b/>
          <w:sz w:val="18"/>
        </w:rPr>
        <w:t>con uniones en cada planta</w:t>
      </w:r>
    </w:p>
    <w:tbl>
      <w:tblPr>
        <w:tblW w:w="0" w:type="auto"/>
        <w:jc w:val="left"/>
        <w:tblInd w:w="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41"/>
        <w:gridCol w:w="4322"/>
      </w:tblGrid>
      <w:tr>
        <w:trPr>
          <w:trHeight w:val="183" w:hRule="atLeast"/>
        </w:trPr>
        <w:tc>
          <w:tcPr>
            <w:tcW w:w="4641" w:type="dxa"/>
            <w:tcBorders>
              <w:top w:val="single" w:sz="4" w:space="0" w:color="808080"/>
              <w:bottom w:val="single" w:sz="4" w:space="0" w:color="808080"/>
              <w:right w:val="single" w:sz="4" w:space="0" w:color="808080"/>
            </w:tcBorders>
          </w:tcPr>
          <w:p>
            <w:pPr>
              <w:pStyle w:val="TableParagraph"/>
              <w:spacing w:line="163" w:lineRule="exact"/>
              <w:ind w:left="1235" w:right="1218"/>
              <w:rPr>
                <w:b/>
                <w:sz w:val="16"/>
              </w:rPr>
            </w:pPr>
            <w:r>
              <w:rPr>
                <w:b/>
                <w:sz w:val="16"/>
              </w:rPr>
              <w:t>Diámetro de la </w:t>
            </w:r>
            <w:r>
              <w:rPr>
                <w:b/>
                <w:i/>
                <w:sz w:val="16"/>
              </w:rPr>
              <w:t>bajante </w:t>
            </w:r>
            <w:r>
              <w:rPr>
                <w:b/>
                <w:sz w:val="16"/>
              </w:rPr>
              <w:t>(mm)</w:t>
            </w:r>
          </w:p>
        </w:tc>
        <w:tc>
          <w:tcPr>
            <w:tcW w:w="4322" w:type="dxa"/>
            <w:tcBorders>
              <w:top w:val="single" w:sz="4" w:space="0" w:color="808080"/>
              <w:left w:val="single" w:sz="4" w:space="0" w:color="808080"/>
              <w:bottom w:val="single" w:sz="4" w:space="0" w:color="808080"/>
            </w:tcBorders>
          </w:tcPr>
          <w:p>
            <w:pPr>
              <w:pStyle w:val="TableParagraph"/>
              <w:spacing w:line="163" w:lineRule="exact"/>
              <w:ind w:left="460" w:right="465"/>
              <w:rPr>
                <w:b/>
                <w:sz w:val="16"/>
              </w:rPr>
            </w:pPr>
            <w:r>
              <w:rPr>
                <w:b/>
                <w:sz w:val="16"/>
              </w:rPr>
              <w:t>Diámetro de la columna de ventilación (mm)</w:t>
            </w:r>
          </w:p>
        </w:tc>
      </w:tr>
      <w:tr>
        <w:trPr>
          <w:trHeight w:val="185" w:hRule="atLeast"/>
        </w:trPr>
        <w:tc>
          <w:tcPr>
            <w:tcW w:w="4641" w:type="dxa"/>
            <w:tcBorders>
              <w:top w:val="single" w:sz="4" w:space="0" w:color="808080"/>
              <w:right w:val="single" w:sz="4" w:space="0" w:color="808080"/>
            </w:tcBorders>
          </w:tcPr>
          <w:p>
            <w:pPr>
              <w:pStyle w:val="TableParagraph"/>
              <w:spacing w:line="165" w:lineRule="exact"/>
              <w:ind w:left="1235" w:right="1218"/>
              <w:rPr>
                <w:sz w:val="16"/>
              </w:rPr>
            </w:pPr>
            <w:r>
              <w:rPr>
                <w:sz w:val="16"/>
              </w:rPr>
              <w:t>40</w:t>
            </w:r>
          </w:p>
        </w:tc>
        <w:tc>
          <w:tcPr>
            <w:tcW w:w="4322" w:type="dxa"/>
            <w:tcBorders>
              <w:top w:val="single" w:sz="4" w:space="0" w:color="808080"/>
              <w:left w:val="single" w:sz="4" w:space="0" w:color="808080"/>
            </w:tcBorders>
          </w:tcPr>
          <w:p>
            <w:pPr>
              <w:pStyle w:val="TableParagraph"/>
              <w:spacing w:line="165" w:lineRule="exact"/>
              <w:ind w:left="460" w:right="464"/>
              <w:rPr>
                <w:sz w:val="16"/>
              </w:rPr>
            </w:pPr>
            <w:r>
              <w:rPr>
                <w:sz w:val="16"/>
              </w:rPr>
              <w:t>32</w:t>
            </w:r>
          </w:p>
        </w:tc>
      </w:tr>
      <w:tr>
        <w:trPr>
          <w:trHeight w:val="183" w:hRule="atLeast"/>
        </w:trPr>
        <w:tc>
          <w:tcPr>
            <w:tcW w:w="4641" w:type="dxa"/>
            <w:tcBorders>
              <w:right w:val="single" w:sz="4" w:space="0" w:color="808080"/>
            </w:tcBorders>
          </w:tcPr>
          <w:p>
            <w:pPr>
              <w:pStyle w:val="TableParagraph"/>
              <w:spacing w:line="164" w:lineRule="exact"/>
              <w:ind w:left="1235" w:right="1218"/>
              <w:rPr>
                <w:sz w:val="16"/>
              </w:rPr>
            </w:pPr>
            <w:r>
              <w:rPr>
                <w:sz w:val="16"/>
              </w:rPr>
              <w:t>50</w:t>
            </w:r>
          </w:p>
        </w:tc>
        <w:tc>
          <w:tcPr>
            <w:tcW w:w="4322" w:type="dxa"/>
            <w:tcBorders>
              <w:left w:val="single" w:sz="4" w:space="0" w:color="808080"/>
            </w:tcBorders>
          </w:tcPr>
          <w:p>
            <w:pPr>
              <w:pStyle w:val="TableParagraph"/>
              <w:spacing w:line="164" w:lineRule="exact"/>
              <w:ind w:left="460" w:right="464"/>
              <w:rPr>
                <w:sz w:val="16"/>
              </w:rPr>
            </w:pPr>
            <w:r>
              <w:rPr>
                <w:sz w:val="16"/>
              </w:rPr>
              <w:t>32</w:t>
            </w:r>
          </w:p>
        </w:tc>
      </w:tr>
      <w:tr>
        <w:trPr>
          <w:trHeight w:val="184" w:hRule="atLeast"/>
        </w:trPr>
        <w:tc>
          <w:tcPr>
            <w:tcW w:w="4641" w:type="dxa"/>
            <w:tcBorders>
              <w:right w:val="single" w:sz="4" w:space="0" w:color="808080"/>
            </w:tcBorders>
          </w:tcPr>
          <w:p>
            <w:pPr>
              <w:pStyle w:val="TableParagraph"/>
              <w:spacing w:line="164" w:lineRule="exact"/>
              <w:ind w:left="1235" w:right="1218"/>
              <w:rPr>
                <w:sz w:val="16"/>
              </w:rPr>
            </w:pPr>
            <w:r>
              <w:rPr>
                <w:sz w:val="16"/>
              </w:rPr>
              <w:t>63</w:t>
            </w:r>
          </w:p>
        </w:tc>
        <w:tc>
          <w:tcPr>
            <w:tcW w:w="4322" w:type="dxa"/>
            <w:tcBorders>
              <w:left w:val="single" w:sz="4" w:space="0" w:color="808080"/>
            </w:tcBorders>
          </w:tcPr>
          <w:p>
            <w:pPr>
              <w:pStyle w:val="TableParagraph"/>
              <w:spacing w:line="164" w:lineRule="exact"/>
              <w:ind w:left="460" w:right="464"/>
              <w:rPr>
                <w:sz w:val="16"/>
              </w:rPr>
            </w:pPr>
            <w:r>
              <w:rPr>
                <w:sz w:val="16"/>
              </w:rPr>
              <w:t>40</w:t>
            </w:r>
          </w:p>
        </w:tc>
      </w:tr>
      <w:tr>
        <w:trPr>
          <w:trHeight w:val="184" w:hRule="atLeast"/>
        </w:trPr>
        <w:tc>
          <w:tcPr>
            <w:tcW w:w="4641" w:type="dxa"/>
            <w:tcBorders>
              <w:right w:val="single" w:sz="4" w:space="0" w:color="808080"/>
            </w:tcBorders>
          </w:tcPr>
          <w:p>
            <w:pPr>
              <w:pStyle w:val="TableParagraph"/>
              <w:spacing w:line="164" w:lineRule="exact"/>
              <w:ind w:left="1235" w:right="1218"/>
              <w:rPr>
                <w:sz w:val="16"/>
              </w:rPr>
            </w:pPr>
            <w:r>
              <w:rPr>
                <w:sz w:val="16"/>
              </w:rPr>
              <w:t>75</w:t>
            </w:r>
          </w:p>
        </w:tc>
        <w:tc>
          <w:tcPr>
            <w:tcW w:w="4322" w:type="dxa"/>
            <w:tcBorders>
              <w:left w:val="single" w:sz="4" w:space="0" w:color="808080"/>
            </w:tcBorders>
          </w:tcPr>
          <w:p>
            <w:pPr>
              <w:pStyle w:val="TableParagraph"/>
              <w:spacing w:line="164" w:lineRule="exact"/>
              <w:ind w:left="460" w:right="464"/>
              <w:rPr>
                <w:sz w:val="16"/>
              </w:rPr>
            </w:pPr>
            <w:r>
              <w:rPr>
                <w:sz w:val="16"/>
              </w:rPr>
              <w:t>40</w:t>
            </w:r>
          </w:p>
        </w:tc>
      </w:tr>
      <w:tr>
        <w:trPr>
          <w:trHeight w:val="183" w:hRule="atLeast"/>
        </w:trPr>
        <w:tc>
          <w:tcPr>
            <w:tcW w:w="4641" w:type="dxa"/>
            <w:tcBorders>
              <w:right w:val="single" w:sz="4" w:space="0" w:color="808080"/>
            </w:tcBorders>
          </w:tcPr>
          <w:p>
            <w:pPr>
              <w:pStyle w:val="TableParagraph"/>
              <w:spacing w:line="164" w:lineRule="exact"/>
              <w:ind w:left="1235" w:right="1218"/>
              <w:rPr>
                <w:sz w:val="16"/>
              </w:rPr>
            </w:pPr>
            <w:r>
              <w:rPr>
                <w:sz w:val="16"/>
              </w:rPr>
              <w:t>90</w:t>
            </w:r>
          </w:p>
        </w:tc>
        <w:tc>
          <w:tcPr>
            <w:tcW w:w="4322" w:type="dxa"/>
            <w:tcBorders>
              <w:left w:val="single" w:sz="4" w:space="0" w:color="808080"/>
            </w:tcBorders>
          </w:tcPr>
          <w:p>
            <w:pPr>
              <w:pStyle w:val="TableParagraph"/>
              <w:spacing w:line="164" w:lineRule="exact"/>
              <w:ind w:left="460" w:right="464"/>
              <w:rPr>
                <w:sz w:val="16"/>
              </w:rPr>
            </w:pPr>
            <w:r>
              <w:rPr>
                <w:sz w:val="16"/>
              </w:rPr>
              <w:t>50</w:t>
            </w:r>
          </w:p>
        </w:tc>
      </w:tr>
      <w:tr>
        <w:trPr>
          <w:trHeight w:val="184" w:hRule="atLeast"/>
        </w:trPr>
        <w:tc>
          <w:tcPr>
            <w:tcW w:w="4641" w:type="dxa"/>
            <w:tcBorders>
              <w:right w:val="single" w:sz="4" w:space="0" w:color="808080"/>
            </w:tcBorders>
          </w:tcPr>
          <w:p>
            <w:pPr>
              <w:pStyle w:val="TableParagraph"/>
              <w:spacing w:line="164" w:lineRule="exact"/>
              <w:ind w:left="1235" w:right="1218"/>
              <w:rPr>
                <w:sz w:val="16"/>
              </w:rPr>
            </w:pPr>
            <w:r>
              <w:rPr>
                <w:sz w:val="16"/>
              </w:rPr>
              <w:t>110</w:t>
            </w:r>
          </w:p>
        </w:tc>
        <w:tc>
          <w:tcPr>
            <w:tcW w:w="4322" w:type="dxa"/>
            <w:tcBorders>
              <w:left w:val="single" w:sz="4" w:space="0" w:color="808080"/>
            </w:tcBorders>
          </w:tcPr>
          <w:p>
            <w:pPr>
              <w:pStyle w:val="TableParagraph"/>
              <w:spacing w:line="164" w:lineRule="exact"/>
              <w:ind w:left="460" w:right="464"/>
              <w:rPr>
                <w:sz w:val="16"/>
              </w:rPr>
            </w:pPr>
            <w:r>
              <w:rPr>
                <w:sz w:val="16"/>
              </w:rPr>
              <w:t>63</w:t>
            </w:r>
          </w:p>
        </w:tc>
      </w:tr>
      <w:tr>
        <w:trPr>
          <w:trHeight w:val="184" w:hRule="atLeast"/>
        </w:trPr>
        <w:tc>
          <w:tcPr>
            <w:tcW w:w="4641" w:type="dxa"/>
            <w:tcBorders>
              <w:right w:val="single" w:sz="4" w:space="0" w:color="808080"/>
            </w:tcBorders>
          </w:tcPr>
          <w:p>
            <w:pPr>
              <w:pStyle w:val="TableParagraph"/>
              <w:spacing w:line="164" w:lineRule="exact"/>
              <w:ind w:left="1235" w:right="1218"/>
              <w:rPr>
                <w:sz w:val="16"/>
              </w:rPr>
            </w:pPr>
            <w:r>
              <w:rPr>
                <w:sz w:val="16"/>
              </w:rPr>
              <w:t>125</w:t>
            </w:r>
          </w:p>
        </w:tc>
        <w:tc>
          <w:tcPr>
            <w:tcW w:w="4322" w:type="dxa"/>
            <w:tcBorders>
              <w:left w:val="single" w:sz="4" w:space="0" w:color="808080"/>
            </w:tcBorders>
          </w:tcPr>
          <w:p>
            <w:pPr>
              <w:pStyle w:val="TableParagraph"/>
              <w:spacing w:line="164" w:lineRule="exact"/>
              <w:ind w:left="460" w:right="464"/>
              <w:rPr>
                <w:sz w:val="16"/>
              </w:rPr>
            </w:pPr>
            <w:r>
              <w:rPr>
                <w:sz w:val="16"/>
              </w:rPr>
              <w:t>75</w:t>
            </w:r>
          </w:p>
        </w:tc>
      </w:tr>
      <w:tr>
        <w:trPr>
          <w:trHeight w:val="183" w:hRule="atLeast"/>
        </w:trPr>
        <w:tc>
          <w:tcPr>
            <w:tcW w:w="4641" w:type="dxa"/>
            <w:tcBorders>
              <w:right w:val="single" w:sz="4" w:space="0" w:color="808080"/>
            </w:tcBorders>
          </w:tcPr>
          <w:p>
            <w:pPr>
              <w:pStyle w:val="TableParagraph"/>
              <w:spacing w:line="164" w:lineRule="exact"/>
              <w:ind w:left="1235" w:right="1218"/>
              <w:rPr>
                <w:sz w:val="16"/>
              </w:rPr>
            </w:pPr>
            <w:r>
              <w:rPr>
                <w:sz w:val="16"/>
              </w:rPr>
              <w:t>160</w:t>
            </w:r>
          </w:p>
        </w:tc>
        <w:tc>
          <w:tcPr>
            <w:tcW w:w="4322" w:type="dxa"/>
            <w:tcBorders>
              <w:left w:val="single" w:sz="4" w:space="0" w:color="808080"/>
            </w:tcBorders>
          </w:tcPr>
          <w:p>
            <w:pPr>
              <w:pStyle w:val="TableParagraph"/>
              <w:spacing w:line="164" w:lineRule="exact"/>
              <w:ind w:left="460" w:right="464"/>
              <w:rPr>
                <w:sz w:val="16"/>
              </w:rPr>
            </w:pPr>
            <w:r>
              <w:rPr>
                <w:sz w:val="16"/>
              </w:rPr>
              <w:t>90</w:t>
            </w:r>
          </w:p>
        </w:tc>
      </w:tr>
      <w:tr>
        <w:trPr>
          <w:trHeight w:val="184" w:hRule="atLeast"/>
        </w:trPr>
        <w:tc>
          <w:tcPr>
            <w:tcW w:w="4641" w:type="dxa"/>
            <w:tcBorders>
              <w:right w:val="single" w:sz="4" w:space="0" w:color="808080"/>
            </w:tcBorders>
          </w:tcPr>
          <w:p>
            <w:pPr>
              <w:pStyle w:val="TableParagraph"/>
              <w:spacing w:line="164" w:lineRule="exact"/>
              <w:ind w:left="1235" w:right="1218"/>
              <w:rPr>
                <w:sz w:val="16"/>
              </w:rPr>
            </w:pPr>
            <w:r>
              <w:rPr>
                <w:sz w:val="16"/>
              </w:rPr>
              <w:t>200</w:t>
            </w:r>
          </w:p>
        </w:tc>
        <w:tc>
          <w:tcPr>
            <w:tcW w:w="4322" w:type="dxa"/>
            <w:tcBorders>
              <w:left w:val="single" w:sz="4" w:space="0" w:color="808080"/>
            </w:tcBorders>
          </w:tcPr>
          <w:p>
            <w:pPr>
              <w:pStyle w:val="TableParagraph"/>
              <w:spacing w:line="164" w:lineRule="exact"/>
              <w:ind w:left="460" w:right="464"/>
              <w:rPr>
                <w:sz w:val="16"/>
              </w:rPr>
            </w:pPr>
            <w:r>
              <w:rPr>
                <w:sz w:val="16"/>
              </w:rPr>
              <w:t>110</w:t>
            </w:r>
          </w:p>
        </w:tc>
      </w:tr>
      <w:tr>
        <w:trPr>
          <w:trHeight w:val="184" w:hRule="atLeast"/>
        </w:trPr>
        <w:tc>
          <w:tcPr>
            <w:tcW w:w="4641" w:type="dxa"/>
            <w:tcBorders>
              <w:right w:val="single" w:sz="4" w:space="0" w:color="808080"/>
            </w:tcBorders>
          </w:tcPr>
          <w:p>
            <w:pPr>
              <w:pStyle w:val="TableParagraph"/>
              <w:spacing w:line="164" w:lineRule="exact"/>
              <w:ind w:left="1235" w:right="1218"/>
              <w:rPr>
                <w:sz w:val="16"/>
              </w:rPr>
            </w:pPr>
            <w:r>
              <w:rPr>
                <w:sz w:val="16"/>
              </w:rPr>
              <w:t>250</w:t>
            </w:r>
          </w:p>
        </w:tc>
        <w:tc>
          <w:tcPr>
            <w:tcW w:w="4322" w:type="dxa"/>
            <w:tcBorders>
              <w:left w:val="single" w:sz="4" w:space="0" w:color="808080"/>
            </w:tcBorders>
          </w:tcPr>
          <w:p>
            <w:pPr>
              <w:pStyle w:val="TableParagraph"/>
              <w:spacing w:line="164" w:lineRule="exact"/>
              <w:ind w:left="460" w:right="464"/>
              <w:rPr>
                <w:sz w:val="16"/>
              </w:rPr>
            </w:pPr>
            <w:r>
              <w:rPr>
                <w:sz w:val="16"/>
              </w:rPr>
              <w:t>125</w:t>
            </w:r>
          </w:p>
        </w:tc>
      </w:tr>
      <w:tr>
        <w:trPr>
          <w:trHeight w:val="184" w:hRule="atLeast"/>
        </w:trPr>
        <w:tc>
          <w:tcPr>
            <w:tcW w:w="4641" w:type="dxa"/>
            <w:tcBorders>
              <w:bottom w:val="single" w:sz="4" w:space="0" w:color="808080"/>
              <w:right w:val="single" w:sz="4" w:space="0" w:color="808080"/>
            </w:tcBorders>
          </w:tcPr>
          <w:p>
            <w:pPr>
              <w:pStyle w:val="TableParagraph"/>
              <w:spacing w:line="164" w:lineRule="exact"/>
              <w:ind w:left="1235" w:right="1218"/>
              <w:rPr>
                <w:sz w:val="16"/>
              </w:rPr>
            </w:pPr>
            <w:r>
              <w:rPr>
                <w:sz w:val="16"/>
              </w:rPr>
              <w:t>315</w:t>
            </w:r>
          </w:p>
        </w:tc>
        <w:tc>
          <w:tcPr>
            <w:tcW w:w="4322" w:type="dxa"/>
            <w:tcBorders>
              <w:left w:val="single" w:sz="4" w:space="0" w:color="808080"/>
              <w:bottom w:val="single" w:sz="4" w:space="0" w:color="808080"/>
            </w:tcBorders>
          </w:tcPr>
          <w:p>
            <w:pPr>
              <w:pStyle w:val="TableParagraph"/>
              <w:spacing w:line="164" w:lineRule="exact"/>
              <w:ind w:left="460" w:right="464"/>
              <w:rPr>
                <w:sz w:val="16"/>
              </w:rPr>
            </w:pPr>
            <w:r>
              <w:rPr>
                <w:sz w:val="16"/>
              </w:rPr>
              <w:t>160</w:t>
            </w:r>
          </w:p>
        </w:tc>
      </w:tr>
    </w:tbl>
    <w:p>
      <w:pPr>
        <w:pStyle w:val="BodyText"/>
        <w:spacing w:before="3"/>
        <w:rPr>
          <w:b/>
          <w:sz w:val="17"/>
        </w:rPr>
      </w:pPr>
    </w:p>
    <w:p>
      <w:pPr>
        <w:pStyle w:val="Heading5"/>
        <w:numPr>
          <w:ilvl w:val="2"/>
          <w:numId w:val="241"/>
        </w:numPr>
        <w:tabs>
          <w:tab w:pos="787" w:val="left" w:leader="none"/>
        </w:tabs>
        <w:spacing w:line="240" w:lineRule="auto" w:before="0" w:after="0"/>
        <w:ind w:left="786" w:right="0" w:hanging="569"/>
        <w:jc w:val="left"/>
      </w:pPr>
      <w:r>
        <w:rPr/>
        <w:t>Ventilación</w:t>
      </w:r>
      <w:r>
        <w:rPr>
          <w:spacing w:val="-1"/>
        </w:rPr>
        <w:t> </w:t>
      </w:r>
      <w:r>
        <w:rPr/>
        <w:t>terciaria</w:t>
      </w:r>
    </w:p>
    <w:p>
      <w:pPr>
        <w:pStyle w:val="BodyText"/>
        <w:tabs>
          <w:tab w:pos="672" w:val="left" w:leader="none"/>
        </w:tabs>
        <w:spacing w:before="98"/>
        <w:ind w:left="672" w:right="675" w:hanging="454"/>
      </w:pPr>
      <w:r>
        <w:rPr/>
        <w:t>1</w:t>
        <w:tab/>
        <w:t>Los diámetros de las ventilaciones terciarias, junto con sus longitudes máximas se obtienen en la tabla 4.12 en función del diámetro y de la pendiente del ramal de</w:t>
      </w:r>
      <w:r>
        <w:rPr>
          <w:spacing w:val="-5"/>
        </w:rPr>
        <w:t> </w:t>
      </w:r>
      <w:r>
        <w:rPr/>
        <w:t>desagüe.</w:t>
      </w:r>
    </w:p>
    <w:p>
      <w:pPr>
        <w:spacing w:after="0"/>
        <w:sectPr>
          <w:pgSz w:w="11910" w:h="16840"/>
          <w:pgMar w:header="714" w:footer="642" w:top="1320" w:bottom="840" w:left="1200" w:right="740"/>
        </w:sectPr>
      </w:pPr>
    </w:p>
    <w:p>
      <w:pPr>
        <w:spacing w:before="91" w:after="3"/>
        <w:ind w:left="1182" w:right="1355" w:firstLine="0"/>
        <w:jc w:val="center"/>
        <w:rPr>
          <w:b/>
          <w:i/>
          <w:sz w:val="18"/>
        </w:rPr>
      </w:pPr>
      <w:r>
        <w:rPr>
          <w:b/>
          <w:sz w:val="18"/>
        </w:rPr>
        <w:t>Tabla 4.12 Diámetros y longitudes máximas de la </w:t>
      </w:r>
      <w:r>
        <w:rPr>
          <w:b/>
          <w:i/>
          <w:sz w:val="18"/>
        </w:rPr>
        <w:t>ventilación terciaria</w:t>
      </w:r>
    </w:p>
    <w:tbl>
      <w:tblPr>
        <w:tblW w:w="0" w:type="auto"/>
        <w:jc w:val="left"/>
        <w:tblInd w:w="6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1635"/>
        <w:gridCol w:w="1530"/>
        <w:gridCol w:w="1301"/>
        <w:gridCol w:w="1161"/>
        <w:gridCol w:w="1110"/>
        <w:gridCol w:w="1125"/>
        <w:gridCol w:w="1102"/>
      </w:tblGrid>
      <w:tr>
        <w:trPr>
          <w:trHeight w:val="564" w:hRule="atLeast"/>
        </w:trPr>
        <w:tc>
          <w:tcPr>
            <w:tcW w:w="1635" w:type="dxa"/>
            <w:tcBorders>
              <w:left w:val="nil"/>
              <w:right w:val="nil"/>
            </w:tcBorders>
          </w:tcPr>
          <w:p>
            <w:pPr>
              <w:pStyle w:val="TableParagraph"/>
              <w:spacing w:before="97"/>
              <w:ind w:left="167" w:right="70" w:hanging="63"/>
              <w:jc w:val="left"/>
              <w:rPr>
                <w:b/>
                <w:sz w:val="16"/>
              </w:rPr>
            </w:pPr>
            <w:r>
              <w:rPr>
                <w:b/>
                <w:sz w:val="16"/>
              </w:rPr>
              <w:t>Diámetro del ramal de desagüe (mm)</w:t>
            </w:r>
          </w:p>
        </w:tc>
        <w:tc>
          <w:tcPr>
            <w:tcW w:w="1530" w:type="dxa"/>
            <w:tcBorders>
              <w:left w:val="nil"/>
            </w:tcBorders>
          </w:tcPr>
          <w:p>
            <w:pPr>
              <w:pStyle w:val="TableParagraph"/>
              <w:spacing w:before="4"/>
              <w:ind w:left="89" w:right="82"/>
              <w:rPr>
                <w:b/>
                <w:sz w:val="16"/>
              </w:rPr>
            </w:pPr>
            <w:r>
              <w:rPr>
                <w:b/>
                <w:sz w:val="16"/>
              </w:rPr>
              <w:t>Pendiente del ramal de desagüe</w:t>
            </w:r>
          </w:p>
          <w:p>
            <w:pPr>
              <w:pStyle w:val="TableParagraph"/>
              <w:spacing w:line="172" w:lineRule="exact" w:before="1"/>
              <w:ind w:left="87" w:right="82"/>
              <w:rPr>
                <w:b/>
                <w:sz w:val="16"/>
              </w:rPr>
            </w:pPr>
            <w:r>
              <w:rPr>
                <w:b/>
                <w:sz w:val="16"/>
              </w:rPr>
              <w:t>(%)</w:t>
            </w:r>
          </w:p>
        </w:tc>
        <w:tc>
          <w:tcPr>
            <w:tcW w:w="5799" w:type="dxa"/>
            <w:gridSpan w:val="5"/>
            <w:tcBorders>
              <w:right w:val="nil"/>
            </w:tcBorders>
          </w:tcPr>
          <w:p>
            <w:pPr>
              <w:pStyle w:val="TableParagraph"/>
              <w:spacing w:before="4"/>
              <w:jc w:val="left"/>
              <w:rPr>
                <w:b/>
                <w:i/>
                <w:sz w:val="16"/>
              </w:rPr>
            </w:pPr>
          </w:p>
          <w:p>
            <w:pPr>
              <w:pStyle w:val="TableParagraph"/>
              <w:ind w:left="1186"/>
              <w:jc w:val="left"/>
              <w:rPr>
                <w:b/>
                <w:sz w:val="16"/>
              </w:rPr>
            </w:pPr>
            <w:r>
              <w:rPr>
                <w:b/>
                <w:sz w:val="16"/>
              </w:rPr>
              <w:t>Máxima longitud del ramal de ventilación (m)</w:t>
            </w:r>
          </w:p>
        </w:tc>
      </w:tr>
      <w:tr>
        <w:trPr>
          <w:trHeight w:val="184" w:hRule="atLeast"/>
        </w:trPr>
        <w:tc>
          <w:tcPr>
            <w:tcW w:w="1635" w:type="dxa"/>
            <w:tcBorders>
              <w:left w:val="nil"/>
              <w:right w:val="nil"/>
            </w:tcBorders>
          </w:tcPr>
          <w:p>
            <w:pPr>
              <w:pStyle w:val="TableParagraph"/>
              <w:spacing w:line="164" w:lineRule="exact"/>
              <w:ind w:left="736"/>
              <w:jc w:val="left"/>
              <w:rPr>
                <w:sz w:val="16"/>
              </w:rPr>
            </w:pPr>
            <w:r>
              <w:rPr>
                <w:sz w:val="16"/>
              </w:rPr>
              <w:t>32</w:t>
            </w:r>
          </w:p>
        </w:tc>
        <w:tc>
          <w:tcPr>
            <w:tcW w:w="1530" w:type="dxa"/>
            <w:tcBorders>
              <w:left w:val="nil"/>
            </w:tcBorders>
          </w:tcPr>
          <w:p>
            <w:pPr>
              <w:pStyle w:val="TableParagraph"/>
              <w:spacing w:line="164" w:lineRule="exact"/>
              <w:ind w:left="4"/>
              <w:rPr>
                <w:sz w:val="16"/>
              </w:rPr>
            </w:pPr>
            <w:r>
              <w:rPr>
                <w:w w:val="99"/>
                <w:sz w:val="16"/>
              </w:rPr>
              <w:t>2</w:t>
            </w:r>
          </w:p>
        </w:tc>
        <w:tc>
          <w:tcPr>
            <w:tcW w:w="5799" w:type="dxa"/>
            <w:gridSpan w:val="5"/>
            <w:tcBorders>
              <w:right w:val="nil"/>
            </w:tcBorders>
          </w:tcPr>
          <w:p>
            <w:pPr>
              <w:pStyle w:val="TableParagraph"/>
              <w:spacing w:line="164" w:lineRule="exact"/>
              <w:ind w:left="500"/>
              <w:jc w:val="left"/>
              <w:rPr>
                <w:sz w:val="16"/>
              </w:rPr>
            </w:pPr>
            <w:r>
              <w:rPr>
                <w:sz w:val="16"/>
              </w:rPr>
              <w:t>&gt;300</w:t>
            </w:r>
          </w:p>
        </w:tc>
      </w:tr>
      <w:tr>
        <w:trPr>
          <w:trHeight w:val="184" w:hRule="atLeast"/>
        </w:trPr>
        <w:tc>
          <w:tcPr>
            <w:tcW w:w="1635" w:type="dxa"/>
            <w:tcBorders>
              <w:left w:val="nil"/>
              <w:right w:val="nil"/>
            </w:tcBorders>
          </w:tcPr>
          <w:p>
            <w:pPr>
              <w:pStyle w:val="TableParagraph"/>
              <w:spacing w:line="164" w:lineRule="exact"/>
              <w:ind w:left="736"/>
              <w:jc w:val="left"/>
              <w:rPr>
                <w:sz w:val="16"/>
              </w:rPr>
            </w:pPr>
            <w:r>
              <w:rPr>
                <w:sz w:val="16"/>
              </w:rPr>
              <w:t>40</w:t>
            </w:r>
          </w:p>
        </w:tc>
        <w:tc>
          <w:tcPr>
            <w:tcW w:w="1530" w:type="dxa"/>
            <w:tcBorders>
              <w:left w:val="nil"/>
            </w:tcBorders>
          </w:tcPr>
          <w:p>
            <w:pPr>
              <w:pStyle w:val="TableParagraph"/>
              <w:spacing w:line="164" w:lineRule="exact"/>
              <w:ind w:left="4"/>
              <w:rPr>
                <w:sz w:val="16"/>
              </w:rPr>
            </w:pPr>
            <w:r>
              <w:rPr>
                <w:w w:val="99"/>
                <w:sz w:val="16"/>
              </w:rPr>
              <w:t>2</w:t>
            </w:r>
          </w:p>
        </w:tc>
        <w:tc>
          <w:tcPr>
            <w:tcW w:w="1301" w:type="dxa"/>
            <w:tcBorders>
              <w:right w:val="nil"/>
            </w:tcBorders>
          </w:tcPr>
          <w:p>
            <w:pPr>
              <w:pStyle w:val="TableParagraph"/>
              <w:spacing w:line="164" w:lineRule="exact"/>
              <w:ind w:left="479" w:right="416"/>
              <w:rPr>
                <w:sz w:val="16"/>
              </w:rPr>
            </w:pPr>
            <w:r>
              <w:rPr>
                <w:sz w:val="16"/>
              </w:rPr>
              <w:t>&gt;300</w:t>
            </w:r>
          </w:p>
        </w:tc>
        <w:tc>
          <w:tcPr>
            <w:tcW w:w="1161" w:type="dxa"/>
            <w:tcBorders>
              <w:left w:val="nil"/>
              <w:right w:val="nil"/>
            </w:tcBorders>
          </w:tcPr>
          <w:p>
            <w:pPr>
              <w:pStyle w:val="TableParagraph"/>
              <w:spacing w:line="164" w:lineRule="exact"/>
              <w:ind w:left="414" w:right="345"/>
              <w:rPr>
                <w:sz w:val="16"/>
              </w:rPr>
            </w:pPr>
            <w:r>
              <w:rPr>
                <w:sz w:val="16"/>
              </w:rPr>
              <w:t>&gt;300</w:t>
            </w:r>
          </w:p>
        </w:tc>
        <w:tc>
          <w:tcPr>
            <w:tcW w:w="1110" w:type="dxa"/>
            <w:tcBorders>
              <w:left w:val="nil"/>
              <w:right w:val="nil"/>
            </w:tcBorders>
          </w:tcPr>
          <w:p>
            <w:pPr>
              <w:pStyle w:val="TableParagraph"/>
              <w:jc w:val="left"/>
              <w:rPr>
                <w:rFonts w:ascii="Times New Roman"/>
                <w:sz w:val="12"/>
              </w:rPr>
            </w:pPr>
          </w:p>
        </w:tc>
        <w:tc>
          <w:tcPr>
            <w:tcW w:w="1125" w:type="dxa"/>
            <w:tcBorders>
              <w:left w:val="nil"/>
              <w:right w:val="nil"/>
            </w:tcBorders>
          </w:tcPr>
          <w:p>
            <w:pPr>
              <w:pStyle w:val="TableParagraph"/>
              <w:jc w:val="left"/>
              <w:rPr>
                <w:rFonts w:ascii="Times New Roman"/>
                <w:sz w:val="12"/>
              </w:rPr>
            </w:pPr>
          </w:p>
        </w:tc>
        <w:tc>
          <w:tcPr>
            <w:tcW w:w="1102" w:type="dxa"/>
            <w:tcBorders>
              <w:left w:val="nil"/>
              <w:right w:val="nil"/>
            </w:tcBorders>
          </w:tcPr>
          <w:p>
            <w:pPr>
              <w:pStyle w:val="TableParagraph"/>
              <w:jc w:val="left"/>
              <w:rPr>
                <w:rFonts w:ascii="Times New Roman"/>
                <w:sz w:val="12"/>
              </w:rPr>
            </w:pPr>
          </w:p>
        </w:tc>
      </w:tr>
      <w:tr>
        <w:trPr>
          <w:trHeight w:val="368" w:hRule="atLeast"/>
        </w:trPr>
        <w:tc>
          <w:tcPr>
            <w:tcW w:w="1635" w:type="dxa"/>
            <w:tcBorders>
              <w:left w:val="nil"/>
              <w:right w:val="nil"/>
            </w:tcBorders>
          </w:tcPr>
          <w:p>
            <w:pPr>
              <w:pStyle w:val="TableParagraph"/>
              <w:spacing w:line="182" w:lineRule="exact"/>
              <w:ind w:left="736"/>
              <w:jc w:val="left"/>
              <w:rPr>
                <w:sz w:val="16"/>
              </w:rPr>
            </w:pPr>
            <w:r>
              <w:rPr>
                <w:sz w:val="16"/>
              </w:rPr>
              <w:t>50</w:t>
            </w:r>
          </w:p>
        </w:tc>
        <w:tc>
          <w:tcPr>
            <w:tcW w:w="1530" w:type="dxa"/>
            <w:tcBorders>
              <w:left w:val="nil"/>
            </w:tcBorders>
          </w:tcPr>
          <w:p>
            <w:pPr>
              <w:pStyle w:val="TableParagraph"/>
              <w:spacing w:line="182" w:lineRule="exact"/>
              <w:ind w:left="4"/>
              <w:rPr>
                <w:sz w:val="16"/>
              </w:rPr>
            </w:pPr>
            <w:r>
              <w:rPr>
                <w:w w:val="99"/>
                <w:sz w:val="16"/>
              </w:rPr>
              <w:t>1</w:t>
            </w:r>
          </w:p>
          <w:p>
            <w:pPr>
              <w:pStyle w:val="TableParagraph"/>
              <w:spacing w:line="167" w:lineRule="exact"/>
              <w:ind w:left="4"/>
              <w:rPr>
                <w:sz w:val="16"/>
              </w:rPr>
            </w:pPr>
            <w:r>
              <w:rPr>
                <w:w w:val="99"/>
                <w:sz w:val="16"/>
              </w:rPr>
              <w:t>2</w:t>
            </w:r>
          </w:p>
        </w:tc>
        <w:tc>
          <w:tcPr>
            <w:tcW w:w="1301" w:type="dxa"/>
            <w:tcBorders>
              <w:right w:val="nil"/>
            </w:tcBorders>
          </w:tcPr>
          <w:p>
            <w:pPr>
              <w:pStyle w:val="TableParagraph"/>
              <w:spacing w:line="182" w:lineRule="exact"/>
              <w:ind w:left="479" w:right="416"/>
              <w:rPr>
                <w:sz w:val="16"/>
              </w:rPr>
            </w:pPr>
            <w:r>
              <w:rPr>
                <w:sz w:val="16"/>
              </w:rPr>
              <w:t>&gt;300</w:t>
            </w:r>
          </w:p>
          <w:p>
            <w:pPr>
              <w:pStyle w:val="TableParagraph"/>
              <w:spacing w:line="167" w:lineRule="exact"/>
              <w:ind w:left="479" w:right="416"/>
              <w:rPr>
                <w:sz w:val="16"/>
              </w:rPr>
            </w:pPr>
            <w:r>
              <w:rPr>
                <w:sz w:val="16"/>
              </w:rPr>
              <w:t>&gt;300</w:t>
            </w:r>
          </w:p>
        </w:tc>
        <w:tc>
          <w:tcPr>
            <w:tcW w:w="1161" w:type="dxa"/>
            <w:tcBorders>
              <w:left w:val="nil"/>
              <w:right w:val="nil"/>
            </w:tcBorders>
          </w:tcPr>
          <w:p>
            <w:pPr>
              <w:pStyle w:val="TableParagraph"/>
              <w:spacing w:line="182" w:lineRule="exact"/>
              <w:ind w:left="435"/>
              <w:jc w:val="left"/>
              <w:rPr>
                <w:sz w:val="16"/>
              </w:rPr>
            </w:pPr>
            <w:r>
              <w:rPr>
                <w:sz w:val="16"/>
              </w:rPr>
              <w:t>&gt;300</w:t>
            </w:r>
          </w:p>
          <w:p>
            <w:pPr>
              <w:pStyle w:val="TableParagraph"/>
              <w:spacing w:line="167" w:lineRule="exact"/>
              <w:ind w:left="435"/>
              <w:jc w:val="left"/>
              <w:rPr>
                <w:sz w:val="16"/>
              </w:rPr>
            </w:pPr>
            <w:r>
              <w:rPr>
                <w:sz w:val="16"/>
              </w:rPr>
              <w:t>&gt;300</w:t>
            </w:r>
          </w:p>
        </w:tc>
        <w:tc>
          <w:tcPr>
            <w:tcW w:w="1110" w:type="dxa"/>
            <w:tcBorders>
              <w:left w:val="nil"/>
              <w:right w:val="nil"/>
            </w:tcBorders>
          </w:tcPr>
          <w:p>
            <w:pPr>
              <w:pStyle w:val="TableParagraph"/>
              <w:spacing w:line="182" w:lineRule="exact"/>
              <w:ind w:left="364"/>
              <w:jc w:val="left"/>
              <w:rPr>
                <w:sz w:val="16"/>
              </w:rPr>
            </w:pPr>
            <w:r>
              <w:rPr>
                <w:sz w:val="16"/>
              </w:rPr>
              <w:t>&gt;300</w:t>
            </w:r>
          </w:p>
          <w:p>
            <w:pPr>
              <w:pStyle w:val="TableParagraph"/>
              <w:spacing w:line="167" w:lineRule="exact"/>
              <w:ind w:left="364"/>
              <w:jc w:val="left"/>
              <w:rPr>
                <w:sz w:val="16"/>
              </w:rPr>
            </w:pPr>
            <w:r>
              <w:rPr>
                <w:sz w:val="16"/>
              </w:rPr>
              <w:t>&gt;300</w:t>
            </w:r>
          </w:p>
        </w:tc>
        <w:tc>
          <w:tcPr>
            <w:tcW w:w="1125" w:type="dxa"/>
            <w:tcBorders>
              <w:left w:val="nil"/>
              <w:right w:val="nil"/>
            </w:tcBorders>
          </w:tcPr>
          <w:p>
            <w:pPr>
              <w:pStyle w:val="TableParagraph"/>
              <w:jc w:val="left"/>
              <w:rPr>
                <w:rFonts w:ascii="Times New Roman"/>
                <w:sz w:val="18"/>
              </w:rPr>
            </w:pPr>
          </w:p>
        </w:tc>
        <w:tc>
          <w:tcPr>
            <w:tcW w:w="1102" w:type="dxa"/>
            <w:tcBorders>
              <w:left w:val="nil"/>
              <w:right w:val="nil"/>
            </w:tcBorders>
          </w:tcPr>
          <w:p>
            <w:pPr>
              <w:pStyle w:val="TableParagraph"/>
              <w:jc w:val="left"/>
              <w:rPr>
                <w:rFonts w:ascii="Times New Roman"/>
                <w:sz w:val="18"/>
              </w:rPr>
            </w:pPr>
          </w:p>
        </w:tc>
      </w:tr>
      <w:tr>
        <w:trPr>
          <w:trHeight w:val="367" w:hRule="atLeast"/>
        </w:trPr>
        <w:tc>
          <w:tcPr>
            <w:tcW w:w="1635" w:type="dxa"/>
            <w:tcBorders>
              <w:left w:val="nil"/>
              <w:right w:val="nil"/>
            </w:tcBorders>
          </w:tcPr>
          <w:p>
            <w:pPr>
              <w:pStyle w:val="TableParagraph"/>
              <w:spacing w:line="181" w:lineRule="exact"/>
              <w:ind w:left="736"/>
              <w:jc w:val="left"/>
              <w:rPr>
                <w:sz w:val="16"/>
              </w:rPr>
            </w:pPr>
            <w:r>
              <w:rPr>
                <w:sz w:val="16"/>
              </w:rPr>
              <w:t>65</w:t>
            </w:r>
          </w:p>
        </w:tc>
        <w:tc>
          <w:tcPr>
            <w:tcW w:w="1530" w:type="dxa"/>
            <w:tcBorders>
              <w:left w:val="nil"/>
            </w:tcBorders>
          </w:tcPr>
          <w:p>
            <w:pPr>
              <w:pStyle w:val="TableParagraph"/>
              <w:spacing w:line="181" w:lineRule="exact"/>
              <w:ind w:left="4"/>
              <w:rPr>
                <w:sz w:val="16"/>
              </w:rPr>
            </w:pPr>
            <w:r>
              <w:rPr>
                <w:w w:val="99"/>
                <w:sz w:val="16"/>
              </w:rPr>
              <w:t>1</w:t>
            </w:r>
          </w:p>
          <w:p>
            <w:pPr>
              <w:pStyle w:val="TableParagraph"/>
              <w:spacing w:line="167" w:lineRule="exact"/>
              <w:ind w:left="4"/>
              <w:rPr>
                <w:sz w:val="16"/>
              </w:rPr>
            </w:pPr>
            <w:r>
              <w:rPr>
                <w:w w:val="99"/>
                <w:sz w:val="16"/>
              </w:rPr>
              <w:t>2</w:t>
            </w:r>
          </w:p>
        </w:tc>
        <w:tc>
          <w:tcPr>
            <w:tcW w:w="1301" w:type="dxa"/>
            <w:tcBorders>
              <w:right w:val="nil"/>
            </w:tcBorders>
          </w:tcPr>
          <w:p>
            <w:pPr>
              <w:pStyle w:val="TableParagraph"/>
              <w:spacing w:line="181" w:lineRule="exact"/>
              <w:ind w:left="479" w:right="415"/>
              <w:rPr>
                <w:sz w:val="16"/>
              </w:rPr>
            </w:pPr>
            <w:r>
              <w:rPr>
                <w:sz w:val="16"/>
              </w:rPr>
              <w:t>300</w:t>
            </w:r>
          </w:p>
          <w:p>
            <w:pPr>
              <w:pStyle w:val="TableParagraph"/>
              <w:spacing w:line="167" w:lineRule="exact"/>
              <w:ind w:left="479" w:right="415"/>
              <w:rPr>
                <w:sz w:val="16"/>
              </w:rPr>
            </w:pPr>
            <w:r>
              <w:rPr>
                <w:sz w:val="16"/>
              </w:rPr>
              <w:t>250</w:t>
            </w:r>
          </w:p>
        </w:tc>
        <w:tc>
          <w:tcPr>
            <w:tcW w:w="1161" w:type="dxa"/>
            <w:tcBorders>
              <w:left w:val="nil"/>
              <w:right w:val="nil"/>
            </w:tcBorders>
          </w:tcPr>
          <w:p>
            <w:pPr>
              <w:pStyle w:val="TableParagraph"/>
              <w:spacing w:line="181" w:lineRule="exact"/>
              <w:ind w:left="435"/>
              <w:jc w:val="left"/>
              <w:rPr>
                <w:sz w:val="16"/>
              </w:rPr>
            </w:pPr>
            <w:r>
              <w:rPr>
                <w:sz w:val="16"/>
              </w:rPr>
              <w:t>&gt;300</w:t>
            </w:r>
          </w:p>
          <w:p>
            <w:pPr>
              <w:pStyle w:val="TableParagraph"/>
              <w:spacing w:line="167" w:lineRule="exact"/>
              <w:ind w:left="435"/>
              <w:jc w:val="left"/>
              <w:rPr>
                <w:sz w:val="16"/>
              </w:rPr>
            </w:pPr>
            <w:r>
              <w:rPr>
                <w:sz w:val="16"/>
              </w:rPr>
              <w:t>&gt;300</w:t>
            </w:r>
          </w:p>
        </w:tc>
        <w:tc>
          <w:tcPr>
            <w:tcW w:w="1110" w:type="dxa"/>
            <w:tcBorders>
              <w:left w:val="nil"/>
              <w:right w:val="nil"/>
            </w:tcBorders>
          </w:tcPr>
          <w:p>
            <w:pPr>
              <w:pStyle w:val="TableParagraph"/>
              <w:spacing w:line="181" w:lineRule="exact"/>
              <w:ind w:left="364"/>
              <w:jc w:val="left"/>
              <w:rPr>
                <w:sz w:val="16"/>
              </w:rPr>
            </w:pPr>
            <w:r>
              <w:rPr>
                <w:sz w:val="16"/>
              </w:rPr>
              <w:t>&gt;300</w:t>
            </w:r>
          </w:p>
          <w:p>
            <w:pPr>
              <w:pStyle w:val="TableParagraph"/>
              <w:spacing w:line="167" w:lineRule="exact"/>
              <w:ind w:left="364"/>
              <w:jc w:val="left"/>
              <w:rPr>
                <w:sz w:val="16"/>
              </w:rPr>
            </w:pPr>
            <w:r>
              <w:rPr>
                <w:sz w:val="16"/>
              </w:rPr>
              <w:t>&gt;300</w:t>
            </w:r>
          </w:p>
        </w:tc>
        <w:tc>
          <w:tcPr>
            <w:tcW w:w="1125" w:type="dxa"/>
            <w:tcBorders>
              <w:left w:val="nil"/>
              <w:right w:val="nil"/>
            </w:tcBorders>
          </w:tcPr>
          <w:p>
            <w:pPr>
              <w:pStyle w:val="TableParagraph"/>
              <w:spacing w:line="181" w:lineRule="exact"/>
              <w:ind w:left="362" w:right="361"/>
              <w:rPr>
                <w:sz w:val="16"/>
              </w:rPr>
            </w:pPr>
            <w:r>
              <w:rPr>
                <w:sz w:val="16"/>
              </w:rPr>
              <w:t>&gt;300</w:t>
            </w:r>
          </w:p>
          <w:p>
            <w:pPr>
              <w:pStyle w:val="TableParagraph"/>
              <w:spacing w:line="167" w:lineRule="exact"/>
              <w:ind w:left="362" w:right="361"/>
              <w:rPr>
                <w:sz w:val="16"/>
              </w:rPr>
            </w:pPr>
            <w:r>
              <w:rPr>
                <w:sz w:val="16"/>
              </w:rPr>
              <w:t>&gt;300</w:t>
            </w:r>
          </w:p>
        </w:tc>
        <w:tc>
          <w:tcPr>
            <w:tcW w:w="1102" w:type="dxa"/>
            <w:tcBorders>
              <w:left w:val="nil"/>
              <w:right w:val="nil"/>
            </w:tcBorders>
          </w:tcPr>
          <w:p>
            <w:pPr>
              <w:pStyle w:val="TableParagraph"/>
              <w:jc w:val="left"/>
              <w:rPr>
                <w:rFonts w:ascii="Times New Roman"/>
                <w:sz w:val="18"/>
              </w:rPr>
            </w:pPr>
          </w:p>
        </w:tc>
      </w:tr>
      <w:tr>
        <w:trPr>
          <w:trHeight w:val="368" w:hRule="atLeast"/>
        </w:trPr>
        <w:tc>
          <w:tcPr>
            <w:tcW w:w="1635" w:type="dxa"/>
            <w:tcBorders>
              <w:left w:val="nil"/>
              <w:right w:val="nil"/>
            </w:tcBorders>
          </w:tcPr>
          <w:p>
            <w:pPr>
              <w:pStyle w:val="TableParagraph"/>
              <w:spacing w:line="181" w:lineRule="exact"/>
              <w:ind w:left="736"/>
              <w:jc w:val="left"/>
              <w:rPr>
                <w:sz w:val="16"/>
              </w:rPr>
            </w:pPr>
            <w:r>
              <w:rPr>
                <w:sz w:val="16"/>
              </w:rPr>
              <w:t>80</w:t>
            </w:r>
          </w:p>
        </w:tc>
        <w:tc>
          <w:tcPr>
            <w:tcW w:w="1530" w:type="dxa"/>
            <w:tcBorders>
              <w:left w:val="nil"/>
            </w:tcBorders>
          </w:tcPr>
          <w:p>
            <w:pPr>
              <w:pStyle w:val="TableParagraph"/>
              <w:spacing w:line="181" w:lineRule="exact"/>
              <w:ind w:left="4"/>
              <w:rPr>
                <w:sz w:val="16"/>
              </w:rPr>
            </w:pPr>
            <w:r>
              <w:rPr>
                <w:w w:val="99"/>
                <w:sz w:val="16"/>
              </w:rPr>
              <w:t>1</w:t>
            </w:r>
          </w:p>
          <w:p>
            <w:pPr>
              <w:pStyle w:val="TableParagraph"/>
              <w:spacing w:line="167" w:lineRule="exact"/>
              <w:ind w:left="4"/>
              <w:rPr>
                <w:sz w:val="16"/>
              </w:rPr>
            </w:pPr>
            <w:r>
              <w:rPr>
                <w:w w:val="99"/>
                <w:sz w:val="16"/>
              </w:rPr>
              <w:t>2</w:t>
            </w:r>
          </w:p>
        </w:tc>
        <w:tc>
          <w:tcPr>
            <w:tcW w:w="1301" w:type="dxa"/>
            <w:tcBorders>
              <w:right w:val="nil"/>
            </w:tcBorders>
          </w:tcPr>
          <w:p>
            <w:pPr>
              <w:pStyle w:val="TableParagraph"/>
              <w:spacing w:line="181" w:lineRule="exact"/>
              <w:ind w:left="479" w:right="415"/>
              <w:rPr>
                <w:sz w:val="16"/>
              </w:rPr>
            </w:pPr>
            <w:r>
              <w:rPr>
                <w:sz w:val="16"/>
              </w:rPr>
              <w:t>200</w:t>
            </w:r>
          </w:p>
          <w:p>
            <w:pPr>
              <w:pStyle w:val="TableParagraph"/>
              <w:spacing w:line="167" w:lineRule="exact"/>
              <w:ind w:left="479" w:right="415"/>
              <w:rPr>
                <w:sz w:val="16"/>
              </w:rPr>
            </w:pPr>
            <w:r>
              <w:rPr>
                <w:sz w:val="16"/>
              </w:rPr>
              <w:t>100</w:t>
            </w:r>
          </w:p>
        </w:tc>
        <w:tc>
          <w:tcPr>
            <w:tcW w:w="1161" w:type="dxa"/>
            <w:tcBorders>
              <w:left w:val="nil"/>
              <w:right w:val="nil"/>
            </w:tcBorders>
          </w:tcPr>
          <w:p>
            <w:pPr>
              <w:pStyle w:val="TableParagraph"/>
              <w:spacing w:line="181" w:lineRule="exact"/>
              <w:ind w:left="414" w:right="345"/>
              <w:rPr>
                <w:sz w:val="16"/>
              </w:rPr>
            </w:pPr>
            <w:r>
              <w:rPr>
                <w:sz w:val="16"/>
              </w:rPr>
              <w:t>300</w:t>
            </w:r>
          </w:p>
          <w:p>
            <w:pPr>
              <w:pStyle w:val="TableParagraph"/>
              <w:spacing w:line="167" w:lineRule="exact"/>
              <w:ind w:left="414" w:right="345"/>
              <w:rPr>
                <w:sz w:val="16"/>
              </w:rPr>
            </w:pPr>
            <w:r>
              <w:rPr>
                <w:sz w:val="16"/>
              </w:rPr>
              <w:t>215</w:t>
            </w:r>
          </w:p>
        </w:tc>
        <w:tc>
          <w:tcPr>
            <w:tcW w:w="1110" w:type="dxa"/>
            <w:tcBorders>
              <w:left w:val="nil"/>
              <w:right w:val="nil"/>
            </w:tcBorders>
          </w:tcPr>
          <w:p>
            <w:pPr>
              <w:pStyle w:val="TableParagraph"/>
              <w:spacing w:line="181" w:lineRule="exact"/>
              <w:ind w:left="364"/>
              <w:jc w:val="left"/>
              <w:rPr>
                <w:sz w:val="16"/>
              </w:rPr>
            </w:pPr>
            <w:r>
              <w:rPr>
                <w:sz w:val="16"/>
              </w:rPr>
              <w:t>&gt;300</w:t>
            </w:r>
          </w:p>
          <w:p>
            <w:pPr>
              <w:pStyle w:val="TableParagraph"/>
              <w:spacing w:line="167" w:lineRule="exact"/>
              <w:ind w:left="364"/>
              <w:jc w:val="left"/>
              <w:rPr>
                <w:sz w:val="16"/>
              </w:rPr>
            </w:pPr>
            <w:r>
              <w:rPr>
                <w:sz w:val="16"/>
              </w:rPr>
              <w:t>&gt;300</w:t>
            </w:r>
          </w:p>
        </w:tc>
        <w:tc>
          <w:tcPr>
            <w:tcW w:w="1125" w:type="dxa"/>
            <w:tcBorders>
              <w:left w:val="nil"/>
              <w:right w:val="nil"/>
            </w:tcBorders>
          </w:tcPr>
          <w:p>
            <w:pPr>
              <w:pStyle w:val="TableParagraph"/>
              <w:spacing w:line="181" w:lineRule="exact"/>
              <w:ind w:left="362" w:right="361"/>
              <w:rPr>
                <w:sz w:val="16"/>
              </w:rPr>
            </w:pPr>
            <w:r>
              <w:rPr>
                <w:sz w:val="16"/>
              </w:rPr>
              <w:t>&gt;300</w:t>
            </w:r>
          </w:p>
          <w:p>
            <w:pPr>
              <w:pStyle w:val="TableParagraph"/>
              <w:spacing w:line="167" w:lineRule="exact"/>
              <w:ind w:left="362" w:right="361"/>
              <w:rPr>
                <w:sz w:val="16"/>
              </w:rPr>
            </w:pPr>
            <w:r>
              <w:rPr>
                <w:sz w:val="16"/>
              </w:rPr>
              <w:t>&gt;300</w:t>
            </w:r>
          </w:p>
        </w:tc>
        <w:tc>
          <w:tcPr>
            <w:tcW w:w="1102" w:type="dxa"/>
            <w:tcBorders>
              <w:left w:val="nil"/>
              <w:right w:val="nil"/>
            </w:tcBorders>
          </w:tcPr>
          <w:p>
            <w:pPr>
              <w:pStyle w:val="TableParagraph"/>
              <w:spacing w:line="181" w:lineRule="exact"/>
              <w:ind w:left="379"/>
              <w:jc w:val="left"/>
              <w:rPr>
                <w:sz w:val="16"/>
              </w:rPr>
            </w:pPr>
            <w:r>
              <w:rPr>
                <w:sz w:val="16"/>
              </w:rPr>
              <w:t>&gt;300</w:t>
            </w:r>
          </w:p>
          <w:p>
            <w:pPr>
              <w:pStyle w:val="TableParagraph"/>
              <w:spacing w:line="167" w:lineRule="exact"/>
              <w:ind w:left="379"/>
              <w:jc w:val="left"/>
              <w:rPr>
                <w:sz w:val="16"/>
              </w:rPr>
            </w:pPr>
            <w:r>
              <w:rPr>
                <w:sz w:val="16"/>
              </w:rPr>
              <w:t>&gt;300</w:t>
            </w:r>
          </w:p>
        </w:tc>
      </w:tr>
      <w:tr>
        <w:trPr>
          <w:trHeight w:val="367" w:hRule="atLeast"/>
        </w:trPr>
        <w:tc>
          <w:tcPr>
            <w:tcW w:w="1635" w:type="dxa"/>
            <w:tcBorders>
              <w:left w:val="nil"/>
              <w:right w:val="nil"/>
            </w:tcBorders>
          </w:tcPr>
          <w:p>
            <w:pPr>
              <w:pStyle w:val="TableParagraph"/>
              <w:spacing w:line="181" w:lineRule="exact"/>
              <w:ind w:left="692"/>
              <w:jc w:val="left"/>
              <w:rPr>
                <w:sz w:val="16"/>
              </w:rPr>
            </w:pPr>
            <w:r>
              <w:rPr>
                <w:sz w:val="16"/>
              </w:rPr>
              <w:t>100</w:t>
            </w:r>
          </w:p>
        </w:tc>
        <w:tc>
          <w:tcPr>
            <w:tcW w:w="1530" w:type="dxa"/>
            <w:tcBorders>
              <w:left w:val="nil"/>
            </w:tcBorders>
          </w:tcPr>
          <w:p>
            <w:pPr>
              <w:pStyle w:val="TableParagraph"/>
              <w:spacing w:line="181" w:lineRule="exact"/>
              <w:ind w:left="4"/>
              <w:rPr>
                <w:sz w:val="16"/>
              </w:rPr>
            </w:pPr>
            <w:r>
              <w:rPr>
                <w:w w:val="99"/>
                <w:sz w:val="16"/>
              </w:rPr>
              <w:t>1</w:t>
            </w:r>
          </w:p>
          <w:p>
            <w:pPr>
              <w:pStyle w:val="TableParagraph"/>
              <w:spacing w:line="167" w:lineRule="exact"/>
              <w:ind w:left="4"/>
              <w:rPr>
                <w:sz w:val="16"/>
              </w:rPr>
            </w:pPr>
            <w:r>
              <w:rPr>
                <w:w w:val="99"/>
                <w:sz w:val="16"/>
              </w:rPr>
              <w:t>2</w:t>
            </w:r>
          </w:p>
        </w:tc>
        <w:tc>
          <w:tcPr>
            <w:tcW w:w="1301" w:type="dxa"/>
            <w:tcBorders>
              <w:right w:val="nil"/>
            </w:tcBorders>
          </w:tcPr>
          <w:p>
            <w:pPr>
              <w:pStyle w:val="TableParagraph"/>
              <w:spacing w:line="181" w:lineRule="exact"/>
              <w:ind w:left="479" w:right="415"/>
              <w:rPr>
                <w:sz w:val="16"/>
              </w:rPr>
            </w:pPr>
            <w:r>
              <w:rPr>
                <w:sz w:val="16"/>
              </w:rPr>
              <w:t>40</w:t>
            </w:r>
          </w:p>
          <w:p>
            <w:pPr>
              <w:pStyle w:val="TableParagraph"/>
              <w:spacing w:line="167" w:lineRule="exact"/>
              <w:ind w:left="479" w:right="415"/>
              <w:rPr>
                <w:sz w:val="16"/>
              </w:rPr>
            </w:pPr>
            <w:r>
              <w:rPr>
                <w:sz w:val="16"/>
              </w:rPr>
              <w:t>20</w:t>
            </w:r>
          </w:p>
        </w:tc>
        <w:tc>
          <w:tcPr>
            <w:tcW w:w="1161" w:type="dxa"/>
            <w:tcBorders>
              <w:left w:val="nil"/>
              <w:right w:val="nil"/>
            </w:tcBorders>
          </w:tcPr>
          <w:p>
            <w:pPr>
              <w:pStyle w:val="TableParagraph"/>
              <w:spacing w:line="181" w:lineRule="exact"/>
              <w:ind w:left="414" w:right="345"/>
              <w:rPr>
                <w:sz w:val="16"/>
              </w:rPr>
            </w:pPr>
            <w:r>
              <w:rPr>
                <w:sz w:val="16"/>
              </w:rPr>
              <w:t>110</w:t>
            </w:r>
          </w:p>
          <w:p>
            <w:pPr>
              <w:pStyle w:val="TableParagraph"/>
              <w:spacing w:line="167" w:lineRule="exact"/>
              <w:ind w:left="414" w:right="345"/>
              <w:rPr>
                <w:sz w:val="16"/>
              </w:rPr>
            </w:pPr>
            <w:r>
              <w:rPr>
                <w:sz w:val="16"/>
              </w:rPr>
              <w:t>44</w:t>
            </w:r>
          </w:p>
        </w:tc>
        <w:tc>
          <w:tcPr>
            <w:tcW w:w="1110" w:type="dxa"/>
            <w:tcBorders>
              <w:left w:val="nil"/>
              <w:right w:val="nil"/>
            </w:tcBorders>
          </w:tcPr>
          <w:p>
            <w:pPr>
              <w:pStyle w:val="TableParagraph"/>
              <w:spacing w:line="181" w:lineRule="exact"/>
              <w:ind w:left="392" w:right="411"/>
              <w:rPr>
                <w:sz w:val="16"/>
              </w:rPr>
            </w:pPr>
            <w:r>
              <w:rPr>
                <w:sz w:val="16"/>
              </w:rPr>
              <w:t>300</w:t>
            </w:r>
          </w:p>
          <w:p>
            <w:pPr>
              <w:pStyle w:val="TableParagraph"/>
              <w:spacing w:line="167" w:lineRule="exact"/>
              <w:ind w:left="392" w:right="411"/>
              <w:rPr>
                <w:sz w:val="16"/>
              </w:rPr>
            </w:pPr>
            <w:r>
              <w:rPr>
                <w:sz w:val="16"/>
              </w:rPr>
              <w:t>180</w:t>
            </w:r>
          </w:p>
        </w:tc>
        <w:tc>
          <w:tcPr>
            <w:tcW w:w="1125" w:type="dxa"/>
            <w:tcBorders>
              <w:left w:val="nil"/>
              <w:right w:val="nil"/>
            </w:tcBorders>
          </w:tcPr>
          <w:p>
            <w:pPr>
              <w:pStyle w:val="TableParagraph"/>
              <w:spacing w:line="181" w:lineRule="exact"/>
              <w:ind w:left="362" w:right="361"/>
              <w:rPr>
                <w:sz w:val="16"/>
              </w:rPr>
            </w:pPr>
            <w:r>
              <w:rPr>
                <w:sz w:val="16"/>
              </w:rPr>
              <w:t>&gt;300</w:t>
            </w:r>
          </w:p>
          <w:p>
            <w:pPr>
              <w:pStyle w:val="TableParagraph"/>
              <w:spacing w:line="167" w:lineRule="exact"/>
              <w:ind w:left="362" w:right="361"/>
              <w:rPr>
                <w:sz w:val="16"/>
              </w:rPr>
            </w:pPr>
            <w:r>
              <w:rPr>
                <w:sz w:val="16"/>
              </w:rPr>
              <w:t>&gt;300</w:t>
            </w:r>
          </w:p>
        </w:tc>
        <w:tc>
          <w:tcPr>
            <w:tcW w:w="1102" w:type="dxa"/>
            <w:tcBorders>
              <w:left w:val="nil"/>
              <w:right w:val="nil"/>
            </w:tcBorders>
          </w:tcPr>
          <w:p>
            <w:pPr>
              <w:pStyle w:val="TableParagraph"/>
              <w:spacing w:line="181" w:lineRule="exact"/>
              <w:ind w:left="379"/>
              <w:jc w:val="left"/>
              <w:rPr>
                <w:sz w:val="16"/>
              </w:rPr>
            </w:pPr>
            <w:r>
              <w:rPr>
                <w:sz w:val="16"/>
              </w:rPr>
              <w:t>&gt;300</w:t>
            </w:r>
          </w:p>
          <w:p>
            <w:pPr>
              <w:pStyle w:val="TableParagraph"/>
              <w:spacing w:line="167" w:lineRule="exact"/>
              <w:ind w:left="379"/>
              <w:jc w:val="left"/>
              <w:rPr>
                <w:sz w:val="16"/>
              </w:rPr>
            </w:pPr>
            <w:r>
              <w:rPr>
                <w:sz w:val="16"/>
              </w:rPr>
              <w:t>&gt;300</w:t>
            </w:r>
          </w:p>
        </w:tc>
      </w:tr>
      <w:tr>
        <w:trPr>
          <w:trHeight w:val="366" w:hRule="atLeast"/>
        </w:trPr>
        <w:tc>
          <w:tcPr>
            <w:tcW w:w="1635" w:type="dxa"/>
            <w:tcBorders>
              <w:left w:val="nil"/>
              <w:right w:val="nil"/>
            </w:tcBorders>
          </w:tcPr>
          <w:p>
            <w:pPr>
              <w:pStyle w:val="TableParagraph"/>
              <w:spacing w:line="181" w:lineRule="exact"/>
              <w:ind w:left="692"/>
              <w:jc w:val="left"/>
              <w:rPr>
                <w:sz w:val="16"/>
              </w:rPr>
            </w:pPr>
            <w:r>
              <w:rPr>
                <w:sz w:val="16"/>
              </w:rPr>
              <w:t>125</w:t>
            </w:r>
          </w:p>
        </w:tc>
        <w:tc>
          <w:tcPr>
            <w:tcW w:w="1530" w:type="dxa"/>
            <w:tcBorders>
              <w:left w:val="nil"/>
            </w:tcBorders>
          </w:tcPr>
          <w:p>
            <w:pPr>
              <w:pStyle w:val="TableParagraph"/>
              <w:spacing w:line="181" w:lineRule="exact"/>
              <w:ind w:left="4"/>
              <w:rPr>
                <w:sz w:val="16"/>
              </w:rPr>
            </w:pPr>
            <w:r>
              <w:rPr>
                <w:w w:val="99"/>
                <w:sz w:val="16"/>
              </w:rPr>
              <w:t>1</w:t>
            </w:r>
          </w:p>
          <w:p>
            <w:pPr>
              <w:pStyle w:val="TableParagraph"/>
              <w:spacing w:line="166" w:lineRule="exact"/>
              <w:ind w:left="4"/>
              <w:rPr>
                <w:sz w:val="16"/>
              </w:rPr>
            </w:pPr>
            <w:r>
              <w:rPr>
                <w:w w:val="99"/>
                <w:sz w:val="16"/>
              </w:rPr>
              <w:t>2</w:t>
            </w:r>
          </w:p>
        </w:tc>
        <w:tc>
          <w:tcPr>
            <w:tcW w:w="1301" w:type="dxa"/>
            <w:tcBorders>
              <w:right w:val="nil"/>
            </w:tcBorders>
          </w:tcPr>
          <w:p>
            <w:pPr>
              <w:pStyle w:val="TableParagraph"/>
              <w:jc w:val="left"/>
              <w:rPr>
                <w:rFonts w:ascii="Times New Roman"/>
                <w:sz w:val="18"/>
              </w:rPr>
            </w:pPr>
          </w:p>
        </w:tc>
        <w:tc>
          <w:tcPr>
            <w:tcW w:w="1161" w:type="dxa"/>
            <w:tcBorders>
              <w:left w:val="nil"/>
              <w:right w:val="nil"/>
            </w:tcBorders>
          </w:tcPr>
          <w:p>
            <w:pPr>
              <w:pStyle w:val="TableParagraph"/>
              <w:spacing w:line="181" w:lineRule="exact"/>
              <w:ind w:left="414" w:right="345"/>
              <w:rPr>
                <w:sz w:val="16"/>
              </w:rPr>
            </w:pPr>
            <w:r>
              <w:rPr>
                <w:sz w:val="16"/>
              </w:rPr>
              <w:t>28</w:t>
            </w:r>
          </w:p>
          <w:p>
            <w:pPr>
              <w:pStyle w:val="TableParagraph"/>
              <w:spacing w:line="166" w:lineRule="exact"/>
              <w:ind w:left="414" w:right="345"/>
              <w:rPr>
                <w:sz w:val="16"/>
              </w:rPr>
            </w:pPr>
            <w:r>
              <w:rPr>
                <w:sz w:val="16"/>
              </w:rPr>
              <w:t>15</w:t>
            </w:r>
          </w:p>
        </w:tc>
        <w:tc>
          <w:tcPr>
            <w:tcW w:w="1110" w:type="dxa"/>
            <w:tcBorders>
              <w:left w:val="nil"/>
              <w:right w:val="nil"/>
            </w:tcBorders>
          </w:tcPr>
          <w:p>
            <w:pPr>
              <w:pStyle w:val="TableParagraph"/>
              <w:spacing w:line="181" w:lineRule="exact"/>
              <w:ind w:left="392" w:right="411"/>
              <w:rPr>
                <w:sz w:val="16"/>
              </w:rPr>
            </w:pPr>
            <w:r>
              <w:rPr>
                <w:sz w:val="16"/>
              </w:rPr>
              <w:t>107</w:t>
            </w:r>
          </w:p>
          <w:p>
            <w:pPr>
              <w:pStyle w:val="TableParagraph"/>
              <w:spacing w:line="166" w:lineRule="exact"/>
              <w:ind w:left="392" w:right="411"/>
              <w:rPr>
                <w:sz w:val="16"/>
              </w:rPr>
            </w:pPr>
            <w:r>
              <w:rPr>
                <w:sz w:val="16"/>
              </w:rPr>
              <w:t>48</w:t>
            </w:r>
          </w:p>
        </w:tc>
        <w:tc>
          <w:tcPr>
            <w:tcW w:w="1125" w:type="dxa"/>
            <w:tcBorders>
              <w:left w:val="nil"/>
              <w:right w:val="nil"/>
            </w:tcBorders>
          </w:tcPr>
          <w:p>
            <w:pPr>
              <w:pStyle w:val="TableParagraph"/>
              <w:spacing w:line="181" w:lineRule="exact"/>
              <w:ind w:left="362" w:right="361"/>
              <w:rPr>
                <w:sz w:val="16"/>
              </w:rPr>
            </w:pPr>
            <w:r>
              <w:rPr>
                <w:sz w:val="16"/>
              </w:rPr>
              <w:t>255</w:t>
            </w:r>
          </w:p>
          <w:p>
            <w:pPr>
              <w:pStyle w:val="TableParagraph"/>
              <w:spacing w:line="166" w:lineRule="exact"/>
              <w:ind w:left="362" w:right="361"/>
              <w:rPr>
                <w:sz w:val="16"/>
              </w:rPr>
            </w:pPr>
            <w:r>
              <w:rPr>
                <w:sz w:val="16"/>
              </w:rPr>
              <w:t>125</w:t>
            </w:r>
          </w:p>
        </w:tc>
        <w:tc>
          <w:tcPr>
            <w:tcW w:w="1102" w:type="dxa"/>
            <w:tcBorders>
              <w:left w:val="nil"/>
              <w:right w:val="nil"/>
            </w:tcBorders>
          </w:tcPr>
          <w:p>
            <w:pPr>
              <w:pStyle w:val="TableParagraph"/>
              <w:spacing w:line="181" w:lineRule="exact"/>
              <w:ind w:left="379"/>
              <w:jc w:val="left"/>
              <w:rPr>
                <w:sz w:val="16"/>
              </w:rPr>
            </w:pPr>
            <w:r>
              <w:rPr>
                <w:sz w:val="16"/>
              </w:rPr>
              <w:t>&gt;300</w:t>
            </w:r>
          </w:p>
          <w:p>
            <w:pPr>
              <w:pStyle w:val="TableParagraph"/>
              <w:spacing w:line="166" w:lineRule="exact"/>
              <w:ind w:left="379"/>
              <w:jc w:val="left"/>
              <w:rPr>
                <w:sz w:val="16"/>
              </w:rPr>
            </w:pPr>
            <w:r>
              <w:rPr>
                <w:sz w:val="16"/>
              </w:rPr>
              <w:t>&gt;300</w:t>
            </w:r>
          </w:p>
        </w:tc>
      </w:tr>
      <w:tr>
        <w:trPr>
          <w:trHeight w:val="368" w:hRule="atLeast"/>
        </w:trPr>
        <w:tc>
          <w:tcPr>
            <w:tcW w:w="1635" w:type="dxa"/>
            <w:tcBorders>
              <w:left w:val="nil"/>
              <w:right w:val="nil"/>
            </w:tcBorders>
          </w:tcPr>
          <w:p>
            <w:pPr>
              <w:pStyle w:val="TableParagraph"/>
              <w:spacing w:line="183" w:lineRule="exact"/>
              <w:ind w:left="692"/>
              <w:jc w:val="left"/>
              <w:rPr>
                <w:sz w:val="16"/>
              </w:rPr>
            </w:pPr>
            <w:r>
              <w:rPr>
                <w:sz w:val="16"/>
              </w:rPr>
              <w:t>150</w:t>
            </w:r>
          </w:p>
        </w:tc>
        <w:tc>
          <w:tcPr>
            <w:tcW w:w="1530" w:type="dxa"/>
            <w:tcBorders>
              <w:left w:val="nil"/>
            </w:tcBorders>
          </w:tcPr>
          <w:p>
            <w:pPr>
              <w:pStyle w:val="TableParagraph"/>
              <w:spacing w:line="182" w:lineRule="exact"/>
              <w:ind w:left="4"/>
              <w:rPr>
                <w:sz w:val="16"/>
              </w:rPr>
            </w:pPr>
            <w:r>
              <w:rPr>
                <w:w w:val="99"/>
                <w:sz w:val="16"/>
              </w:rPr>
              <w:t>1</w:t>
            </w:r>
          </w:p>
          <w:p>
            <w:pPr>
              <w:pStyle w:val="TableParagraph"/>
              <w:spacing w:line="166" w:lineRule="exact"/>
              <w:ind w:left="4"/>
              <w:rPr>
                <w:sz w:val="16"/>
              </w:rPr>
            </w:pPr>
            <w:r>
              <w:rPr>
                <w:w w:val="99"/>
                <w:sz w:val="16"/>
              </w:rPr>
              <w:t>2</w:t>
            </w:r>
          </w:p>
        </w:tc>
        <w:tc>
          <w:tcPr>
            <w:tcW w:w="1301" w:type="dxa"/>
            <w:tcBorders>
              <w:right w:val="nil"/>
            </w:tcBorders>
          </w:tcPr>
          <w:p>
            <w:pPr>
              <w:pStyle w:val="TableParagraph"/>
              <w:jc w:val="left"/>
              <w:rPr>
                <w:rFonts w:ascii="Times New Roman"/>
                <w:sz w:val="18"/>
              </w:rPr>
            </w:pPr>
          </w:p>
        </w:tc>
        <w:tc>
          <w:tcPr>
            <w:tcW w:w="1161" w:type="dxa"/>
            <w:tcBorders>
              <w:left w:val="nil"/>
              <w:right w:val="nil"/>
            </w:tcBorders>
          </w:tcPr>
          <w:p>
            <w:pPr>
              <w:pStyle w:val="TableParagraph"/>
              <w:jc w:val="left"/>
              <w:rPr>
                <w:rFonts w:ascii="Times New Roman"/>
                <w:sz w:val="18"/>
              </w:rPr>
            </w:pPr>
          </w:p>
        </w:tc>
        <w:tc>
          <w:tcPr>
            <w:tcW w:w="1110" w:type="dxa"/>
            <w:tcBorders>
              <w:left w:val="nil"/>
              <w:right w:val="nil"/>
            </w:tcBorders>
          </w:tcPr>
          <w:p>
            <w:pPr>
              <w:pStyle w:val="TableParagraph"/>
              <w:spacing w:line="182" w:lineRule="exact"/>
              <w:ind w:left="392" w:right="411"/>
              <w:rPr>
                <w:sz w:val="16"/>
              </w:rPr>
            </w:pPr>
            <w:r>
              <w:rPr>
                <w:sz w:val="16"/>
              </w:rPr>
              <w:t>37</w:t>
            </w:r>
          </w:p>
          <w:p>
            <w:pPr>
              <w:pStyle w:val="TableParagraph"/>
              <w:spacing w:line="166" w:lineRule="exact"/>
              <w:ind w:left="392" w:right="411"/>
              <w:rPr>
                <w:sz w:val="16"/>
              </w:rPr>
            </w:pPr>
            <w:r>
              <w:rPr>
                <w:sz w:val="16"/>
              </w:rPr>
              <w:t>18</w:t>
            </w:r>
          </w:p>
        </w:tc>
        <w:tc>
          <w:tcPr>
            <w:tcW w:w="1125" w:type="dxa"/>
            <w:tcBorders>
              <w:left w:val="nil"/>
              <w:right w:val="nil"/>
            </w:tcBorders>
          </w:tcPr>
          <w:p>
            <w:pPr>
              <w:pStyle w:val="TableParagraph"/>
              <w:spacing w:line="182" w:lineRule="exact"/>
              <w:ind w:left="362" w:right="361"/>
              <w:rPr>
                <w:sz w:val="16"/>
              </w:rPr>
            </w:pPr>
            <w:r>
              <w:rPr>
                <w:sz w:val="16"/>
              </w:rPr>
              <w:t>96</w:t>
            </w:r>
          </w:p>
          <w:p>
            <w:pPr>
              <w:pStyle w:val="TableParagraph"/>
              <w:spacing w:line="166" w:lineRule="exact"/>
              <w:ind w:left="362" w:right="361"/>
              <w:rPr>
                <w:sz w:val="16"/>
              </w:rPr>
            </w:pPr>
            <w:r>
              <w:rPr>
                <w:sz w:val="16"/>
              </w:rPr>
              <w:t>47</w:t>
            </w:r>
          </w:p>
        </w:tc>
        <w:tc>
          <w:tcPr>
            <w:tcW w:w="1102" w:type="dxa"/>
            <w:tcBorders>
              <w:left w:val="nil"/>
              <w:right w:val="nil"/>
            </w:tcBorders>
          </w:tcPr>
          <w:p>
            <w:pPr>
              <w:pStyle w:val="TableParagraph"/>
              <w:spacing w:line="182" w:lineRule="exact"/>
              <w:ind w:left="379"/>
              <w:jc w:val="left"/>
              <w:rPr>
                <w:sz w:val="16"/>
              </w:rPr>
            </w:pPr>
            <w:r>
              <w:rPr>
                <w:sz w:val="16"/>
              </w:rPr>
              <w:t>&gt;300</w:t>
            </w:r>
          </w:p>
          <w:p>
            <w:pPr>
              <w:pStyle w:val="TableParagraph"/>
              <w:spacing w:line="166" w:lineRule="exact"/>
              <w:ind w:left="379"/>
              <w:jc w:val="left"/>
              <w:rPr>
                <w:sz w:val="16"/>
              </w:rPr>
            </w:pPr>
            <w:r>
              <w:rPr>
                <w:sz w:val="16"/>
              </w:rPr>
              <w:t>&gt;300</w:t>
            </w:r>
          </w:p>
        </w:tc>
      </w:tr>
      <w:tr>
        <w:trPr>
          <w:trHeight w:val="180" w:hRule="atLeast"/>
        </w:trPr>
        <w:tc>
          <w:tcPr>
            <w:tcW w:w="3165" w:type="dxa"/>
            <w:gridSpan w:val="2"/>
            <w:vMerge w:val="restart"/>
            <w:tcBorders>
              <w:left w:val="nil"/>
            </w:tcBorders>
          </w:tcPr>
          <w:p>
            <w:pPr>
              <w:pStyle w:val="TableParagraph"/>
              <w:jc w:val="left"/>
              <w:rPr>
                <w:rFonts w:ascii="Times New Roman"/>
                <w:sz w:val="18"/>
              </w:rPr>
            </w:pPr>
          </w:p>
        </w:tc>
        <w:tc>
          <w:tcPr>
            <w:tcW w:w="1301" w:type="dxa"/>
            <w:tcBorders>
              <w:bottom w:val="nil"/>
              <w:right w:val="nil"/>
            </w:tcBorders>
          </w:tcPr>
          <w:p>
            <w:pPr>
              <w:pStyle w:val="TableParagraph"/>
              <w:spacing w:line="160" w:lineRule="exact"/>
              <w:ind w:left="479" w:right="415"/>
              <w:rPr>
                <w:b/>
                <w:sz w:val="16"/>
              </w:rPr>
            </w:pPr>
            <w:r>
              <w:rPr>
                <w:b/>
                <w:sz w:val="16"/>
              </w:rPr>
              <w:t>32</w:t>
            </w:r>
          </w:p>
        </w:tc>
        <w:tc>
          <w:tcPr>
            <w:tcW w:w="1161" w:type="dxa"/>
            <w:tcBorders>
              <w:left w:val="nil"/>
              <w:bottom w:val="nil"/>
              <w:right w:val="nil"/>
            </w:tcBorders>
          </w:tcPr>
          <w:p>
            <w:pPr>
              <w:pStyle w:val="TableParagraph"/>
              <w:spacing w:line="160" w:lineRule="exact"/>
              <w:ind w:left="414" w:right="345"/>
              <w:rPr>
                <w:b/>
                <w:sz w:val="16"/>
              </w:rPr>
            </w:pPr>
            <w:r>
              <w:rPr>
                <w:b/>
                <w:sz w:val="16"/>
              </w:rPr>
              <w:t>40</w:t>
            </w:r>
          </w:p>
        </w:tc>
        <w:tc>
          <w:tcPr>
            <w:tcW w:w="1110" w:type="dxa"/>
            <w:tcBorders>
              <w:left w:val="nil"/>
              <w:bottom w:val="nil"/>
              <w:right w:val="nil"/>
            </w:tcBorders>
          </w:tcPr>
          <w:p>
            <w:pPr>
              <w:pStyle w:val="TableParagraph"/>
              <w:spacing w:line="160" w:lineRule="exact"/>
              <w:ind w:left="392" w:right="411"/>
              <w:rPr>
                <w:b/>
                <w:sz w:val="16"/>
              </w:rPr>
            </w:pPr>
            <w:r>
              <w:rPr>
                <w:b/>
                <w:sz w:val="16"/>
              </w:rPr>
              <w:t>50</w:t>
            </w:r>
          </w:p>
        </w:tc>
        <w:tc>
          <w:tcPr>
            <w:tcW w:w="1125" w:type="dxa"/>
            <w:tcBorders>
              <w:left w:val="nil"/>
              <w:bottom w:val="nil"/>
              <w:right w:val="nil"/>
            </w:tcBorders>
          </w:tcPr>
          <w:p>
            <w:pPr>
              <w:pStyle w:val="TableParagraph"/>
              <w:spacing w:line="160" w:lineRule="exact"/>
              <w:ind w:left="362" w:right="361"/>
              <w:rPr>
                <w:b/>
                <w:sz w:val="16"/>
              </w:rPr>
            </w:pPr>
            <w:r>
              <w:rPr>
                <w:b/>
                <w:sz w:val="16"/>
              </w:rPr>
              <w:t>65</w:t>
            </w:r>
          </w:p>
        </w:tc>
        <w:tc>
          <w:tcPr>
            <w:tcW w:w="1102" w:type="dxa"/>
            <w:tcBorders>
              <w:left w:val="nil"/>
              <w:bottom w:val="nil"/>
              <w:right w:val="nil"/>
            </w:tcBorders>
          </w:tcPr>
          <w:p>
            <w:pPr>
              <w:pStyle w:val="TableParagraph"/>
              <w:spacing w:line="160" w:lineRule="exact"/>
              <w:ind w:left="450" w:right="434"/>
              <w:rPr>
                <w:b/>
                <w:sz w:val="16"/>
              </w:rPr>
            </w:pPr>
            <w:r>
              <w:rPr>
                <w:b/>
                <w:sz w:val="16"/>
              </w:rPr>
              <w:t>80</w:t>
            </w:r>
          </w:p>
        </w:tc>
      </w:tr>
      <w:tr>
        <w:trPr>
          <w:trHeight w:val="179" w:hRule="atLeast"/>
        </w:trPr>
        <w:tc>
          <w:tcPr>
            <w:tcW w:w="3165" w:type="dxa"/>
            <w:gridSpan w:val="2"/>
            <w:vMerge/>
            <w:tcBorders>
              <w:top w:val="nil"/>
              <w:left w:val="nil"/>
            </w:tcBorders>
          </w:tcPr>
          <w:p>
            <w:pPr>
              <w:rPr>
                <w:sz w:val="2"/>
                <w:szCs w:val="2"/>
              </w:rPr>
            </w:pPr>
          </w:p>
        </w:tc>
        <w:tc>
          <w:tcPr>
            <w:tcW w:w="1301" w:type="dxa"/>
            <w:tcBorders>
              <w:top w:val="nil"/>
              <w:right w:val="nil"/>
            </w:tcBorders>
          </w:tcPr>
          <w:p>
            <w:pPr>
              <w:pStyle w:val="TableParagraph"/>
              <w:jc w:val="left"/>
              <w:rPr>
                <w:rFonts w:ascii="Times New Roman"/>
                <w:sz w:val="12"/>
              </w:rPr>
            </w:pPr>
          </w:p>
        </w:tc>
        <w:tc>
          <w:tcPr>
            <w:tcW w:w="3396" w:type="dxa"/>
            <w:gridSpan w:val="3"/>
            <w:tcBorders>
              <w:top w:val="nil"/>
              <w:left w:val="nil"/>
              <w:right w:val="nil"/>
            </w:tcBorders>
          </w:tcPr>
          <w:p>
            <w:pPr>
              <w:pStyle w:val="TableParagraph"/>
              <w:spacing w:line="159" w:lineRule="exact"/>
              <w:ind w:left="102"/>
              <w:jc w:val="left"/>
              <w:rPr>
                <w:b/>
                <w:sz w:val="16"/>
              </w:rPr>
            </w:pPr>
            <w:r>
              <w:rPr>
                <w:b/>
                <w:sz w:val="16"/>
              </w:rPr>
              <w:t>Diámetro del ramal de ventilación (mm)</w:t>
            </w:r>
          </w:p>
        </w:tc>
        <w:tc>
          <w:tcPr>
            <w:tcW w:w="1102" w:type="dxa"/>
            <w:tcBorders>
              <w:top w:val="nil"/>
              <w:left w:val="nil"/>
              <w:right w:val="nil"/>
            </w:tcBorders>
          </w:tcPr>
          <w:p>
            <w:pPr>
              <w:pStyle w:val="TableParagraph"/>
              <w:jc w:val="left"/>
              <w:rPr>
                <w:rFonts w:ascii="Times New Roman"/>
                <w:sz w:val="12"/>
              </w:rPr>
            </w:pPr>
          </w:p>
        </w:tc>
      </w:tr>
    </w:tbl>
    <w:p>
      <w:pPr>
        <w:pStyle w:val="BodyText"/>
        <w:spacing w:before="2"/>
        <w:rPr>
          <w:b/>
          <w:i/>
          <w:sz w:val="24"/>
        </w:rPr>
      </w:pPr>
    </w:p>
    <w:p>
      <w:pPr>
        <w:pStyle w:val="Heading3"/>
        <w:numPr>
          <w:ilvl w:val="1"/>
          <w:numId w:val="241"/>
        </w:numPr>
        <w:tabs>
          <w:tab w:pos="786" w:val="left" w:leader="none"/>
          <w:tab w:pos="787" w:val="left" w:leader="none"/>
        </w:tabs>
        <w:spacing w:line="240" w:lineRule="auto" w:before="1" w:after="0"/>
        <w:ind w:left="786" w:right="0" w:hanging="569"/>
        <w:jc w:val="left"/>
      </w:pPr>
      <w:r>
        <w:rPr/>
        <w:t>Accesorios</w:t>
      </w:r>
    </w:p>
    <w:p>
      <w:pPr>
        <w:pStyle w:val="BodyText"/>
        <w:tabs>
          <w:tab w:pos="672" w:val="left" w:leader="none"/>
        </w:tabs>
        <w:spacing w:before="97"/>
        <w:ind w:left="672" w:right="498" w:hanging="454"/>
      </w:pPr>
      <w:r>
        <w:rPr/>
        <w:t>1</w:t>
        <w:tab/>
        <w:t>En la tabla 4.13 se obtienen las dimensiones mínimas necesarias (longitud L y anchura A mínimas) de una arqueta en función del diámetro del </w:t>
      </w:r>
      <w:r>
        <w:rPr>
          <w:i/>
        </w:rPr>
        <w:t>colector </w:t>
      </w:r>
      <w:r>
        <w:rPr/>
        <w:t>de salida de</w:t>
      </w:r>
      <w:r>
        <w:rPr>
          <w:spacing w:val="-5"/>
        </w:rPr>
        <w:t> </w:t>
      </w:r>
      <w:r>
        <w:rPr/>
        <w:t>ésta.</w:t>
      </w:r>
    </w:p>
    <w:p>
      <w:pPr>
        <w:spacing w:before="61" w:after="3"/>
        <w:ind w:left="3194" w:right="0" w:firstLine="0"/>
        <w:jc w:val="left"/>
        <w:rPr>
          <w:b/>
          <w:sz w:val="18"/>
        </w:rPr>
      </w:pPr>
      <w:r>
        <w:rPr>
          <w:b/>
          <w:sz w:val="18"/>
        </w:rPr>
        <w:t>Tabla 4.13 Dimensiones de las arquetas</w:t>
      </w:r>
    </w:p>
    <w:tbl>
      <w:tblPr>
        <w:tblW w:w="0" w:type="auto"/>
        <w:jc w:val="left"/>
        <w:tblInd w:w="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6"/>
        <w:gridCol w:w="714"/>
        <w:gridCol w:w="733"/>
        <w:gridCol w:w="784"/>
        <w:gridCol w:w="815"/>
        <w:gridCol w:w="846"/>
        <w:gridCol w:w="846"/>
        <w:gridCol w:w="823"/>
        <w:gridCol w:w="807"/>
        <w:gridCol w:w="780"/>
      </w:tblGrid>
      <w:tr>
        <w:trPr>
          <w:trHeight w:val="236" w:hRule="atLeast"/>
        </w:trPr>
        <w:tc>
          <w:tcPr>
            <w:tcW w:w="1816" w:type="dxa"/>
            <w:vMerge w:val="restart"/>
            <w:tcBorders>
              <w:top w:val="single" w:sz="4" w:space="0" w:color="808080"/>
              <w:bottom w:val="single" w:sz="4" w:space="0" w:color="808080"/>
              <w:right w:val="single" w:sz="4" w:space="0" w:color="808080"/>
            </w:tcBorders>
          </w:tcPr>
          <w:p>
            <w:pPr>
              <w:pStyle w:val="TableParagraph"/>
              <w:jc w:val="left"/>
              <w:rPr>
                <w:rFonts w:ascii="Times New Roman"/>
                <w:sz w:val="18"/>
              </w:rPr>
            </w:pPr>
          </w:p>
        </w:tc>
        <w:tc>
          <w:tcPr>
            <w:tcW w:w="714" w:type="dxa"/>
            <w:tcBorders>
              <w:top w:val="single" w:sz="4" w:space="0" w:color="808080"/>
              <w:left w:val="single" w:sz="4" w:space="0" w:color="808080"/>
            </w:tcBorders>
          </w:tcPr>
          <w:p>
            <w:pPr>
              <w:pStyle w:val="TableParagraph"/>
              <w:jc w:val="left"/>
              <w:rPr>
                <w:rFonts w:ascii="Times New Roman"/>
                <w:sz w:val="16"/>
              </w:rPr>
            </w:pPr>
          </w:p>
        </w:tc>
        <w:tc>
          <w:tcPr>
            <w:tcW w:w="733" w:type="dxa"/>
            <w:tcBorders>
              <w:top w:val="single" w:sz="4" w:space="0" w:color="808080"/>
            </w:tcBorders>
          </w:tcPr>
          <w:p>
            <w:pPr>
              <w:pStyle w:val="TableParagraph"/>
              <w:jc w:val="left"/>
              <w:rPr>
                <w:rFonts w:ascii="Times New Roman"/>
                <w:sz w:val="16"/>
              </w:rPr>
            </w:pPr>
          </w:p>
        </w:tc>
        <w:tc>
          <w:tcPr>
            <w:tcW w:w="4114" w:type="dxa"/>
            <w:gridSpan w:val="5"/>
            <w:tcBorders>
              <w:top w:val="single" w:sz="4" w:space="0" w:color="808080"/>
            </w:tcBorders>
          </w:tcPr>
          <w:p>
            <w:pPr>
              <w:pStyle w:val="TableParagraph"/>
              <w:spacing w:line="162" w:lineRule="exact" w:before="55"/>
              <w:ind w:left="725"/>
              <w:jc w:val="left"/>
              <w:rPr>
                <w:b/>
                <w:sz w:val="16"/>
              </w:rPr>
            </w:pPr>
            <w:r>
              <w:rPr>
                <w:b/>
                <w:sz w:val="16"/>
              </w:rPr>
              <w:t>Diámetro del </w:t>
            </w:r>
            <w:r>
              <w:rPr>
                <w:b/>
                <w:i/>
                <w:sz w:val="16"/>
              </w:rPr>
              <w:t>colector </w:t>
            </w:r>
            <w:r>
              <w:rPr>
                <w:b/>
                <w:sz w:val="16"/>
              </w:rPr>
              <w:t>de salida [mm]</w:t>
            </w:r>
          </w:p>
        </w:tc>
        <w:tc>
          <w:tcPr>
            <w:tcW w:w="807" w:type="dxa"/>
            <w:tcBorders>
              <w:top w:val="single" w:sz="4" w:space="0" w:color="808080"/>
            </w:tcBorders>
          </w:tcPr>
          <w:p>
            <w:pPr>
              <w:pStyle w:val="TableParagraph"/>
              <w:jc w:val="left"/>
              <w:rPr>
                <w:rFonts w:ascii="Times New Roman"/>
                <w:sz w:val="16"/>
              </w:rPr>
            </w:pPr>
          </w:p>
        </w:tc>
        <w:tc>
          <w:tcPr>
            <w:tcW w:w="780" w:type="dxa"/>
            <w:tcBorders>
              <w:top w:val="single" w:sz="4" w:space="0" w:color="808080"/>
            </w:tcBorders>
          </w:tcPr>
          <w:p>
            <w:pPr>
              <w:pStyle w:val="TableParagraph"/>
              <w:jc w:val="left"/>
              <w:rPr>
                <w:rFonts w:ascii="Times New Roman"/>
                <w:sz w:val="16"/>
              </w:rPr>
            </w:pPr>
          </w:p>
        </w:tc>
      </w:tr>
      <w:tr>
        <w:trPr>
          <w:trHeight w:val="177" w:hRule="atLeast"/>
        </w:trPr>
        <w:tc>
          <w:tcPr>
            <w:tcW w:w="1816" w:type="dxa"/>
            <w:vMerge/>
            <w:tcBorders>
              <w:top w:val="nil"/>
              <w:bottom w:val="single" w:sz="4" w:space="0" w:color="808080"/>
              <w:right w:val="single" w:sz="4" w:space="0" w:color="808080"/>
            </w:tcBorders>
          </w:tcPr>
          <w:p>
            <w:pPr>
              <w:rPr>
                <w:sz w:val="2"/>
                <w:szCs w:val="2"/>
              </w:rPr>
            </w:pPr>
          </w:p>
        </w:tc>
        <w:tc>
          <w:tcPr>
            <w:tcW w:w="714" w:type="dxa"/>
            <w:tcBorders>
              <w:left w:val="single" w:sz="4" w:space="0" w:color="808080"/>
              <w:bottom w:val="single" w:sz="4" w:space="0" w:color="808080"/>
            </w:tcBorders>
          </w:tcPr>
          <w:p>
            <w:pPr>
              <w:pStyle w:val="TableParagraph"/>
              <w:spacing w:line="158" w:lineRule="exact"/>
              <w:ind w:left="74" w:right="67"/>
              <w:rPr>
                <w:b/>
                <w:sz w:val="16"/>
              </w:rPr>
            </w:pPr>
            <w:r>
              <w:rPr>
                <w:b/>
                <w:sz w:val="16"/>
              </w:rPr>
              <w:t>100</w:t>
            </w:r>
          </w:p>
        </w:tc>
        <w:tc>
          <w:tcPr>
            <w:tcW w:w="733" w:type="dxa"/>
            <w:tcBorders>
              <w:bottom w:val="single" w:sz="4" w:space="0" w:color="808080"/>
            </w:tcBorders>
          </w:tcPr>
          <w:p>
            <w:pPr>
              <w:pStyle w:val="TableParagraph"/>
              <w:spacing w:line="158" w:lineRule="exact"/>
              <w:ind w:left="69" w:right="97"/>
              <w:rPr>
                <w:b/>
                <w:sz w:val="16"/>
              </w:rPr>
            </w:pPr>
            <w:r>
              <w:rPr>
                <w:b/>
                <w:sz w:val="16"/>
              </w:rPr>
              <w:t>150</w:t>
            </w:r>
          </w:p>
        </w:tc>
        <w:tc>
          <w:tcPr>
            <w:tcW w:w="784" w:type="dxa"/>
            <w:tcBorders>
              <w:bottom w:val="single" w:sz="4" w:space="0" w:color="808080"/>
            </w:tcBorders>
          </w:tcPr>
          <w:p>
            <w:pPr>
              <w:pStyle w:val="TableParagraph"/>
              <w:spacing w:line="158" w:lineRule="exact"/>
              <w:ind w:left="99" w:right="117"/>
              <w:rPr>
                <w:b/>
                <w:sz w:val="16"/>
              </w:rPr>
            </w:pPr>
            <w:r>
              <w:rPr>
                <w:b/>
                <w:sz w:val="16"/>
              </w:rPr>
              <w:t>200</w:t>
            </w:r>
          </w:p>
        </w:tc>
        <w:tc>
          <w:tcPr>
            <w:tcW w:w="815" w:type="dxa"/>
            <w:tcBorders>
              <w:bottom w:val="single" w:sz="4" w:space="0" w:color="808080"/>
            </w:tcBorders>
          </w:tcPr>
          <w:p>
            <w:pPr>
              <w:pStyle w:val="TableParagraph"/>
              <w:spacing w:line="158" w:lineRule="exact"/>
              <w:ind w:left="119" w:right="128"/>
              <w:rPr>
                <w:b/>
                <w:sz w:val="16"/>
              </w:rPr>
            </w:pPr>
            <w:r>
              <w:rPr>
                <w:b/>
                <w:sz w:val="16"/>
              </w:rPr>
              <w:t>250</w:t>
            </w:r>
          </w:p>
        </w:tc>
        <w:tc>
          <w:tcPr>
            <w:tcW w:w="846" w:type="dxa"/>
            <w:tcBorders>
              <w:bottom w:val="single" w:sz="4" w:space="0" w:color="808080"/>
            </w:tcBorders>
          </w:tcPr>
          <w:p>
            <w:pPr>
              <w:pStyle w:val="TableParagraph"/>
              <w:spacing w:line="158" w:lineRule="exact"/>
              <w:ind w:left="113" w:right="132"/>
              <w:rPr>
                <w:b/>
                <w:sz w:val="16"/>
              </w:rPr>
            </w:pPr>
            <w:r>
              <w:rPr>
                <w:b/>
                <w:sz w:val="16"/>
              </w:rPr>
              <w:t>300</w:t>
            </w:r>
          </w:p>
        </w:tc>
        <w:tc>
          <w:tcPr>
            <w:tcW w:w="846" w:type="dxa"/>
            <w:tcBorders>
              <w:bottom w:val="single" w:sz="4" w:space="0" w:color="808080"/>
            </w:tcBorders>
          </w:tcPr>
          <w:p>
            <w:pPr>
              <w:pStyle w:val="TableParagraph"/>
              <w:spacing w:line="158" w:lineRule="exact"/>
              <w:ind w:left="130" w:right="111"/>
              <w:rPr>
                <w:b/>
                <w:sz w:val="16"/>
              </w:rPr>
            </w:pPr>
            <w:r>
              <w:rPr>
                <w:b/>
                <w:sz w:val="16"/>
              </w:rPr>
              <w:t>350</w:t>
            </w:r>
          </w:p>
        </w:tc>
        <w:tc>
          <w:tcPr>
            <w:tcW w:w="823" w:type="dxa"/>
            <w:tcBorders>
              <w:bottom w:val="single" w:sz="4" w:space="0" w:color="808080"/>
            </w:tcBorders>
          </w:tcPr>
          <w:p>
            <w:pPr>
              <w:pStyle w:val="TableParagraph"/>
              <w:spacing w:line="158" w:lineRule="exact"/>
              <w:ind w:left="129" w:right="127"/>
              <w:rPr>
                <w:b/>
                <w:sz w:val="16"/>
              </w:rPr>
            </w:pPr>
            <w:r>
              <w:rPr>
                <w:b/>
                <w:sz w:val="16"/>
              </w:rPr>
              <w:t>400</w:t>
            </w:r>
          </w:p>
        </w:tc>
        <w:tc>
          <w:tcPr>
            <w:tcW w:w="807" w:type="dxa"/>
            <w:tcBorders>
              <w:bottom w:val="single" w:sz="4" w:space="0" w:color="808080"/>
            </w:tcBorders>
          </w:tcPr>
          <w:p>
            <w:pPr>
              <w:pStyle w:val="TableParagraph"/>
              <w:spacing w:line="158" w:lineRule="exact"/>
              <w:ind w:left="125" w:right="114"/>
              <w:rPr>
                <w:b/>
                <w:sz w:val="16"/>
              </w:rPr>
            </w:pPr>
            <w:r>
              <w:rPr>
                <w:b/>
                <w:sz w:val="16"/>
              </w:rPr>
              <w:t>450</w:t>
            </w:r>
          </w:p>
        </w:tc>
        <w:tc>
          <w:tcPr>
            <w:tcW w:w="780" w:type="dxa"/>
            <w:tcBorders>
              <w:bottom w:val="single" w:sz="4" w:space="0" w:color="808080"/>
            </w:tcBorders>
          </w:tcPr>
          <w:p>
            <w:pPr>
              <w:pStyle w:val="TableParagraph"/>
              <w:spacing w:line="158" w:lineRule="exact"/>
              <w:ind w:left="113" w:right="102"/>
              <w:rPr>
                <w:b/>
                <w:sz w:val="16"/>
              </w:rPr>
            </w:pPr>
            <w:r>
              <w:rPr>
                <w:b/>
                <w:sz w:val="16"/>
              </w:rPr>
              <w:t>500</w:t>
            </w:r>
          </w:p>
        </w:tc>
      </w:tr>
      <w:tr>
        <w:trPr>
          <w:trHeight w:val="184" w:hRule="atLeast"/>
        </w:trPr>
        <w:tc>
          <w:tcPr>
            <w:tcW w:w="1816" w:type="dxa"/>
            <w:tcBorders>
              <w:top w:val="single" w:sz="4" w:space="0" w:color="808080"/>
              <w:bottom w:val="single" w:sz="4" w:space="0" w:color="808080"/>
              <w:right w:val="single" w:sz="4" w:space="0" w:color="808080"/>
            </w:tcBorders>
          </w:tcPr>
          <w:p>
            <w:pPr>
              <w:pStyle w:val="TableParagraph"/>
              <w:spacing w:line="164" w:lineRule="exact"/>
              <w:ind w:left="75"/>
              <w:jc w:val="left"/>
              <w:rPr>
                <w:sz w:val="16"/>
              </w:rPr>
            </w:pPr>
            <w:r>
              <w:rPr>
                <w:sz w:val="16"/>
              </w:rPr>
              <w:t>L x A [cm]</w:t>
            </w:r>
          </w:p>
        </w:tc>
        <w:tc>
          <w:tcPr>
            <w:tcW w:w="714" w:type="dxa"/>
            <w:tcBorders>
              <w:top w:val="single" w:sz="4" w:space="0" w:color="808080"/>
              <w:left w:val="single" w:sz="4" w:space="0" w:color="808080"/>
              <w:bottom w:val="single" w:sz="4" w:space="0" w:color="808080"/>
            </w:tcBorders>
          </w:tcPr>
          <w:p>
            <w:pPr>
              <w:pStyle w:val="TableParagraph"/>
              <w:spacing w:line="164" w:lineRule="exact"/>
              <w:ind w:left="74" w:right="69"/>
              <w:rPr>
                <w:sz w:val="16"/>
              </w:rPr>
            </w:pPr>
            <w:r>
              <w:rPr>
                <w:sz w:val="16"/>
              </w:rPr>
              <w:t>40 x 40</w:t>
            </w:r>
          </w:p>
        </w:tc>
        <w:tc>
          <w:tcPr>
            <w:tcW w:w="733" w:type="dxa"/>
            <w:tcBorders>
              <w:top w:val="single" w:sz="4" w:space="0" w:color="808080"/>
              <w:bottom w:val="single" w:sz="4" w:space="0" w:color="808080"/>
            </w:tcBorders>
          </w:tcPr>
          <w:p>
            <w:pPr>
              <w:pStyle w:val="TableParagraph"/>
              <w:spacing w:line="164" w:lineRule="exact"/>
              <w:ind w:left="69" w:right="99"/>
              <w:rPr>
                <w:sz w:val="16"/>
              </w:rPr>
            </w:pPr>
            <w:r>
              <w:rPr>
                <w:sz w:val="16"/>
              </w:rPr>
              <w:t>50 x 50</w:t>
            </w:r>
          </w:p>
        </w:tc>
        <w:tc>
          <w:tcPr>
            <w:tcW w:w="784" w:type="dxa"/>
            <w:tcBorders>
              <w:top w:val="single" w:sz="4" w:space="0" w:color="808080"/>
              <w:bottom w:val="single" w:sz="4" w:space="0" w:color="808080"/>
            </w:tcBorders>
          </w:tcPr>
          <w:p>
            <w:pPr>
              <w:pStyle w:val="TableParagraph"/>
              <w:spacing w:line="164" w:lineRule="exact"/>
              <w:ind w:left="99" w:right="119"/>
              <w:rPr>
                <w:sz w:val="16"/>
              </w:rPr>
            </w:pPr>
            <w:r>
              <w:rPr>
                <w:sz w:val="16"/>
              </w:rPr>
              <w:t>60 x 60</w:t>
            </w:r>
          </w:p>
        </w:tc>
        <w:tc>
          <w:tcPr>
            <w:tcW w:w="815" w:type="dxa"/>
            <w:tcBorders>
              <w:top w:val="single" w:sz="4" w:space="0" w:color="808080"/>
              <w:bottom w:val="single" w:sz="4" w:space="0" w:color="808080"/>
            </w:tcBorders>
          </w:tcPr>
          <w:p>
            <w:pPr>
              <w:pStyle w:val="TableParagraph"/>
              <w:spacing w:line="164" w:lineRule="exact"/>
              <w:ind w:left="119" w:right="130"/>
              <w:rPr>
                <w:sz w:val="16"/>
              </w:rPr>
            </w:pPr>
            <w:r>
              <w:rPr>
                <w:sz w:val="16"/>
              </w:rPr>
              <w:t>60 x 70</w:t>
            </w:r>
          </w:p>
        </w:tc>
        <w:tc>
          <w:tcPr>
            <w:tcW w:w="846" w:type="dxa"/>
            <w:tcBorders>
              <w:top w:val="single" w:sz="4" w:space="0" w:color="808080"/>
              <w:bottom w:val="single" w:sz="4" w:space="0" w:color="808080"/>
            </w:tcBorders>
          </w:tcPr>
          <w:p>
            <w:pPr>
              <w:pStyle w:val="TableParagraph"/>
              <w:spacing w:line="164" w:lineRule="exact"/>
              <w:ind w:left="111" w:right="132"/>
              <w:rPr>
                <w:sz w:val="16"/>
              </w:rPr>
            </w:pPr>
            <w:r>
              <w:rPr>
                <w:sz w:val="16"/>
              </w:rPr>
              <w:t>70 x 70</w:t>
            </w:r>
          </w:p>
        </w:tc>
        <w:tc>
          <w:tcPr>
            <w:tcW w:w="846" w:type="dxa"/>
            <w:tcBorders>
              <w:top w:val="single" w:sz="4" w:space="0" w:color="808080"/>
              <w:bottom w:val="single" w:sz="4" w:space="0" w:color="808080"/>
            </w:tcBorders>
          </w:tcPr>
          <w:p>
            <w:pPr>
              <w:pStyle w:val="TableParagraph"/>
              <w:spacing w:line="164" w:lineRule="exact"/>
              <w:ind w:left="130" w:right="113"/>
              <w:rPr>
                <w:sz w:val="16"/>
              </w:rPr>
            </w:pPr>
            <w:r>
              <w:rPr>
                <w:sz w:val="16"/>
              </w:rPr>
              <w:t>70 x 80</w:t>
            </w:r>
          </w:p>
        </w:tc>
        <w:tc>
          <w:tcPr>
            <w:tcW w:w="823" w:type="dxa"/>
            <w:tcBorders>
              <w:top w:val="single" w:sz="4" w:space="0" w:color="808080"/>
              <w:bottom w:val="single" w:sz="4" w:space="0" w:color="808080"/>
            </w:tcBorders>
          </w:tcPr>
          <w:p>
            <w:pPr>
              <w:pStyle w:val="TableParagraph"/>
              <w:spacing w:line="164" w:lineRule="exact"/>
              <w:ind w:left="129" w:right="129"/>
              <w:rPr>
                <w:sz w:val="16"/>
              </w:rPr>
            </w:pPr>
            <w:r>
              <w:rPr>
                <w:sz w:val="16"/>
              </w:rPr>
              <w:t>80 x 80</w:t>
            </w:r>
          </w:p>
        </w:tc>
        <w:tc>
          <w:tcPr>
            <w:tcW w:w="807" w:type="dxa"/>
            <w:tcBorders>
              <w:top w:val="single" w:sz="4" w:space="0" w:color="808080"/>
              <w:bottom w:val="single" w:sz="4" w:space="0" w:color="808080"/>
            </w:tcBorders>
          </w:tcPr>
          <w:p>
            <w:pPr>
              <w:pStyle w:val="TableParagraph"/>
              <w:spacing w:line="164" w:lineRule="exact"/>
              <w:ind w:left="125" w:right="116"/>
              <w:rPr>
                <w:sz w:val="16"/>
              </w:rPr>
            </w:pPr>
            <w:r>
              <w:rPr>
                <w:sz w:val="16"/>
              </w:rPr>
              <w:t>80 x 90</w:t>
            </w:r>
          </w:p>
        </w:tc>
        <w:tc>
          <w:tcPr>
            <w:tcW w:w="780" w:type="dxa"/>
            <w:tcBorders>
              <w:top w:val="single" w:sz="4" w:space="0" w:color="808080"/>
              <w:bottom w:val="single" w:sz="4" w:space="0" w:color="808080"/>
            </w:tcBorders>
          </w:tcPr>
          <w:p>
            <w:pPr>
              <w:pStyle w:val="TableParagraph"/>
              <w:spacing w:line="164" w:lineRule="exact"/>
              <w:ind w:left="113" w:right="102"/>
              <w:rPr>
                <w:sz w:val="16"/>
              </w:rPr>
            </w:pPr>
            <w:r>
              <w:rPr>
                <w:sz w:val="16"/>
              </w:rPr>
              <w:t>90 x 90</w:t>
            </w:r>
          </w:p>
        </w:tc>
      </w:tr>
    </w:tbl>
    <w:p>
      <w:pPr>
        <w:pStyle w:val="BodyText"/>
        <w:spacing w:before="2"/>
        <w:rPr>
          <w:b/>
          <w:sz w:val="24"/>
        </w:rPr>
      </w:pPr>
    </w:p>
    <w:p>
      <w:pPr>
        <w:pStyle w:val="Heading3"/>
        <w:numPr>
          <w:ilvl w:val="1"/>
          <w:numId w:val="241"/>
        </w:numPr>
        <w:tabs>
          <w:tab w:pos="786" w:val="left" w:leader="none"/>
          <w:tab w:pos="787" w:val="left" w:leader="none"/>
        </w:tabs>
        <w:spacing w:line="240" w:lineRule="auto" w:before="1" w:after="0"/>
        <w:ind w:left="786" w:right="0" w:hanging="569"/>
        <w:jc w:val="left"/>
      </w:pPr>
      <w:r>
        <w:rPr/>
        <w:t>Dimensionado de los sistemas de bombeo y</w:t>
      </w:r>
      <w:r>
        <w:rPr>
          <w:spacing w:val="-5"/>
        </w:rPr>
        <w:t> </w:t>
      </w:r>
      <w:r>
        <w:rPr/>
        <w:t>elevación</w:t>
      </w:r>
    </w:p>
    <w:p>
      <w:pPr>
        <w:pStyle w:val="Heading5"/>
        <w:numPr>
          <w:ilvl w:val="2"/>
          <w:numId w:val="241"/>
        </w:numPr>
        <w:tabs>
          <w:tab w:pos="787" w:val="left" w:leader="none"/>
        </w:tabs>
        <w:spacing w:line="240" w:lineRule="auto" w:before="199" w:after="0"/>
        <w:ind w:left="786" w:right="0" w:hanging="569"/>
        <w:jc w:val="left"/>
      </w:pPr>
      <w:r>
        <w:rPr/>
        <w:t>Dimensionado del depósito de</w:t>
      </w:r>
      <w:r>
        <w:rPr>
          <w:spacing w:val="-3"/>
        </w:rPr>
        <w:t> </w:t>
      </w:r>
      <w:r>
        <w:rPr/>
        <w:t>recepción</w:t>
      </w:r>
    </w:p>
    <w:p>
      <w:pPr>
        <w:pStyle w:val="ListParagraph"/>
        <w:numPr>
          <w:ilvl w:val="0"/>
          <w:numId w:val="253"/>
        </w:numPr>
        <w:tabs>
          <w:tab w:pos="672" w:val="left" w:leader="none"/>
          <w:tab w:pos="673" w:val="left" w:leader="none"/>
        </w:tabs>
        <w:spacing w:line="240" w:lineRule="auto" w:before="99" w:after="0"/>
        <w:ind w:left="672" w:right="506" w:hanging="454"/>
        <w:jc w:val="left"/>
        <w:rPr>
          <w:sz w:val="20"/>
        </w:rPr>
      </w:pPr>
      <w:r>
        <w:rPr>
          <w:sz w:val="20"/>
        </w:rPr>
        <w:t>El dimensionado del depósito se hace de forma que se limite el número de arranques y paradas de las bombas, considerando aceptable que éstas sean 12 veces a la hora, como</w:t>
      </w:r>
      <w:r>
        <w:rPr>
          <w:spacing w:val="-8"/>
          <w:sz w:val="20"/>
        </w:rPr>
        <w:t> </w:t>
      </w:r>
      <w:r>
        <w:rPr>
          <w:sz w:val="20"/>
        </w:rPr>
        <w:t>máximo.</w:t>
      </w:r>
    </w:p>
    <w:p>
      <w:pPr>
        <w:pStyle w:val="ListParagraph"/>
        <w:numPr>
          <w:ilvl w:val="0"/>
          <w:numId w:val="253"/>
        </w:numPr>
        <w:tabs>
          <w:tab w:pos="672" w:val="left" w:leader="none"/>
          <w:tab w:pos="673" w:val="left" w:leader="none"/>
        </w:tabs>
        <w:spacing w:line="240" w:lineRule="auto" w:before="60" w:after="0"/>
        <w:ind w:left="672" w:right="0" w:hanging="455"/>
        <w:jc w:val="left"/>
        <w:rPr>
          <w:sz w:val="20"/>
        </w:rPr>
      </w:pPr>
      <w:r>
        <w:rPr>
          <w:sz w:val="20"/>
        </w:rPr>
        <w:t>La capacidad del depósito se calcula con la</w:t>
      </w:r>
      <w:r>
        <w:rPr>
          <w:spacing w:val="-7"/>
          <w:sz w:val="20"/>
        </w:rPr>
        <w:t> </w:t>
      </w:r>
      <w:r>
        <w:rPr>
          <w:sz w:val="20"/>
        </w:rPr>
        <w:t>expresión:</w:t>
      </w:r>
    </w:p>
    <w:p>
      <w:pPr>
        <w:pStyle w:val="BodyText"/>
        <w:tabs>
          <w:tab w:pos="9136" w:val="left" w:leader="none"/>
        </w:tabs>
        <w:spacing w:before="60"/>
        <w:ind w:left="672"/>
      </w:pPr>
      <w:r>
        <w:rPr/>
        <w:t>V</w:t>
      </w:r>
      <w:r>
        <w:rPr>
          <w:vertAlign w:val="subscript"/>
        </w:rPr>
        <w:t>u</w:t>
      </w:r>
      <w:r>
        <w:rPr>
          <w:vertAlign w:val="baseline"/>
        </w:rPr>
        <w:t> = 0,3</w:t>
      </w:r>
      <w:r>
        <w:rPr>
          <w:spacing w:val="-3"/>
          <w:vertAlign w:val="baseline"/>
        </w:rPr>
        <w:t> </w:t>
      </w:r>
      <w:r>
        <w:rPr>
          <w:vertAlign w:val="baseline"/>
        </w:rPr>
        <w:t>Q</w:t>
      </w:r>
      <w:r>
        <w:rPr>
          <w:vertAlign w:val="subscript"/>
        </w:rPr>
        <w:t>b</w:t>
      </w:r>
      <w:r>
        <w:rPr>
          <w:spacing w:val="16"/>
          <w:vertAlign w:val="baseline"/>
        </w:rPr>
        <w:t> </w:t>
      </w:r>
      <w:r>
        <w:rPr>
          <w:vertAlign w:val="baseline"/>
        </w:rPr>
        <w:t>(dm</w:t>
      </w:r>
      <w:r>
        <w:rPr>
          <w:vertAlign w:val="superscript"/>
        </w:rPr>
        <w:t>3</w:t>
      </w:r>
      <w:r>
        <w:rPr>
          <w:vertAlign w:val="baseline"/>
        </w:rPr>
        <w:t>)</w:t>
        <w:tab/>
        <w:t>(4.2)</w:t>
      </w:r>
    </w:p>
    <w:p>
      <w:pPr>
        <w:pStyle w:val="BodyText"/>
        <w:spacing w:before="60"/>
        <w:ind w:left="672"/>
      </w:pPr>
      <w:r>
        <w:rPr/>
        <w:t>siendo</w:t>
      </w:r>
    </w:p>
    <w:p>
      <w:pPr>
        <w:pStyle w:val="BodyText"/>
        <w:spacing w:before="60"/>
        <w:ind w:left="672"/>
      </w:pPr>
      <w:r>
        <w:rPr/>
        <w:t>Q</w:t>
      </w:r>
      <w:r>
        <w:rPr>
          <w:vertAlign w:val="subscript"/>
        </w:rPr>
        <w:t>b</w:t>
      </w:r>
      <w:r>
        <w:rPr>
          <w:vertAlign w:val="baseline"/>
        </w:rPr>
        <w:t> caudal de la bomba (dm</w:t>
      </w:r>
      <w:r>
        <w:rPr>
          <w:vertAlign w:val="superscript"/>
        </w:rPr>
        <w:t>3</w:t>
      </w:r>
      <w:r>
        <w:rPr>
          <w:vertAlign w:val="baseline"/>
        </w:rPr>
        <w:t>/s)</w:t>
      </w:r>
    </w:p>
    <w:p>
      <w:pPr>
        <w:pStyle w:val="BodyText"/>
        <w:spacing w:before="5"/>
        <w:rPr>
          <w:sz w:val="30"/>
        </w:rPr>
      </w:pPr>
    </w:p>
    <w:p>
      <w:pPr>
        <w:pStyle w:val="ListParagraph"/>
        <w:numPr>
          <w:ilvl w:val="0"/>
          <w:numId w:val="253"/>
        </w:numPr>
        <w:tabs>
          <w:tab w:pos="672" w:val="left" w:leader="none"/>
          <w:tab w:pos="673" w:val="left" w:leader="none"/>
        </w:tabs>
        <w:spacing w:line="240" w:lineRule="auto" w:before="0" w:after="0"/>
        <w:ind w:left="672" w:right="0" w:hanging="455"/>
        <w:jc w:val="left"/>
        <w:rPr>
          <w:sz w:val="20"/>
        </w:rPr>
      </w:pPr>
      <w:r>
        <w:rPr>
          <w:sz w:val="20"/>
        </w:rPr>
        <w:t>Esta capacidad debe ser mayor que la mitad de la aportación media diaria de </w:t>
      </w:r>
      <w:r>
        <w:rPr>
          <w:i/>
          <w:sz w:val="20"/>
        </w:rPr>
        <w:t>aguas</w:t>
      </w:r>
      <w:r>
        <w:rPr>
          <w:i/>
          <w:spacing w:val="-6"/>
          <w:sz w:val="20"/>
        </w:rPr>
        <w:t> </w:t>
      </w:r>
      <w:r>
        <w:rPr>
          <w:i/>
          <w:sz w:val="20"/>
        </w:rPr>
        <w:t>residuales</w:t>
      </w:r>
      <w:r>
        <w:rPr>
          <w:sz w:val="20"/>
        </w:rPr>
        <w:t>.</w:t>
      </w:r>
    </w:p>
    <w:p>
      <w:pPr>
        <w:pStyle w:val="ListParagraph"/>
        <w:numPr>
          <w:ilvl w:val="0"/>
          <w:numId w:val="253"/>
        </w:numPr>
        <w:tabs>
          <w:tab w:pos="672" w:val="left" w:leader="none"/>
          <w:tab w:pos="673" w:val="left" w:leader="none"/>
        </w:tabs>
        <w:spacing w:line="240" w:lineRule="auto" w:before="60" w:after="0"/>
        <w:ind w:left="672" w:right="0" w:hanging="455"/>
        <w:jc w:val="left"/>
        <w:rPr>
          <w:sz w:val="20"/>
        </w:rPr>
      </w:pPr>
      <w:r>
        <w:rPr>
          <w:sz w:val="20"/>
        </w:rPr>
        <w:t>El caudal de entrada de aire al depósito debe ser igual al de las</w:t>
      </w:r>
      <w:r>
        <w:rPr>
          <w:spacing w:val="-5"/>
          <w:sz w:val="20"/>
        </w:rPr>
        <w:t> </w:t>
      </w:r>
      <w:r>
        <w:rPr>
          <w:sz w:val="20"/>
        </w:rPr>
        <w:t>bombas.</w:t>
      </w:r>
    </w:p>
    <w:p>
      <w:pPr>
        <w:pStyle w:val="ListParagraph"/>
        <w:numPr>
          <w:ilvl w:val="0"/>
          <w:numId w:val="253"/>
        </w:numPr>
        <w:tabs>
          <w:tab w:pos="672" w:val="left" w:leader="none"/>
          <w:tab w:pos="673" w:val="left" w:leader="none"/>
        </w:tabs>
        <w:spacing w:line="240" w:lineRule="auto" w:before="61" w:after="0"/>
        <w:ind w:left="672" w:right="551" w:hanging="454"/>
        <w:jc w:val="left"/>
        <w:rPr>
          <w:sz w:val="20"/>
        </w:rPr>
      </w:pPr>
      <w:r>
        <w:rPr>
          <w:sz w:val="20"/>
        </w:rPr>
        <w:t>El diámetro de la tubería de ventilación debe ser como mínimo igual a la mitad del de la acometida y, al menos, de 80</w:t>
      </w:r>
      <w:r>
        <w:rPr>
          <w:spacing w:val="-4"/>
          <w:sz w:val="20"/>
        </w:rPr>
        <w:t> </w:t>
      </w:r>
      <w:r>
        <w:rPr>
          <w:sz w:val="20"/>
        </w:rPr>
        <w:t>mm.</w:t>
      </w:r>
    </w:p>
    <w:p>
      <w:pPr>
        <w:pStyle w:val="BodyText"/>
        <w:spacing w:before="5"/>
        <w:rPr>
          <w:sz w:val="17"/>
        </w:rPr>
      </w:pPr>
    </w:p>
    <w:p>
      <w:pPr>
        <w:pStyle w:val="Heading5"/>
        <w:numPr>
          <w:ilvl w:val="2"/>
          <w:numId w:val="241"/>
        </w:numPr>
        <w:tabs>
          <w:tab w:pos="787" w:val="left" w:leader="none"/>
        </w:tabs>
        <w:spacing w:line="240" w:lineRule="auto" w:before="0" w:after="0"/>
        <w:ind w:left="786" w:right="0" w:hanging="569"/>
        <w:jc w:val="both"/>
      </w:pPr>
      <w:r>
        <w:rPr/>
        <w:t>Cálculo de las Bombas de</w:t>
      </w:r>
      <w:r>
        <w:rPr>
          <w:spacing w:val="-3"/>
        </w:rPr>
        <w:t> </w:t>
      </w:r>
      <w:r>
        <w:rPr/>
        <w:t>elevación</w:t>
      </w:r>
    </w:p>
    <w:p>
      <w:pPr>
        <w:pStyle w:val="ListParagraph"/>
        <w:numPr>
          <w:ilvl w:val="0"/>
          <w:numId w:val="254"/>
        </w:numPr>
        <w:tabs>
          <w:tab w:pos="673" w:val="left" w:leader="none"/>
        </w:tabs>
        <w:spacing w:line="240" w:lineRule="auto" w:before="99" w:after="0"/>
        <w:ind w:left="672" w:right="785" w:hanging="454"/>
        <w:jc w:val="both"/>
        <w:rPr>
          <w:sz w:val="20"/>
        </w:rPr>
      </w:pPr>
      <w:r>
        <w:rPr>
          <w:sz w:val="20"/>
        </w:rPr>
        <w:t>El caudal de cada bomba debe ser igual o mayor que el 125 % del caudal de aportación, siendo todas las bombas</w:t>
      </w:r>
      <w:r>
        <w:rPr>
          <w:spacing w:val="-1"/>
          <w:sz w:val="20"/>
        </w:rPr>
        <w:t> </w:t>
      </w:r>
      <w:r>
        <w:rPr>
          <w:sz w:val="20"/>
        </w:rPr>
        <w:t>iguales.</w:t>
      </w:r>
    </w:p>
    <w:p>
      <w:pPr>
        <w:pStyle w:val="ListParagraph"/>
        <w:numPr>
          <w:ilvl w:val="0"/>
          <w:numId w:val="254"/>
        </w:numPr>
        <w:tabs>
          <w:tab w:pos="673" w:val="left" w:leader="none"/>
        </w:tabs>
        <w:spacing w:line="240" w:lineRule="auto" w:before="60" w:after="0"/>
        <w:ind w:left="672" w:right="397" w:hanging="454"/>
        <w:jc w:val="both"/>
        <w:rPr>
          <w:sz w:val="20"/>
        </w:rPr>
      </w:pPr>
      <w:r>
        <w:rPr>
          <w:sz w:val="20"/>
        </w:rPr>
        <w:t>La presión manométrica de la bomba debe obtenerse como resultado de sumar la altura geométrica entre el punto más alto al que la bomba debe elevar las aguas y el nivel mínimo de las mismas en el depósito, y la pérdida de presión producida a lo largo de la tubería, calculada por los métodos usua- les, desde la boca de la bomba hasta el punto más</w:t>
      </w:r>
      <w:r>
        <w:rPr>
          <w:spacing w:val="-4"/>
          <w:sz w:val="20"/>
        </w:rPr>
        <w:t> </w:t>
      </w:r>
      <w:r>
        <w:rPr>
          <w:sz w:val="20"/>
        </w:rPr>
        <w:t>elevado.</w:t>
      </w:r>
    </w:p>
    <w:p>
      <w:pPr>
        <w:pStyle w:val="ListParagraph"/>
        <w:numPr>
          <w:ilvl w:val="0"/>
          <w:numId w:val="254"/>
        </w:numPr>
        <w:tabs>
          <w:tab w:pos="673" w:val="left" w:leader="none"/>
        </w:tabs>
        <w:spacing w:line="240" w:lineRule="auto" w:before="60" w:after="0"/>
        <w:ind w:left="672" w:right="831" w:hanging="454"/>
        <w:jc w:val="both"/>
        <w:rPr>
          <w:sz w:val="20"/>
        </w:rPr>
      </w:pPr>
      <w:r>
        <w:rPr>
          <w:sz w:val="20"/>
        </w:rPr>
        <w:t>Desde el punto de conexión con el </w:t>
      </w:r>
      <w:r>
        <w:rPr>
          <w:i/>
          <w:sz w:val="20"/>
        </w:rPr>
        <w:t>colector </w:t>
      </w:r>
      <w:r>
        <w:rPr>
          <w:sz w:val="20"/>
        </w:rPr>
        <w:t>horizontal, o desde el punto de elevación, la tubería debe dimensionarse como cualquier otro </w:t>
      </w:r>
      <w:r>
        <w:rPr>
          <w:i/>
          <w:sz w:val="20"/>
        </w:rPr>
        <w:t>colector </w:t>
      </w:r>
      <w:r>
        <w:rPr>
          <w:sz w:val="20"/>
        </w:rPr>
        <w:t>horizontal por los métodos ya</w:t>
      </w:r>
      <w:r>
        <w:rPr>
          <w:spacing w:val="-11"/>
          <w:sz w:val="20"/>
        </w:rPr>
        <w:t> </w:t>
      </w:r>
      <w:r>
        <w:rPr>
          <w:sz w:val="20"/>
        </w:rPr>
        <w:t>señalados.</w:t>
      </w:r>
    </w:p>
    <w:p>
      <w:pPr>
        <w:spacing w:after="0" w:line="240" w:lineRule="auto"/>
        <w:jc w:val="both"/>
        <w:rPr>
          <w:sz w:val="20"/>
        </w:rPr>
        <w:sectPr>
          <w:pgSz w:w="11910" w:h="16840"/>
          <w:pgMar w:header="714" w:footer="642" w:top="1320" w:bottom="840" w:left="1200" w:right="740"/>
        </w:sectPr>
      </w:pPr>
    </w:p>
    <w:p>
      <w:pPr>
        <w:pStyle w:val="Heading2"/>
        <w:numPr>
          <w:ilvl w:val="0"/>
          <w:numId w:val="255"/>
        </w:numPr>
        <w:tabs>
          <w:tab w:pos="786" w:val="left" w:leader="none"/>
          <w:tab w:pos="787" w:val="left" w:leader="none"/>
        </w:tabs>
        <w:spacing w:line="240" w:lineRule="auto" w:before="93" w:after="0"/>
        <w:ind w:left="786" w:right="0" w:hanging="569"/>
        <w:jc w:val="left"/>
      </w:pPr>
      <w:r>
        <w:rPr/>
        <w:t>Construcción</w:t>
      </w:r>
    </w:p>
    <w:p>
      <w:pPr>
        <w:pStyle w:val="BodyText"/>
        <w:spacing w:before="157"/>
        <w:ind w:left="672" w:right="563" w:hanging="454"/>
        <w:jc w:val="both"/>
      </w:pPr>
      <w:r>
        <w:rPr/>
        <w:t>1 La instalación de evacuación de </w:t>
      </w:r>
      <w:r>
        <w:rPr>
          <w:i/>
        </w:rPr>
        <w:t>aguas residuales </w:t>
      </w:r>
      <w:r>
        <w:rPr/>
        <w:t>se ejecutará con sujeción al proyecto, a la legis- lación aplicable, a las normas de la buena construcción y a las instrucciones del director de obra y del director de ejecución de la obra.</w:t>
      </w:r>
    </w:p>
    <w:p>
      <w:pPr>
        <w:pStyle w:val="BodyText"/>
        <w:spacing w:before="6"/>
        <w:rPr>
          <w:sz w:val="24"/>
        </w:rPr>
      </w:pPr>
    </w:p>
    <w:p>
      <w:pPr>
        <w:pStyle w:val="Heading3"/>
        <w:numPr>
          <w:ilvl w:val="1"/>
          <w:numId w:val="255"/>
        </w:numPr>
        <w:tabs>
          <w:tab w:pos="786" w:val="left" w:leader="none"/>
          <w:tab w:pos="787" w:val="left" w:leader="none"/>
        </w:tabs>
        <w:spacing w:line="240" w:lineRule="auto" w:before="0" w:after="0"/>
        <w:ind w:left="786" w:right="0" w:hanging="569"/>
        <w:jc w:val="left"/>
      </w:pPr>
      <w:r>
        <w:rPr/>
        <w:t>Ejecución de los puntos de captación</w:t>
      </w:r>
    </w:p>
    <w:p>
      <w:pPr>
        <w:pStyle w:val="Heading5"/>
        <w:numPr>
          <w:ilvl w:val="2"/>
          <w:numId w:val="255"/>
        </w:numPr>
        <w:tabs>
          <w:tab w:pos="787" w:val="left" w:leader="none"/>
        </w:tabs>
        <w:spacing w:line="240" w:lineRule="auto" w:before="201" w:after="0"/>
        <w:ind w:left="786" w:right="0" w:hanging="569"/>
        <w:jc w:val="left"/>
      </w:pPr>
      <w:r>
        <w:rPr/>
        <w:t>Válvulas de</w:t>
      </w:r>
      <w:r>
        <w:rPr>
          <w:spacing w:val="-1"/>
        </w:rPr>
        <w:t> </w:t>
      </w:r>
      <w:r>
        <w:rPr/>
        <w:t>desagüe</w:t>
      </w:r>
    </w:p>
    <w:p>
      <w:pPr>
        <w:pStyle w:val="ListParagraph"/>
        <w:numPr>
          <w:ilvl w:val="0"/>
          <w:numId w:val="256"/>
        </w:numPr>
        <w:tabs>
          <w:tab w:pos="672" w:val="left" w:leader="none"/>
          <w:tab w:pos="673" w:val="left" w:leader="none"/>
        </w:tabs>
        <w:spacing w:line="240" w:lineRule="auto" w:before="98" w:after="0"/>
        <w:ind w:left="672" w:right="441" w:hanging="454"/>
        <w:jc w:val="left"/>
        <w:rPr>
          <w:sz w:val="20"/>
        </w:rPr>
      </w:pPr>
      <w:r>
        <w:rPr>
          <w:sz w:val="20"/>
        </w:rPr>
        <w:t>Su ensamblaje e interconexión se efectuará mediante juntas mecánicas con tuerca y junta tórica. Todas irán dotadas de su correspondiente tapón y cadeneta, salvo que sean automáticas o con dis- positivo incorporado a la grifería, y juntas de estanqueidad para su acoplamiento al aparato sanita- rio.</w:t>
      </w:r>
    </w:p>
    <w:p>
      <w:pPr>
        <w:pStyle w:val="ListParagraph"/>
        <w:numPr>
          <w:ilvl w:val="0"/>
          <w:numId w:val="256"/>
        </w:numPr>
        <w:tabs>
          <w:tab w:pos="672" w:val="left" w:leader="none"/>
          <w:tab w:pos="673" w:val="left" w:leader="none"/>
        </w:tabs>
        <w:spacing w:line="240" w:lineRule="auto" w:before="60" w:after="0"/>
        <w:ind w:left="672" w:right="430" w:hanging="454"/>
        <w:jc w:val="left"/>
        <w:rPr>
          <w:sz w:val="20"/>
        </w:rPr>
      </w:pPr>
      <w:r>
        <w:rPr>
          <w:sz w:val="20"/>
        </w:rPr>
        <w:t>Las rejillas de todas las válvulas serán de latón cromado o de acero inoxidable, excepto en fregade- ros en los que serán necesariamente de acero inoxidable. La unión entre rejilla y válvula se realiza- rá mediante tornillo de acero inoxidable roscado sobre tuerca de latón inserta en el cuerpo de la válvula.</w:t>
      </w:r>
    </w:p>
    <w:p>
      <w:pPr>
        <w:pStyle w:val="ListParagraph"/>
        <w:numPr>
          <w:ilvl w:val="0"/>
          <w:numId w:val="256"/>
        </w:numPr>
        <w:tabs>
          <w:tab w:pos="672" w:val="left" w:leader="none"/>
          <w:tab w:pos="673" w:val="left" w:leader="none"/>
        </w:tabs>
        <w:spacing w:line="240" w:lineRule="auto" w:before="60" w:after="0"/>
        <w:ind w:left="672" w:right="764" w:hanging="454"/>
        <w:jc w:val="left"/>
        <w:rPr>
          <w:sz w:val="20"/>
        </w:rPr>
      </w:pPr>
      <w:r>
        <w:rPr>
          <w:sz w:val="20"/>
        </w:rPr>
        <w:t>En el montaje de válvulas no se permitirá la manipulación de las mismas, quedando prohibida la unión con enmasillado. Cuando el tubo sea de polipropileno, no se utilizará líquido</w:t>
      </w:r>
      <w:r>
        <w:rPr>
          <w:spacing w:val="-9"/>
          <w:sz w:val="20"/>
        </w:rPr>
        <w:t> </w:t>
      </w:r>
      <w:r>
        <w:rPr>
          <w:sz w:val="20"/>
        </w:rPr>
        <w:t>soldador.</w:t>
      </w:r>
    </w:p>
    <w:p>
      <w:pPr>
        <w:pStyle w:val="BodyText"/>
        <w:spacing w:before="6"/>
        <w:rPr>
          <w:sz w:val="17"/>
        </w:rPr>
      </w:pPr>
    </w:p>
    <w:p>
      <w:pPr>
        <w:pStyle w:val="Heading5"/>
        <w:numPr>
          <w:ilvl w:val="2"/>
          <w:numId w:val="255"/>
        </w:numPr>
        <w:tabs>
          <w:tab w:pos="787" w:val="left" w:leader="none"/>
        </w:tabs>
        <w:spacing w:line="240" w:lineRule="auto" w:before="1" w:after="0"/>
        <w:ind w:left="786" w:right="0" w:hanging="569"/>
        <w:jc w:val="left"/>
      </w:pPr>
      <w:r>
        <w:rPr/>
        <w:t>Sifones individuales y botes</w:t>
      </w:r>
      <w:r>
        <w:rPr>
          <w:spacing w:val="-4"/>
        </w:rPr>
        <w:t> </w:t>
      </w:r>
      <w:r>
        <w:rPr/>
        <w:t>sifónicos</w:t>
      </w:r>
    </w:p>
    <w:p>
      <w:pPr>
        <w:pStyle w:val="ListParagraph"/>
        <w:numPr>
          <w:ilvl w:val="0"/>
          <w:numId w:val="257"/>
        </w:numPr>
        <w:tabs>
          <w:tab w:pos="672" w:val="left" w:leader="none"/>
          <w:tab w:pos="673" w:val="left" w:leader="none"/>
        </w:tabs>
        <w:spacing w:line="240" w:lineRule="auto" w:before="97" w:after="0"/>
        <w:ind w:left="672" w:right="417" w:hanging="454"/>
        <w:jc w:val="left"/>
        <w:rPr>
          <w:sz w:val="20"/>
        </w:rPr>
      </w:pPr>
      <w:r>
        <w:rPr>
          <w:sz w:val="20"/>
        </w:rPr>
        <w:t>Tanto los sifones individuales como los botes sifónicos serán accesibles en todos los casos y siem- pre desde el propio local en que se hallen instalados. Los </w:t>
      </w:r>
      <w:r>
        <w:rPr>
          <w:i/>
          <w:sz w:val="20"/>
        </w:rPr>
        <w:t>cierres hidráulicos </w:t>
      </w:r>
      <w:r>
        <w:rPr>
          <w:sz w:val="20"/>
        </w:rPr>
        <w:t>no quedarán tapados u ocultos por tabiques, forjados, etc., que dificulten o imposibiliten su acceso y mantenimiento. Los botes sifónicos empotrados en forjados sólo se podrán utilizar en condiciones ineludibles y justifica- das de</w:t>
      </w:r>
      <w:r>
        <w:rPr>
          <w:spacing w:val="-1"/>
          <w:sz w:val="20"/>
        </w:rPr>
        <w:t> </w:t>
      </w:r>
      <w:r>
        <w:rPr>
          <w:sz w:val="20"/>
        </w:rPr>
        <w:t>diseño.</w:t>
      </w:r>
    </w:p>
    <w:p>
      <w:pPr>
        <w:pStyle w:val="ListParagraph"/>
        <w:numPr>
          <w:ilvl w:val="0"/>
          <w:numId w:val="257"/>
        </w:numPr>
        <w:tabs>
          <w:tab w:pos="672" w:val="left" w:leader="none"/>
          <w:tab w:pos="673" w:val="left" w:leader="none"/>
        </w:tabs>
        <w:spacing w:line="240" w:lineRule="auto" w:before="61" w:after="0"/>
        <w:ind w:left="672" w:right="441" w:hanging="454"/>
        <w:jc w:val="left"/>
        <w:rPr>
          <w:sz w:val="20"/>
        </w:rPr>
      </w:pPr>
      <w:r>
        <w:rPr>
          <w:sz w:val="20"/>
        </w:rPr>
        <w:t>Los sifones individuales llevarán en el fondo un dispositivo de registro con tapón roscado y se insta- larán lo más cerca posible de la válvula de descarga del aparato sanitario o en el mismo aparato sanitario, para minimizar la longitud de tubería sucia en contacto con el</w:t>
      </w:r>
      <w:r>
        <w:rPr>
          <w:spacing w:val="-7"/>
          <w:sz w:val="20"/>
        </w:rPr>
        <w:t> </w:t>
      </w:r>
      <w:r>
        <w:rPr>
          <w:sz w:val="20"/>
        </w:rPr>
        <w:t>ambiente.</w:t>
      </w:r>
    </w:p>
    <w:p>
      <w:pPr>
        <w:pStyle w:val="ListParagraph"/>
        <w:numPr>
          <w:ilvl w:val="0"/>
          <w:numId w:val="257"/>
        </w:numPr>
        <w:tabs>
          <w:tab w:pos="672" w:val="left" w:leader="none"/>
          <w:tab w:pos="673" w:val="left" w:leader="none"/>
        </w:tabs>
        <w:spacing w:line="240" w:lineRule="auto" w:before="61" w:after="0"/>
        <w:ind w:left="672" w:right="520" w:hanging="454"/>
        <w:jc w:val="left"/>
        <w:rPr>
          <w:sz w:val="20"/>
        </w:rPr>
      </w:pPr>
      <w:r>
        <w:rPr>
          <w:sz w:val="20"/>
        </w:rPr>
        <w:t>La distancia máxima, en sentido vertical, entre la válvula de desagüe y la corona del sifón debe ser igual o inferior a 60 cm, para evitar la pérdida del sello</w:t>
      </w:r>
      <w:r>
        <w:rPr>
          <w:spacing w:val="-3"/>
          <w:sz w:val="20"/>
        </w:rPr>
        <w:t> </w:t>
      </w:r>
      <w:r>
        <w:rPr>
          <w:sz w:val="20"/>
        </w:rPr>
        <w:t>hidráulico.</w:t>
      </w:r>
    </w:p>
    <w:p>
      <w:pPr>
        <w:pStyle w:val="ListParagraph"/>
        <w:numPr>
          <w:ilvl w:val="0"/>
          <w:numId w:val="257"/>
        </w:numPr>
        <w:tabs>
          <w:tab w:pos="672" w:val="left" w:leader="none"/>
          <w:tab w:pos="673" w:val="left" w:leader="none"/>
        </w:tabs>
        <w:spacing w:line="240" w:lineRule="auto" w:before="59" w:after="0"/>
        <w:ind w:left="672" w:right="452" w:hanging="454"/>
        <w:jc w:val="left"/>
        <w:rPr>
          <w:sz w:val="20"/>
        </w:rPr>
      </w:pPr>
      <w:r>
        <w:rPr>
          <w:sz w:val="20"/>
        </w:rPr>
        <w:t>Cuando se instalen sifones individuales, se dispondrán en orden de menor a mayor altura de los respectivos </w:t>
      </w:r>
      <w:r>
        <w:rPr>
          <w:i/>
          <w:sz w:val="20"/>
        </w:rPr>
        <w:t>cierres hidráulicos </w:t>
      </w:r>
      <w:r>
        <w:rPr>
          <w:sz w:val="20"/>
        </w:rPr>
        <w:t>a partir de la embocadura a la </w:t>
      </w:r>
      <w:r>
        <w:rPr>
          <w:i/>
          <w:sz w:val="20"/>
        </w:rPr>
        <w:t>bajante </w:t>
      </w:r>
      <w:r>
        <w:rPr>
          <w:sz w:val="20"/>
        </w:rPr>
        <w:t>o al manguetón del inodoro, si es el caso, donde desembocarán los restantes aparatos aprovechando el máximo desnivel posible en el desagüe de cada uno de ellos. Así, el más próximo a la </w:t>
      </w:r>
      <w:r>
        <w:rPr>
          <w:i/>
          <w:sz w:val="20"/>
        </w:rPr>
        <w:t>bajante </w:t>
      </w:r>
      <w:r>
        <w:rPr>
          <w:sz w:val="20"/>
        </w:rPr>
        <w:t>será la bañera, después el bi- dé y finalmente el o los</w:t>
      </w:r>
      <w:r>
        <w:rPr>
          <w:spacing w:val="-3"/>
          <w:sz w:val="20"/>
        </w:rPr>
        <w:t> </w:t>
      </w:r>
      <w:r>
        <w:rPr>
          <w:sz w:val="20"/>
        </w:rPr>
        <w:t>lavabos.</w:t>
      </w:r>
    </w:p>
    <w:p>
      <w:pPr>
        <w:pStyle w:val="ListParagraph"/>
        <w:numPr>
          <w:ilvl w:val="0"/>
          <w:numId w:val="257"/>
        </w:numPr>
        <w:tabs>
          <w:tab w:pos="672" w:val="left" w:leader="none"/>
          <w:tab w:pos="673" w:val="left" w:leader="none"/>
        </w:tabs>
        <w:spacing w:line="240" w:lineRule="auto" w:before="60" w:after="0"/>
        <w:ind w:left="672" w:right="497" w:hanging="454"/>
        <w:jc w:val="left"/>
        <w:rPr>
          <w:sz w:val="20"/>
        </w:rPr>
      </w:pPr>
      <w:r>
        <w:rPr>
          <w:sz w:val="20"/>
        </w:rPr>
        <w:t>No se permitirá la instalación de sifones antisucción, ni cualquier otro que por su diseño pueda per- mitir el vaciado del sello hidráulico por</w:t>
      </w:r>
      <w:r>
        <w:rPr>
          <w:spacing w:val="-1"/>
          <w:sz w:val="20"/>
        </w:rPr>
        <w:t> </w:t>
      </w:r>
      <w:r>
        <w:rPr>
          <w:sz w:val="20"/>
        </w:rPr>
        <w:t>sifonamiento.</w:t>
      </w:r>
    </w:p>
    <w:p>
      <w:pPr>
        <w:pStyle w:val="ListParagraph"/>
        <w:numPr>
          <w:ilvl w:val="0"/>
          <w:numId w:val="257"/>
        </w:numPr>
        <w:tabs>
          <w:tab w:pos="672" w:val="left" w:leader="none"/>
          <w:tab w:pos="673" w:val="left" w:leader="none"/>
        </w:tabs>
        <w:spacing w:line="240" w:lineRule="auto" w:before="59" w:after="0"/>
        <w:ind w:left="672" w:right="505" w:hanging="454"/>
        <w:jc w:val="left"/>
        <w:rPr>
          <w:sz w:val="20"/>
        </w:rPr>
      </w:pPr>
      <w:r>
        <w:rPr>
          <w:sz w:val="20"/>
        </w:rPr>
        <w:t>No se podrán conectar desagües procedentes de ningún otro tipo de aparato sanitario a botes sifó- nicos que recojan desagües de</w:t>
      </w:r>
      <w:r>
        <w:rPr>
          <w:spacing w:val="-2"/>
          <w:sz w:val="20"/>
        </w:rPr>
        <w:t> </w:t>
      </w:r>
      <w:r>
        <w:rPr>
          <w:sz w:val="20"/>
        </w:rPr>
        <w:t>urinarios,</w:t>
      </w:r>
    </w:p>
    <w:p>
      <w:pPr>
        <w:pStyle w:val="ListParagraph"/>
        <w:numPr>
          <w:ilvl w:val="0"/>
          <w:numId w:val="257"/>
        </w:numPr>
        <w:tabs>
          <w:tab w:pos="672" w:val="left" w:leader="none"/>
          <w:tab w:pos="673" w:val="left" w:leader="none"/>
        </w:tabs>
        <w:spacing w:line="240" w:lineRule="auto" w:before="61" w:after="0"/>
        <w:ind w:left="672" w:right="732" w:hanging="454"/>
        <w:jc w:val="left"/>
        <w:rPr>
          <w:sz w:val="20"/>
        </w:rPr>
      </w:pPr>
      <w:r>
        <w:rPr>
          <w:sz w:val="20"/>
        </w:rPr>
        <w:t>Los botes sifónicos quedarán enrasados con el pavimento y serán registrables mediante tapa de cierre hermético, estanca al aire y al</w:t>
      </w:r>
      <w:r>
        <w:rPr>
          <w:spacing w:val="-5"/>
          <w:sz w:val="20"/>
        </w:rPr>
        <w:t> </w:t>
      </w:r>
      <w:r>
        <w:rPr>
          <w:sz w:val="20"/>
        </w:rPr>
        <w:t>agua.</w:t>
      </w:r>
    </w:p>
    <w:p>
      <w:pPr>
        <w:pStyle w:val="ListParagraph"/>
        <w:numPr>
          <w:ilvl w:val="0"/>
          <w:numId w:val="257"/>
        </w:numPr>
        <w:tabs>
          <w:tab w:pos="672" w:val="left" w:leader="none"/>
          <w:tab w:pos="673" w:val="left" w:leader="none"/>
        </w:tabs>
        <w:spacing w:line="240" w:lineRule="auto" w:before="60" w:after="0"/>
        <w:ind w:left="672" w:right="509" w:hanging="454"/>
        <w:jc w:val="left"/>
        <w:rPr>
          <w:sz w:val="20"/>
        </w:rPr>
      </w:pPr>
      <w:r>
        <w:rPr>
          <w:sz w:val="20"/>
        </w:rPr>
        <w:t>La conexión de los ramales de desagüe al bote sifónico se realizará a una altura mínima de 20 mm y el tubo de salida como mínimo a 50 mm, formando así un </w:t>
      </w:r>
      <w:r>
        <w:rPr>
          <w:i/>
          <w:sz w:val="20"/>
        </w:rPr>
        <w:t>cierre hidráulico</w:t>
      </w:r>
      <w:r>
        <w:rPr>
          <w:sz w:val="20"/>
        </w:rPr>
        <w:t>. La conexión del tubo de salida a la </w:t>
      </w:r>
      <w:r>
        <w:rPr>
          <w:i/>
          <w:sz w:val="20"/>
        </w:rPr>
        <w:t>bajante </w:t>
      </w:r>
      <w:r>
        <w:rPr>
          <w:sz w:val="20"/>
        </w:rPr>
        <w:t>no se realizará a un nivel inferior al de la boca del bote para evitar la pérdida del sello hidráulico.</w:t>
      </w:r>
    </w:p>
    <w:p>
      <w:pPr>
        <w:pStyle w:val="ListParagraph"/>
        <w:numPr>
          <w:ilvl w:val="0"/>
          <w:numId w:val="257"/>
        </w:numPr>
        <w:tabs>
          <w:tab w:pos="672" w:val="left" w:leader="none"/>
          <w:tab w:pos="673" w:val="left" w:leader="none"/>
        </w:tabs>
        <w:spacing w:line="240" w:lineRule="auto" w:before="60" w:after="0"/>
        <w:ind w:left="672" w:right="0" w:hanging="455"/>
        <w:jc w:val="left"/>
        <w:rPr>
          <w:sz w:val="20"/>
        </w:rPr>
      </w:pPr>
      <w:r>
        <w:rPr>
          <w:sz w:val="20"/>
        </w:rPr>
        <w:t>El diámetro de los botes sifónicos será como mínimo de 110</w:t>
      </w:r>
      <w:r>
        <w:rPr>
          <w:spacing w:val="-5"/>
          <w:sz w:val="20"/>
        </w:rPr>
        <w:t> </w:t>
      </w:r>
      <w:r>
        <w:rPr>
          <w:sz w:val="20"/>
        </w:rPr>
        <w:t>mm.</w:t>
      </w:r>
    </w:p>
    <w:p>
      <w:pPr>
        <w:pStyle w:val="ListParagraph"/>
        <w:numPr>
          <w:ilvl w:val="0"/>
          <w:numId w:val="257"/>
        </w:numPr>
        <w:tabs>
          <w:tab w:pos="673" w:val="left" w:leader="none"/>
        </w:tabs>
        <w:spacing w:line="240" w:lineRule="auto" w:before="60" w:after="0"/>
        <w:ind w:left="672" w:right="742" w:hanging="454"/>
        <w:jc w:val="both"/>
        <w:rPr>
          <w:sz w:val="20"/>
        </w:rPr>
      </w:pPr>
      <w:r>
        <w:rPr>
          <w:sz w:val="20"/>
        </w:rPr>
        <w:t>Los botes sifónicos llevarán incorporada una válvula de retención contra inundaciones con boya flotador y desmontable para acceder al interior. Así mismo, contarán con un tapón de registro de acceso directo al tubo de evacuación para eventuales atascos y</w:t>
      </w:r>
      <w:r>
        <w:rPr>
          <w:spacing w:val="-7"/>
          <w:sz w:val="20"/>
        </w:rPr>
        <w:t> </w:t>
      </w:r>
      <w:r>
        <w:rPr>
          <w:sz w:val="20"/>
        </w:rPr>
        <w:t>obstrucciones.</w:t>
      </w:r>
    </w:p>
    <w:p>
      <w:pPr>
        <w:pStyle w:val="ListParagraph"/>
        <w:numPr>
          <w:ilvl w:val="0"/>
          <w:numId w:val="257"/>
        </w:numPr>
        <w:tabs>
          <w:tab w:pos="673" w:val="left" w:leader="none"/>
        </w:tabs>
        <w:spacing w:line="240" w:lineRule="auto" w:before="60" w:after="0"/>
        <w:ind w:left="672" w:right="509" w:hanging="454"/>
        <w:jc w:val="both"/>
        <w:rPr>
          <w:sz w:val="20"/>
        </w:rPr>
      </w:pPr>
      <w:r>
        <w:rPr>
          <w:sz w:val="20"/>
        </w:rPr>
        <w:t>No se permitirá la conexión al sifón de otro aparato del desagüe de electrodomésticos, aparatos de bombeo o fregaderos con</w:t>
      </w:r>
      <w:r>
        <w:rPr>
          <w:spacing w:val="-1"/>
          <w:sz w:val="20"/>
        </w:rPr>
        <w:t> </w:t>
      </w:r>
      <w:r>
        <w:rPr>
          <w:sz w:val="20"/>
        </w:rPr>
        <w:t>triturador.</w:t>
      </w:r>
    </w:p>
    <w:p>
      <w:pPr>
        <w:spacing w:after="0" w:line="240" w:lineRule="auto"/>
        <w:jc w:val="both"/>
        <w:rPr>
          <w:sz w:val="20"/>
        </w:rPr>
        <w:sectPr>
          <w:pgSz w:w="11910" w:h="16840"/>
          <w:pgMar w:header="714" w:footer="642" w:top="1320" w:bottom="840" w:left="1200" w:right="740"/>
        </w:sectPr>
      </w:pPr>
    </w:p>
    <w:p>
      <w:pPr>
        <w:pStyle w:val="BodyText"/>
        <w:spacing w:before="1"/>
        <w:rPr>
          <w:sz w:val="12"/>
        </w:rPr>
      </w:pPr>
    </w:p>
    <w:p>
      <w:pPr>
        <w:pStyle w:val="Heading5"/>
        <w:numPr>
          <w:ilvl w:val="2"/>
          <w:numId w:val="255"/>
        </w:numPr>
        <w:tabs>
          <w:tab w:pos="787" w:val="left" w:leader="none"/>
        </w:tabs>
        <w:spacing w:line="240" w:lineRule="auto" w:before="94" w:after="0"/>
        <w:ind w:left="786" w:right="0" w:hanging="569"/>
        <w:jc w:val="left"/>
      </w:pPr>
      <w:r>
        <w:rPr/>
        <w:t>Calderetas o cazoletas y</w:t>
      </w:r>
      <w:r>
        <w:rPr>
          <w:spacing w:val="-5"/>
        </w:rPr>
        <w:t> </w:t>
      </w:r>
      <w:r>
        <w:rPr/>
        <w:t>sumideros</w:t>
      </w:r>
    </w:p>
    <w:p>
      <w:pPr>
        <w:pStyle w:val="ListParagraph"/>
        <w:numPr>
          <w:ilvl w:val="0"/>
          <w:numId w:val="258"/>
        </w:numPr>
        <w:tabs>
          <w:tab w:pos="672" w:val="left" w:leader="none"/>
          <w:tab w:pos="673" w:val="left" w:leader="none"/>
        </w:tabs>
        <w:spacing w:line="240" w:lineRule="auto" w:before="97" w:after="0"/>
        <w:ind w:left="672" w:right="485" w:hanging="454"/>
        <w:jc w:val="left"/>
        <w:rPr>
          <w:sz w:val="20"/>
        </w:rPr>
      </w:pPr>
      <w:r>
        <w:rPr>
          <w:sz w:val="20"/>
        </w:rPr>
        <w:t>La superficie de la boca de la caldereta será como mínimo un 50 % mayor que la sección de </w:t>
      </w:r>
      <w:r>
        <w:rPr>
          <w:i/>
          <w:sz w:val="20"/>
        </w:rPr>
        <w:t>bajan- </w:t>
      </w:r>
      <w:r>
        <w:rPr>
          <w:i/>
          <w:sz w:val="20"/>
        </w:rPr>
        <w:t>te </w:t>
      </w:r>
      <w:r>
        <w:rPr>
          <w:sz w:val="20"/>
        </w:rPr>
        <w:t>a la que sirve. Tendrá una profundidad mínima de 15 cm y un solape también mínimo de 5 cm bajo el solado. Irán provistas de rejillas, planas en el caso de cubiertas transitables y esféricas en las no</w:t>
      </w:r>
      <w:r>
        <w:rPr>
          <w:spacing w:val="-2"/>
          <w:sz w:val="20"/>
        </w:rPr>
        <w:t> </w:t>
      </w:r>
      <w:r>
        <w:rPr>
          <w:sz w:val="20"/>
        </w:rPr>
        <w:t>transitables.</w:t>
      </w:r>
    </w:p>
    <w:p>
      <w:pPr>
        <w:pStyle w:val="ListParagraph"/>
        <w:numPr>
          <w:ilvl w:val="0"/>
          <w:numId w:val="258"/>
        </w:numPr>
        <w:tabs>
          <w:tab w:pos="672" w:val="left" w:leader="none"/>
          <w:tab w:pos="673" w:val="left" w:leader="none"/>
        </w:tabs>
        <w:spacing w:line="240" w:lineRule="auto" w:before="61" w:after="0"/>
        <w:ind w:left="672" w:right="418" w:hanging="454"/>
        <w:jc w:val="left"/>
        <w:rPr>
          <w:sz w:val="20"/>
        </w:rPr>
      </w:pPr>
      <w:r>
        <w:rPr>
          <w:sz w:val="20"/>
        </w:rPr>
        <w:t>Tanto en las </w:t>
      </w:r>
      <w:r>
        <w:rPr>
          <w:i/>
          <w:sz w:val="20"/>
        </w:rPr>
        <w:t>bajantes </w:t>
      </w:r>
      <w:r>
        <w:rPr>
          <w:sz w:val="20"/>
        </w:rPr>
        <w:t>mixtas como en las </w:t>
      </w:r>
      <w:r>
        <w:rPr>
          <w:i/>
          <w:sz w:val="20"/>
        </w:rPr>
        <w:t>bajantes </w:t>
      </w:r>
      <w:r>
        <w:rPr>
          <w:sz w:val="20"/>
        </w:rPr>
        <w:t>de </w:t>
      </w:r>
      <w:r>
        <w:rPr>
          <w:i/>
          <w:sz w:val="20"/>
        </w:rPr>
        <w:t>pluviales</w:t>
      </w:r>
      <w:r>
        <w:rPr>
          <w:sz w:val="20"/>
        </w:rPr>
        <w:t>, la caldereta se instalará en paralelo con la </w:t>
      </w:r>
      <w:r>
        <w:rPr>
          <w:i/>
          <w:sz w:val="20"/>
        </w:rPr>
        <w:t>bajante</w:t>
      </w:r>
      <w:r>
        <w:rPr>
          <w:sz w:val="20"/>
        </w:rPr>
        <w:t>, a fin de poder garantizar el funcionamiento de la columna de</w:t>
      </w:r>
      <w:r>
        <w:rPr>
          <w:spacing w:val="-7"/>
          <w:sz w:val="20"/>
        </w:rPr>
        <w:t> </w:t>
      </w:r>
      <w:r>
        <w:rPr>
          <w:sz w:val="20"/>
        </w:rPr>
        <w:t>ventilación.</w:t>
      </w:r>
    </w:p>
    <w:p>
      <w:pPr>
        <w:pStyle w:val="ListParagraph"/>
        <w:numPr>
          <w:ilvl w:val="0"/>
          <w:numId w:val="258"/>
        </w:numPr>
        <w:tabs>
          <w:tab w:pos="672" w:val="left" w:leader="none"/>
          <w:tab w:pos="673" w:val="left" w:leader="none"/>
        </w:tabs>
        <w:spacing w:line="240" w:lineRule="auto" w:before="60" w:after="0"/>
        <w:ind w:left="672" w:right="396" w:hanging="454"/>
        <w:jc w:val="left"/>
        <w:rPr>
          <w:sz w:val="20"/>
        </w:rPr>
      </w:pPr>
      <w:r>
        <w:rPr>
          <w:sz w:val="20"/>
        </w:rPr>
        <w:t>Los sumideros de recogida de </w:t>
      </w:r>
      <w:r>
        <w:rPr>
          <w:i/>
          <w:sz w:val="20"/>
        </w:rPr>
        <w:t>aguas pluviales</w:t>
      </w:r>
      <w:r>
        <w:rPr>
          <w:sz w:val="20"/>
        </w:rPr>
        <w:t>, tanto en cubiertas, como en terrazas y garajes serán de tipo sifónico, capaces de soportar, de forma constante, cargas de 100 kg/cm</w:t>
      </w:r>
      <w:r>
        <w:rPr>
          <w:sz w:val="20"/>
          <w:vertAlign w:val="superscript"/>
        </w:rPr>
        <w:t>2</w:t>
      </w:r>
      <w:r>
        <w:rPr>
          <w:sz w:val="20"/>
          <w:vertAlign w:val="baseline"/>
        </w:rPr>
        <w:t>. El sellado estanco entre al impermeabilizante y el sumidero se realizará mediante apriete mecánico tipo “brida” de la tapa del sumidero sobre el cuerpo del mismo. Así mismo, el impermeabilizante se protegerá con una brida de material</w:t>
      </w:r>
      <w:r>
        <w:rPr>
          <w:spacing w:val="-3"/>
          <w:sz w:val="20"/>
          <w:vertAlign w:val="baseline"/>
        </w:rPr>
        <w:t> </w:t>
      </w:r>
      <w:r>
        <w:rPr>
          <w:sz w:val="20"/>
          <w:vertAlign w:val="baseline"/>
        </w:rPr>
        <w:t>plástico.</w:t>
      </w:r>
    </w:p>
    <w:p>
      <w:pPr>
        <w:pStyle w:val="ListParagraph"/>
        <w:numPr>
          <w:ilvl w:val="0"/>
          <w:numId w:val="258"/>
        </w:numPr>
        <w:tabs>
          <w:tab w:pos="672" w:val="left" w:leader="none"/>
          <w:tab w:pos="673" w:val="left" w:leader="none"/>
        </w:tabs>
        <w:spacing w:line="240" w:lineRule="auto" w:before="60" w:after="0"/>
        <w:ind w:left="672" w:right="0" w:hanging="455"/>
        <w:jc w:val="left"/>
        <w:rPr>
          <w:sz w:val="20"/>
        </w:rPr>
      </w:pPr>
      <w:r>
        <w:rPr>
          <w:sz w:val="20"/>
        </w:rPr>
        <w:t>El sumidero, en su montaje, permitirá absorber diferencias de espesores de suelo, de hasta 90</w:t>
      </w:r>
      <w:r>
        <w:rPr>
          <w:spacing w:val="-11"/>
          <w:sz w:val="20"/>
        </w:rPr>
        <w:t> </w:t>
      </w:r>
      <w:r>
        <w:rPr>
          <w:sz w:val="20"/>
        </w:rPr>
        <w:t>mm.</w:t>
      </w:r>
    </w:p>
    <w:p>
      <w:pPr>
        <w:pStyle w:val="ListParagraph"/>
        <w:numPr>
          <w:ilvl w:val="0"/>
          <w:numId w:val="258"/>
        </w:numPr>
        <w:tabs>
          <w:tab w:pos="672" w:val="left" w:leader="none"/>
          <w:tab w:pos="673" w:val="left" w:leader="none"/>
        </w:tabs>
        <w:spacing w:line="240" w:lineRule="auto" w:before="60" w:after="0"/>
        <w:ind w:left="672" w:right="410" w:hanging="454"/>
        <w:jc w:val="left"/>
        <w:rPr>
          <w:sz w:val="20"/>
        </w:rPr>
      </w:pPr>
      <w:r>
        <w:rPr>
          <w:sz w:val="20"/>
        </w:rPr>
        <w:t>El sumidero sifónico se dispondrá a una distancia de la </w:t>
      </w:r>
      <w:r>
        <w:rPr>
          <w:i/>
          <w:sz w:val="20"/>
        </w:rPr>
        <w:t>bajante </w:t>
      </w:r>
      <w:r>
        <w:rPr>
          <w:sz w:val="20"/>
        </w:rPr>
        <w:t>inferior o igual a 5 m, y se garantiza- rá que en ningún punto de la cubierta se supera una altura de 15 cm de hormigón de pendiente. Su diámetro será superior a 1,5 veces el diámetro de la </w:t>
      </w:r>
      <w:r>
        <w:rPr>
          <w:i/>
          <w:sz w:val="20"/>
        </w:rPr>
        <w:t>bajante </w:t>
      </w:r>
      <w:r>
        <w:rPr>
          <w:sz w:val="20"/>
        </w:rPr>
        <w:t>a la que</w:t>
      </w:r>
      <w:r>
        <w:rPr>
          <w:spacing w:val="-5"/>
          <w:sz w:val="20"/>
        </w:rPr>
        <w:t> </w:t>
      </w:r>
      <w:r>
        <w:rPr>
          <w:sz w:val="20"/>
        </w:rPr>
        <w:t>desagua.</w:t>
      </w:r>
    </w:p>
    <w:p>
      <w:pPr>
        <w:pStyle w:val="BodyText"/>
        <w:spacing w:before="6"/>
        <w:rPr>
          <w:sz w:val="17"/>
        </w:rPr>
      </w:pPr>
    </w:p>
    <w:p>
      <w:pPr>
        <w:pStyle w:val="Heading5"/>
        <w:numPr>
          <w:ilvl w:val="2"/>
          <w:numId w:val="255"/>
        </w:numPr>
        <w:tabs>
          <w:tab w:pos="787" w:val="left" w:leader="none"/>
        </w:tabs>
        <w:spacing w:line="240" w:lineRule="auto" w:before="0" w:after="0"/>
        <w:ind w:left="786" w:right="0" w:hanging="569"/>
        <w:jc w:val="left"/>
      </w:pPr>
      <w:r>
        <w:rPr/>
        <w:t>Canalones</w:t>
      </w:r>
    </w:p>
    <w:p>
      <w:pPr>
        <w:pStyle w:val="ListParagraph"/>
        <w:numPr>
          <w:ilvl w:val="0"/>
          <w:numId w:val="259"/>
        </w:numPr>
        <w:tabs>
          <w:tab w:pos="672" w:val="left" w:leader="none"/>
          <w:tab w:pos="673" w:val="left" w:leader="none"/>
        </w:tabs>
        <w:spacing w:line="240" w:lineRule="auto" w:before="99" w:after="0"/>
        <w:ind w:left="672" w:right="407" w:hanging="454"/>
        <w:jc w:val="left"/>
        <w:rPr>
          <w:sz w:val="20"/>
        </w:rPr>
      </w:pPr>
      <w:r>
        <w:rPr>
          <w:sz w:val="20"/>
        </w:rPr>
        <w:t>Los canalones, en general y salvo las siguientes especificaciones, se dispondrán con una pendiente mínima de 0,5%, con una ligera pendiente hacia el</w:t>
      </w:r>
      <w:r>
        <w:rPr>
          <w:spacing w:val="-4"/>
          <w:sz w:val="20"/>
        </w:rPr>
        <w:t> </w:t>
      </w:r>
      <w:r>
        <w:rPr>
          <w:sz w:val="20"/>
        </w:rPr>
        <w:t>exterior.</w:t>
      </w:r>
    </w:p>
    <w:p>
      <w:pPr>
        <w:pStyle w:val="ListParagraph"/>
        <w:numPr>
          <w:ilvl w:val="0"/>
          <w:numId w:val="259"/>
        </w:numPr>
        <w:tabs>
          <w:tab w:pos="672" w:val="left" w:leader="none"/>
          <w:tab w:pos="673" w:val="left" w:leader="none"/>
        </w:tabs>
        <w:spacing w:line="240" w:lineRule="auto" w:before="60" w:after="0"/>
        <w:ind w:left="672" w:right="441" w:hanging="454"/>
        <w:jc w:val="left"/>
        <w:rPr>
          <w:sz w:val="20"/>
        </w:rPr>
      </w:pPr>
      <w:r>
        <w:rPr>
          <w:sz w:val="20"/>
        </w:rPr>
        <w:t>Para la construcción de canalones de zinc, se soldarán las piezas en todo su perímetro, las abraza- deras a las que se sujetará la chapa, se ajustarán a la forma de la misma y serán de pletina de ace- ro galvanizado. Se colocarán estos elementos de sujeción a una distancia máxima de 50 cm e irá remetido al menos 15 mm de la línea de tejas del</w:t>
      </w:r>
      <w:r>
        <w:rPr>
          <w:spacing w:val="-6"/>
          <w:sz w:val="20"/>
        </w:rPr>
        <w:t> </w:t>
      </w:r>
      <w:r>
        <w:rPr>
          <w:sz w:val="20"/>
        </w:rPr>
        <w:t>alero.</w:t>
      </w:r>
    </w:p>
    <w:p>
      <w:pPr>
        <w:pStyle w:val="ListParagraph"/>
        <w:numPr>
          <w:ilvl w:val="0"/>
          <w:numId w:val="259"/>
        </w:numPr>
        <w:tabs>
          <w:tab w:pos="673" w:val="left" w:leader="none"/>
        </w:tabs>
        <w:spacing w:line="240" w:lineRule="auto" w:before="60" w:after="0"/>
        <w:ind w:left="672" w:right="497" w:hanging="454"/>
        <w:jc w:val="both"/>
        <w:rPr>
          <w:sz w:val="20"/>
        </w:rPr>
      </w:pPr>
      <w:r>
        <w:rPr>
          <w:sz w:val="20"/>
        </w:rPr>
        <w:t>En canalones de plástico, se puede establecer una pendiente mínima de 0,16%. En estos canalo- nes se unirán los diferentes perfiles con manguito de unión con junta de goma. La separación má- xima entre ganchos de sujeción no excederá de 1 m, dejando espacio para las </w:t>
      </w:r>
      <w:r>
        <w:rPr>
          <w:i/>
          <w:sz w:val="20"/>
        </w:rPr>
        <w:t>bajantes </w:t>
      </w:r>
      <w:r>
        <w:rPr>
          <w:sz w:val="20"/>
        </w:rPr>
        <w:t>y uniones, aunque en zonas de nieve dicha distancia se reducirá a 0,70 m. Todos sus accesorios deben llevar una zona de dilatación de al menos 10</w:t>
      </w:r>
      <w:r>
        <w:rPr>
          <w:spacing w:val="-5"/>
          <w:sz w:val="20"/>
        </w:rPr>
        <w:t> </w:t>
      </w:r>
      <w:r>
        <w:rPr>
          <w:sz w:val="20"/>
        </w:rPr>
        <w:t>mm.</w:t>
      </w:r>
    </w:p>
    <w:p>
      <w:pPr>
        <w:pStyle w:val="ListParagraph"/>
        <w:numPr>
          <w:ilvl w:val="0"/>
          <w:numId w:val="259"/>
        </w:numPr>
        <w:tabs>
          <w:tab w:pos="673" w:val="left" w:leader="none"/>
        </w:tabs>
        <w:spacing w:line="240" w:lineRule="auto" w:before="60" w:after="0"/>
        <w:ind w:left="672" w:right="586" w:hanging="454"/>
        <w:jc w:val="both"/>
        <w:rPr>
          <w:sz w:val="20"/>
        </w:rPr>
      </w:pPr>
      <w:r>
        <w:rPr>
          <w:sz w:val="20"/>
        </w:rPr>
        <w:t>La conexión de canalones al </w:t>
      </w:r>
      <w:r>
        <w:rPr>
          <w:i/>
          <w:sz w:val="20"/>
        </w:rPr>
        <w:t>colector </w:t>
      </w:r>
      <w:r>
        <w:rPr>
          <w:sz w:val="20"/>
        </w:rPr>
        <w:t>general de la red vertical aneja, en su caso, se hará a través de sumidero</w:t>
      </w:r>
      <w:r>
        <w:rPr>
          <w:spacing w:val="-3"/>
          <w:sz w:val="20"/>
        </w:rPr>
        <w:t> </w:t>
      </w:r>
      <w:r>
        <w:rPr>
          <w:sz w:val="20"/>
        </w:rPr>
        <w:t>sifónico.</w:t>
      </w:r>
    </w:p>
    <w:p>
      <w:pPr>
        <w:pStyle w:val="BodyText"/>
        <w:spacing w:before="5"/>
        <w:rPr>
          <w:sz w:val="24"/>
        </w:rPr>
      </w:pPr>
    </w:p>
    <w:p>
      <w:pPr>
        <w:pStyle w:val="Heading3"/>
        <w:numPr>
          <w:ilvl w:val="1"/>
          <w:numId w:val="255"/>
        </w:numPr>
        <w:tabs>
          <w:tab w:pos="786" w:val="left" w:leader="none"/>
          <w:tab w:pos="787" w:val="left" w:leader="none"/>
        </w:tabs>
        <w:spacing w:line="240" w:lineRule="auto" w:before="0" w:after="0"/>
        <w:ind w:left="786" w:right="0" w:hanging="569"/>
        <w:jc w:val="left"/>
      </w:pPr>
      <w:r>
        <w:rPr/>
        <w:t>Ejecución de las redes de pequeña</w:t>
      </w:r>
      <w:r>
        <w:rPr>
          <w:spacing w:val="-1"/>
        </w:rPr>
        <w:t> </w:t>
      </w:r>
      <w:r>
        <w:rPr/>
        <w:t>evacuación</w:t>
      </w:r>
    </w:p>
    <w:p>
      <w:pPr>
        <w:pStyle w:val="ListParagraph"/>
        <w:numPr>
          <w:ilvl w:val="0"/>
          <w:numId w:val="260"/>
        </w:numPr>
        <w:tabs>
          <w:tab w:pos="672" w:val="left" w:leader="none"/>
          <w:tab w:pos="673" w:val="left" w:leader="none"/>
        </w:tabs>
        <w:spacing w:line="240" w:lineRule="auto" w:before="99" w:after="0"/>
        <w:ind w:left="672" w:right="0" w:hanging="455"/>
        <w:jc w:val="left"/>
        <w:rPr>
          <w:sz w:val="20"/>
        </w:rPr>
      </w:pPr>
      <w:r>
        <w:rPr>
          <w:sz w:val="20"/>
        </w:rPr>
        <w:t>Las redes serán estancas y no presentarán exudaciones ni estarán expuestas a</w:t>
      </w:r>
      <w:r>
        <w:rPr>
          <w:spacing w:val="-11"/>
          <w:sz w:val="20"/>
        </w:rPr>
        <w:t> </w:t>
      </w:r>
      <w:r>
        <w:rPr>
          <w:sz w:val="20"/>
        </w:rPr>
        <w:t>obstrucciones.</w:t>
      </w:r>
    </w:p>
    <w:p>
      <w:pPr>
        <w:pStyle w:val="ListParagraph"/>
        <w:numPr>
          <w:ilvl w:val="0"/>
          <w:numId w:val="260"/>
        </w:numPr>
        <w:tabs>
          <w:tab w:pos="672" w:val="left" w:leader="none"/>
          <w:tab w:pos="673" w:val="left" w:leader="none"/>
        </w:tabs>
        <w:spacing w:line="240" w:lineRule="auto" w:before="59" w:after="0"/>
        <w:ind w:left="672" w:right="431" w:hanging="454"/>
        <w:jc w:val="left"/>
        <w:rPr>
          <w:sz w:val="20"/>
        </w:rPr>
      </w:pPr>
      <w:r>
        <w:rPr>
          <w:sz w:val="20"/>
        </w:rPr>
        <w:t>Se evitarán los cambios bruscos de dirección y se utilizarán piezas especiales adecuadas. Se evita- rá el enfrentamiento de dos ramales sobre una misma tubería</w:t>
      </w:r>
      <w:r>
        <w:rPr>
          <w:spacing w:val="-5"/>
          <w:sz w:val="20"/>
        </w:rPr>
        <w:t> </w:t>
      </w:r>
      <w:r>
        <w:rPr>
          <w:sz w:val="20"/>
        </w:rPr>
        <w:t>colectiva.</w:t>
      </w:r>
    </w:p>
    <w:p>
      <w:pPr>
        <w:pStyle w:val="ListParagraph"/>
        <w:numPr>
          <w:ilvl w:val="0"/>
          <w:numId w:val="260"/>
        </w:numPr>
        <w:tabs>
          <w:tab w:pos="672" w:val="left" w:leader="none"/>
          <w:tab w:pos="673" w:val="left" w:leader="none"/>
        </w:tabs>
        <w:spacing w:line="240" w:lineRule="auto" w:before="61" w:after="0"/>
        <w:ind w:left="672" w:right="484" w:hanging="454"/>
        <w:jc w:val="left"/>
        <w:rPr>
          <w:sz w:val="20"/>
        </w:rPr>
      </w:pPr>
      <w:r>
        <w:rPr>
          <w:sz w:val="20"/>
        </w:rPr>
        <w:t>Se sujetarán mediante bridas o ganchos dispuestos cada 700 mm para tubos de diámetro no supe- rior a 50 mm y cada 500 mm para diámetros superiores. Cuando la sujeción se realice a paramen- tos verticales, estos tendrán un espesor mínimo de 9 cm. Las abrazaderas de cuelgue de los forja- dos llevarán forro interior elástico y serán regulables para darles la pendiente</w:t>
      </w:r>
      <w:r>
        <w:rPr>
          <w:spacing w:val="-11"/>
          <w:sz w:val="20"/>
        </w:rPr>
        <w:t> </w:t>
      </w:r>
      <w:r>
        <w:rPr>
          <w:sz w:val="20"/>
        </w:rPr>
        <w:t>adecuada.</w:t>
      </w:r>
    </w:p>
    <w:p>
      <w:pPr>
        <w:pStyle w:val="ListParagraph"/>
        <w:numPr>
          <w:ilvl w:val="0"/>
          <w:numId w:val="260"/>
        </w:numPr>
        <w:tabs>
          <w:tab w:pos="672" w:val="left" w:leader="none"/>
          <w:tab w:pos="673" w:val="left" w:leader="none"/>
        </w:tabs>
        <w:spacing w:line="240" w:lineRule="auto" w:before="60" w:after="0"/>
        <w:ind w:left="672" w:right="852" w:hanging="454"/>
        <w:jc w:val="left"/>
        <w:rPr>
          <w:sz w:val="20"/>
        </w:rPr>
      </w:pPr>
      <w:r>
        <w:rPr>
          <w:sz w:val="20"/>
        </w:rPr>
        <w:t>En el caso de tuberías empotradas se aislarán para evitar corrosiones, aplastamientos o fugas. Igualmente, no quedarán sujetas a la obra con elementos rígidos tales como yesos o</w:t>
      </w:r>
      <w:r>
        <w:rPr>
          <w:spacing w:val="-10"/>
          <w:sz w:val="20"/>
        </w:rPr>
        <w:t> </w:t>
      </w:r>
      <w:r>
        <w:rPr>
          <w:sz w:val="20"/>
        </w:rPr>
        <w:t>morteros.</w:t>
      </w:r>
    </w:p>
    <w:p>
      <w:pPr>
        <w:pStyle w:val="ListParagraph"/>
        <w:numPr>
          <w:ilvl w:val="0"/>
          <w:numId w:val="260"/>
        </w:numPr>
        <w:tabs>
          <w:tab w:pos="672" w:val="left" w:leader="none"/>
          <w:tab w:pos="673" w:val="left" w:leader="none"/>
        </w:tabs>
        <w:spacing w:line="240" w:lineRule="auto" w:before="60" w:after="0"/>
        <w:ind w:left="672" w:right="675" w:hanging="454"/>
        <w:jc w:val="left"/>
        <w:rPr>
          <w:sz w:val="20"/>
        </w:rPr>
      </w:pPr>
      <w:r>
        <w:rPr>
          <w:sz w:val="20"/>
        </w:rPr>
        <w:t>En el caso de utilizar tuberías de gres, por la agresividad de las aguas, la sujeción no será rígida, evitando los morteros y utilizando en su lugar un cordón embreado y el resto relleno de</w:t>
      </w:r>
      <w:r>
        <w:rPr>
          <w:spacing w:val="-11"/>
          <w:sz w:val="20"/>
        </w:rPr>
        <w:t> </w:t>
      </w:r>
      <w:r>
        <w:rPr>
          <w:sz w:val="20"/>
        </w:rPr>
        <w:t>asfalto.</w:t>
      </w:r>
    </w:p>
    <w:p>
      <w:pPr>
        <w:pStyle w:val="ListParagraph"/>
        <w:numPr>
          <w:ilvl w:val="0"/>
          <w:numId w:val="260"/>
        </w:numPr>
        <w:tabs>
          <w:tab w:pos="672" w:val="left" w:leader="none"/>
          <w:tab w:pos="673" w:val="left" w:leader="none"/>
        </w:tabs>
        <w:spacing w:line="240" w:lineRule="auto" w:before="60" w:after="0"/>
        <w:ind w:left="672" w:right="530" w:hanging="454"/>
        <w:jc w:val="left"/>
        <w:rPr>
          <w:sz w:val="20"/>
        </w:rPr>
      </w:pPr>
      <w:r>
        <w:rPr>
          <w:sz w:val="20"/>
        </w:rPr>
        <w:t>Los pasos a través de forjados, o de cualquier elemento estructural, se harán con contratubo de material adecuado, con una holgura mínima de 10 mm, que se retacará con masilla asfáltica o ma- terial elástico.</w:t>
      </w:r>
    </w:p>
    <w:p>
      <w:pPr>
        <w:pStyle w:val="ListParagraph"/>
        <w:numPr>
          <w:ilvl w:val="0"/>
          <w:numId w:val="260"/>
        </w:numPr>
        <w:tabs>
          <w:tab w:pos="672" w:val="left" w:leader="none"/>
          <w:tab w:pos="673" w:val="left" w:leader="none"/>
        </w:tabs>
        <w:spacing w:line="240" w:lineRule="auto" w:before="60" w:after="0"/>
        <w:ind w:left="672" w:right="431" w:hanging="454"/>
        <w:jc w:val="left"/>
        <w:rPr>
          <w:sz w:val="20"/>
        </w:rPr>
      </w:pPr>
      <w:r>
        <w:rPr>
          <w:sz w:val="20"/>
        </w:rPr>
        <w:t>Cuando el manguetón del inodoro sea de plástico, se acoplará al desagüe del aparato por medio de un sistema de junta de caucho de sellado</w:t>
      </w:r>
      <w:r>
        <w:rPr>
          <w:spacing w:val="-2"/>
          <w:sz w:val="20"/>
        </w:rPr>
        <w:t> </w:t>
      </w:r>
      <w:r>
        <w:rPr>
          <w:sz w:val="20"/>
        </w:rPr>
        <w:t>hermético.</w:t>
      </w:r>
    </w:p>
    <w:p>
      <w:pPr>
        <w:spacing w:after="0" w:line="240" w:lineRule="auto"/>
        <w:jc w:val="left"/>
        <w:rPr>
          <w:sz w:val="20"/>
        </w:rPr>
        <w:sectPr>
          <w:pgSz w:w="11910" w:h="16840"/>
          <w:pgMar w:header="714" w:footer="642" w:top="1320" w:bottom="840" w:left="1200" w:right="740"/>
        </w:sectPr>
      </w:pPr>
    </w:p>
    <w:p>
      <w:pPr>
        <w:pStyle w:val="BodyText"/>
        <w:spacing w:before="2"/>
        <w:rPr>
          <w:sz w:val="19"/>
        </w:rPr>
      </w:pPr>
    </w:p>
    <w:p>
      <w:pPr>
        <w:pStyle w:val="ListParagraph"/>
        <w:numPr>
          <w:ilvl w:val="1"/>
          <w:numId w:val="255"/>
        </w:numPr>
        <w:tabs>
          <w:tab w:pos="786" w:val="left" w:leader="none"/>
          <w:tab w:pos="787" w:val="left" w:leader="none"/>
        </w:tabs>
        <w:spacing w:line="240" w:lineRule="auto" w:before="92" w:after="0"/>
        <w:ind w:left="786" w:right="0" w:hanging="569"/>
        <w:jc w:val="left"/>
        <w:rPr>
          <w:b/>
          <w:sz w:val="24"/>
        </w:rPr>
      </w:pPr>
      <w:r>
        <w:rPr>
          <w:b/>
          <w:sz w:val="24"/>
        </w:rPr>
        <w:t>Ejecución de </w:t>
      </w:r>
      <w:r>
        <w:rPr>
          <w:b/>
          <w:i/>
          <w:sz w:val="24"/>
        </w:rPr>
        <w:t>bajantes </w:t>
      </w:r>
      <w:r>
        <w:rPr>
          <w:b/>
          <w:sz w:val="24"/>
        </w:rPr>
        <w:t>y</w:t>
      </w:r>
      <w:r>
        <w:rPr>
          <w:b/>
          <w:spacing w:val="-3"/>
          <w:sz w:val="24"/>
        </w:rPr>
        <w:t> </w:t>
      </w:r>
      <w:r>
        <w:rPr>
          <w:b/>
          <w:sz w:val="24"/>
        </w:rPr>
        <w:t>ventilaciones</w:t>
      </w:r>
    </w:p>
    <w:p>
      <w:pPr>
        <w:pStyle w:val="ListParagraph"/>
        <w:numPr>
          <w:ilvl w:val="2"/>
          <w:numId w:val="255"/>
        </w:numPr>
        <w:tabs>
          <w:tab w:pos="787" w:val="left" w:leader="none"/>
        </w:tabs>
        <w:spacing w:line="240" w:lineRule="auto" w:before="200" w:after="0"/>
        <w:ind w:left="786" w:right="0" w:hanging="569"/>
        <w:jc w:val="left"/>
        <w:rPr>
          <w:b/>
          <w:i/>
          <w:sz w:val="20"/>
        </w:rPr>
      </w:pPr>
      <w:r>
        <w:rPr>
          <w:b/>
          <w:sz w:val="20"/>
        </w:rPr>
        <w:t>Ejecución de las</w:t>
      </w:r>
      <w:r>
        <w:rPr>
          <w:b/>
          <w:spacing w:val="-2"/>
          <w:sz w:val="20"/>
        </w:rPr>
        <w:t> </w:t>
      </w:r>
      <w:r>
        <w:rPr>
          <w:b/>
          <w:i/>
          <w:sz w:val="20"/>
        </w:rPr>
        <w:t>bajantes</w:t>
      </w:r>
    </w:p>
    <w:p>
      <w:pPr>
        <w:pStyle w:val="ListParagraph"/>
        <w:numPr>
          <w:ilvl w:val="0"/>
          <w:numId w:val="261"/>
        </w:numPr>
        <w:tabs>
          <w:tab w:pos="672" w:val="left" w:leader="none"/>
          <w:tab w:pos="673" w:val="left" w:leader="none"/>
        </w:tabs>
        <w:spacing w:line="240" w:lineRule="auto" w:before="99" w:after="0"/>
        <w:ind w:left="672" w:right="441" w:hanging="454"/>
        <w:jc w:val="left"/>
        <w:rPr>
          <w:sz w:val="20"/>
        </w:rPr>
      </w:pPr>
      <w:r>
        <w:rPr>
          <w:sz w:val="20"/>
        </w:rPr>
        <w:t>Las </w:t>
      </w:r>
      <w:r>
        <w:rPr>
          <w:i/>
          <w:sz w:val="20"/>
        </w:rPr>
        <w:t>bajantes </w:t>
      </w:r>
      <w:r>
        <w:rPr>
          <w:sz w:val="20"/>
        </w:rPr>
        <w:t>se ejecutarán de manera que queden aplomadas y fijadas a la obra, cuyo espesor no debe menor de 12 cm, con elementos de agarre mínimos entre forjados. La fijación se realizará con una abrazadera de fijación en la zona de la embocadura, para que cada tramo de tubo sea autopor- tante, y una abrazadera de guiado en las zonas intermedias. La distancia entre abrazaderas debe ser de 15 veces el diámetro, y podrá tomarse la tabla siguiente como referencia, para tubos de 3</w:t>
      </w:r>
      <w:r>
        <w:rPr>
          <w:spacing w:val="-12"/>
          <w:sz w:val="20"/>
        </w:rPr>
        <w:t> </w:t>
      </w:r>
      <w:r>
        <w:rPr>
          <w:sz w:val="20"/>
        </w:rPr>
        <w:t>m:</w:t>
      </w:r>
    </w:p>
    <w:p>
      <w:pPr>
        <w:spacing w:before="59" w:after="3"/>
        <w:ind w:left="4510" w:right="0" w:firstLine="0"/>
        <w:jc w:val="left"/>
        <w:rPr>
          <w:b/>
          <w:sz w:val="18"/>
        </w:rPr>
      </w:pPr>
      <w:r>
        <w:rPr>
          <w:b/>
          <w:sz w:val="18"/>
        </w:rPr>
        <w:t>Tabla 5.1</w:t>
      </w:r>
    </w:p>
    <w:tbl>
      <w:tblPr>
        <w:tblW w:w="0" w:type="auto"/>
        <w:jc w:val="left"/>
        <w:tblInd w:w="1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340"/>
        <w:gridCol w:w="1038"/>
        <w:gridCol w:w="1008"/>
        <w:gridCol w:w="984"/>
        <w:gridCol w:w="973"/>
        <w:gridCol w:w="1020"/>
        <w:gridCol w:w="1038"/>
        <w:gridCol w:w="1044"/>
      </w:tblGrid>
      <w:tr>
        <w:trPr>
          <w:trHeight w:val="184" w:hRule="atLeast"/>
        </w:trPr>
        <w:tc>
          <w:tcPr>
            <w:tcW w:w="2340" w:type="dxa"/>
            <w:tcBorders>
              <w:left w:val="nil"/>
            </w:tcBorders>
          </w:tcPr>
          <w:p>
            <w:pPr>
              <w:pStyle w:val="TableParagraph"/>
              <w:spacing w:line="164" w:lineRule="exact"/>
              <w:ind w:left="168"/>
              <w:jc w:val="left"/>
              <w:rPr>
                <w:b/>
                <w:sz w:val="16"/>
              </w:rPr>
            </w:pPr>
            <w:r>
              <w:rPr>
                <w:b/>
                <w:sz w:val="16"/>
              </w:rPr>
              <w:t>Diámetro del tubo en mm</w:t>
            </w:r>
          </w:p>
        </w:tc>
        <w:tc>
          <w:tcPr>
            <w:tcW w:w="1038" w:type="dxa"/>
            <w:tcBorders>
              <w:right w:val="nil"/>
            </w:tcBorders>
          </w:tcPr>
          <w:p>
            <w:pPr>
              <w:pStyle w:val="TableParagraph"/>
              <w:spacing w:line="164" w:lineRule="exact"/>
              <w:ind w:left="432"/>
              <w:jc w:val="left"/>
              <w:rPr>
                <w:sz w:val="16"/>
              </w:rPr>
            </w:pPr>
            <w:r>
              <w:rPr>
                <w:sz w:val="16"/>
              </w:rPr>
              <w:t>40</w:t>
            </w:r>
          </w:p>
        </w:tc>
        <w:tc>
          <w:tcPr>
            <w:tcW w:w="1008" w:type="dxa"/>
            <w:tcBorders>
              <w:left w:val="nil"/>
              <w:right w:val="nil"/>
            </w:tcBorders>
          </w:tcPr>
          <w:p>
            <w:pPr>
              <w:pStyle w:val="TableParagraph"/>
              <w:spacing w:line="164" w:lineRule="exact"/>
              <w:ind w:left="381" w:right="361"/>
              <w:rPr>
                <w:sz w:val="16"/>
              </w:rPr>
            </w:pPr>
            <w:r>
              <w:rPr>
                <w:sz w:val="16"/>
              </w:rPr>
              <w:t>50</w:t>
            </w:r>
          </w:p>
        </w:tc>
        <w:tc>
          <w:tcPr>
            <w:tcW w:w="984" w:type="dxa"/>
            <w:tcBorders>
              <w:left w:val="nil"/>
              <w:right w:val="nil"/>
            </w:tcBorders>
          </w:tcPr>
          <w:p>
            <w:pPr>
              <w:pStyle w:val="TableParagraph"/>
              <w:spacing w:line="164" w:lineRule="exact"/>
              <w:ind w:left="407"/>
              <w:jc w:val="left"/>
              <w:rPr>
                <w:sz w:val="16"/>
              </w:rPr>
            </w:pPr>
            <w:r>
              <w:rPr>
                <w:sz w:val="16"/>
              </w:rPr>
              <w:t>63</w:t>
            </w:r>
          </w:p>
        </w:tc>
        <w:tc>
          <w:tcPr>
            <w:tcW w:w="973" w:type="dxa"/>
            <w:tcBorders>
              <w:left w:val="nil"/>
              <w:right w:val="nil"/>
            </w:tcBorders>
          </w:tcPr>
          <w:p>
            <w:pPr>
              <w:pStyle w:val="TableParagraph"/>
              <w:spacing w:line="164" w:lineRule="exact"/>
              <w:ind w:left="403"/>
              <w:jc w:val="left"/>
              <w:rPr>
                <w:sz w:val="16"/>
              </w:rPr>
            </w:pPr>
            <w:r>
              <w:rPr>
                <w:sz w:val="16"/>
              </w:rPr>
              <w:t>75</w:t>
            </w:r>
          </w:p>
        </w:tc>
        <w:tc>
          <w:tcPr>
            <w:tcW w:w="1020" w:type="dxa"/>
            <w:tcBorders>
              <w:left w:val="nil"/>
              <w:right w:val="nil"/>
            </w:tcBorders>
          </w:tcPr>
          <w:p>
            <w:pPr>
              <w:pStyle w:val="TableParagraph"/>
              <w:spacing w:line="164" w:lineRule="exact"/>
              <w:ind w:left="378"/>
              <w:jc w:val="left"/>
              <w:rPr>
                <w:sz w:val="16"/>
              </w:rPr>
            </w:pPr>
            <w:r>
              <w:rPr>
                <w:sz w:val="16"/>
              </w:rPr>
              <w:t>110</w:t>
            </w:r>
          </w:p>
        </w:tc>
        <w:tc>
          <w:tcPr>
            <w:tcW w:w="1038" w:type="dxa"/>
            <w:tcBorders>
              <w:left w:val="nil"/>
              <w:right w:val="nil"/>
            </w:tcBorders>
          </w:tcPr>
          <w:p>
            <w:pPr>
              <w:pStyle w:val="TableParagraph"/>
              <w:spacing w:line="164" w:lineRule="exact"/>
              <w:ind w:left="367" w:right="363"/>
              <w:rPr>
                <w:sz w:val="16"/>
              </w:rPr>
            </w:pPr>
            <w:r>
              <w:rPr>
                <w:sz w:val="16"/>
              </w:rPr>
              <w:t>125</w:t>
            </w:r>
          </w:p>
        </w:tc>
        <w:tc>
          <w:tcPr>
            <w:tcW w:w="1044" w:type="dxa"/>
            <w:tcBorders>
              <w:left w:val="nil"/>
              <w:right w:val="nil"/>
            </w:tcBorders>
          </w:tcPr>
          <w:p>
            <w:pPr>
              <w:pStyle w:val="TableParagraph"/>
              <w:spacing w:line="164" w:lineRule="exact"/>
              <w:ind w:left="399"/>
              <w:jc w:val="left"/>
              <w:rPr>
                <w:sz w:val="16"/>
              </w:rPr>
            </w:pPr>
            <w:r>
              <w:rPr>
                <w:sz w:val="16"/>
              </w:rPr>
              <w:t>160</w:t>
            </w:r>
          </w:p>
        </w:tc>
      </w:tr>
      <w:tr>
        <w:trPr>
          <w:trHeight w:val="184" w:hRule="atLeast"/>
        </w:trPr>
        <w:tc>
          <w:tcPr>
            <w:tcW w:w="2340" w:type="dxa"/>
            <w:tcBorders>
              <w:left w:val="nil"/>
            </w:tcBorders>
          </w:tcPr>
          <w:p>
            <w:pPr>
              <w:pStyle w:val="TableParagraph"/>
              <w:spacing w:line="164" w:lineRule="exact"/>
              <w:ind w:left="168"/>
              <w:jc w:val="left"/>
              <w:rPr>
                <w:b/>
                <w:sz w:val="16"/>
              </w:rPr>
            </w:pPr>
            <w:r>
              <w:rPr>
                <w:b/>
                <w:sz w:val="16"/>
              </w:rPr>
              <w:t>Distancia en m</w:t>
            </w:r>
          </w:p>
        </w:tc>
        <w:tc>
          <w:tcPr>
            <w:tcW w:w="1038" w:type="dxa"/>
            <w:tcBorders>
              <w:right w:val="nil"/>
            </w:tcBorders>
          </w:tcPr>
          <w:p>
            <w:pPr>
              <w:pStyle w:val="TableParagraph"/>
              <w:spacing w:line="164" w:lineRule="exact"/>
              <w:ind w:left="409"/>
              <w:jc w:val="left"/>
              <w:rPr>
                <w:sz w:val="16"/>
              </w:rPr>
            </w:pPr>
            <w:r>
              <w:rPr>
                <w:sz w:val="16"/>
              </w:rPr>
              <w:t>0,4</w:t>
            </w:r>
          </w:p>
        </w:tc>
        <w:tc>
          <w:tcPr>
            <w:tcW w:w="1008" w:type="dxa"/>
            <w:tcBorders>
              <w:left w:val="nil"/>
              <w:right w:val="nil"/>
            </w:tcBorders>
          </w:tcPr>
          <w:p>
            <w:pPr>
              <w:pStyle w:val="TableParagraph"/>
              <w:spacing w:line="164" w:lineRule="exact"/>
              <w:ind w:left="383" w:right="361"/>
              <w:rPr>
                <w:sz w:val="16"/>
              </w:rPr>
            </w:pPr>
            <w:r>
              <w:rPr>
                <w:sz w:val="16"/>
              </w:rPr>
              <w:t>0,8</w:t>
            </w:r>
          </w:p>
        </w:tc>
        <w:tc>
          <w:tcPr>
            <w:tcW w:w="984" w:type="dxa"/>
            <w:tcBorders>
              <w:left w:val="nil"/>
              <w:right w:val="nil"/>
            </w:tcBorders>
          </w:tcPr>
          <w:p>
            <w:pPr>
              <w:pStyle w:val="TableParagraph"/>
              <w:spacing w:line="164" w:lineRule="exact"/>
              <w:ind w:left="385"/>
              <w:jc w:val="left"/>
              <w:rPr>
                <w:sz w:val="16"/>
              </w:rPr>
            </w:pPr>
            <w:r>
              <w:rPr>
                <w:sz w:val="16"/>
              </w:rPr>
              <w:t>1,0</w:t>
            </w:r>
          </w:p>
        </w:tc>
        <w:tc>
          <w:tcPr>
            <w:tcW w:w="973" w:type="dxa"/>
            <w:tcBorders>
              <w:left w:val="nil"/>
              <w:right w:val="nil"/>
            </w:tcBorders>
          </w:tcPr>
          <w:p>
            <w:pPr>
              <w:pStyle w:val="TableParagraph"/>
              <w:spacing w:line="164" w:lineRule="exact"/>
              <w:ind w:left="382"/>
              <w:jc w:val="left"/>
              <w:rPr>
                <w:sz w:val="16"/>
              </w:rPr>
            </w:pPr>
            <w:r>
              <w:rPr>
                <w:sz w:val="16"/>
              </w:rPr>
              <w:t>1,1</w:t>
            </w:r>
          </w:p>
        </w:tc>
        <w:tc>
          <w:tcPr>
            <w:tcW w:w="1020" w:type="dxa"/>
            <w:tcBorders>
              <w:left w:val="nil"/>
              <w:right w:val="nil"/>
            </w:tcBorders>
          </w:tcPr>
          <w:p>
            <w:pPr>
              <w:pStyle w:val="TableParagraph"/>
              <w:spacing w:line="164" w:lineRule="exact"/>
              <w:ind w:left="399"/>
              <w:jc w:val="left"/>
              <w:rPr>
                <w:sz w:val="16"/>
              </w:rPr>
            </w:pPr>
            <w:r>
              <w:rPr>
                <w:sz w:val="16"/>
              </w:rPr>
              <w:t>1,5</w:t>
            </w:r>
          </w:p>
        </w:tc>
        <w:tc>
          <w:tcPr>
            <w:tcW w:w="1038" w:type="dxa"/>
            <w:tcBorders>
              <w:left w:val="nil"/>
              <w:right w:val="nil"/>
            </w:tcBorders>
          </w:tcPr>
          <w:p>
            <w:pPr>
              <w:pStyle w:val="TableParagraph"/>
              <w:spacing w:line="164" w:lineRule="exact"/>
              <w:ind w:left="365" w:right="363"/>
              <w:rPr>
                <w:sz w:val="16"/>
              </w:rPr>
            </w:pPr>
            <w:r>
              <w:rPr>
                <w:sz w:val="16"/>
              </w:rPr>
              <w:t>1,5</w:t>
            </w:r>
          </w:p>
        </w:tc>
        <w:tc>
          <w:tcPr>
            <w:tcW w:w="1044" w:type="dxa"/>
            <w:tcBorders>
              <w:left w:val="nil"/>
              <w:right w:val="nil"/>
            </w:tcBorders>
          </w:tcPr>
          <w:p>
            <w:pPr>
              <w:pStyle w:val="TableParagraph"/>
              <w:spacing w:line="164" w:lineRule="exact"/>
              <w:ind w:left="422"/>
              <w:jc w:val="left"/>
              <w:rPr>
                <w:sz w:val="16"/>
              </w:rPr>
            </w:pPr>
            <w:r>
              <w:rPr>
                <w:sz w:val="16"/>
              </w:rPr>
              <w:t>1,5</w:t>
            </w:r>
          </w:p>
        </w:tc>
      </w:tr>
    </w:tbl>
    <w:p>
      <w:pPr>
        <w:pStyle w:val="BodyText"/>
        <w:rPr>
          <w:b/>
          <w:sz w:val="25"/>
        </w:rPr>
      </w:pPr>
    </w:p>
    <w:p>
      <w:pPr>
        <w:pStyle w:val="ListParagraph"/>
        <w:numPr>
          <w:ilvl w:val="0"/>
          <w:numId w:val="261"/>
        </w:numPr>
        <w:tabs>
          <w:tab w:pos="672" w:val="left" w:leader="none"/>
          <w:tab w:pos="673" w:val="left" w:leader="none"/>
        </w:tabs>
        <w:spacing w:line="240" w:lineRule="auto" w:before="0" w:after="0"/>
        <w:ind w:left="672" w:right="576" w:hanging="454"/>
        <w:jc w:val="left"/>
        <w:rPr>
          <w:sz w:val="20"/>
        </w:rPr>
      </w:pPr>
      <w:r>
        <w:rPr>
          <w:sz w:val="20"/>
        </w:rPr>
        <w:t>Las uniones de los tubos y piezas especiales de las </w:t>
      </w:r>
      <w:r>
        <w:rPr>
          <w:i/>
          <w:sz w:val="20"/>
        </w:rPr>
        <w:t>bajantes </w:t>
      </w:r>
      <w:r>
        <w:rPr>
          <w:sz w:val="20"/>
        </w:rPr>
        <w:t>de PVC se sellarán con colas sintéti- cas impermeables de gran adherencia dejando una holgura en la copa de 5 mm, aunque también se podrá realizar la unión mediante junta</w:t>
      </w:r>
      <w:r>
        <w:rPr>
          <w:spacing w:val="-5"/>
          <w:sz w:val="20"/>
        </w:rPr>
        <w:t> </w:t>
      </w:r>
      <w:r>
        <w:rPr>
          <w:sz w:val="20"/>
        </w:rPr>
        <w:t>elástica.</w:t>
      </w:r>
    </w:p>
    <w:p>
      <w:pPr>
        <w:pStyle w:val="ListParagraph"/>
        <w:numPr>
          <w:ilvl w:val="0"/>
          <w:numId w:val="261"/>
        </w:numPr>
        <w:tabs>
          <w:tab w:pos="672" w:val="left" w:leader="none"/>
          <w:tab w:pos="673" w:val="left" w:leader="none"/>
        </w:tabs>
        <w:spacing w:line="240" w:lineRule="auto" w:before="60" w:after="0"/>
        <w:ind w:left="672" w:right="399" w:hanging="454"/>
        <w:jc w:val="left"/>
        <w:rPr>
          <w:sz w:val="20"/>
        </w:rPr>
      </w:pPr>
      <w:r>
        <w:rPr>
          <w:sz w:val="20"/>
        </w:rPr>
        <w:t>En las </w:t>
      </w:r>
      <w:r>
        <w:rPr>
          <w:i/>
          <w:sz w:val="20"/>
        </w:rPr>
        <w:t>bajantes </w:t>
      </w:r>
      <w:r>
        <w:rPr>
          <w:sz w:val="20"/>
        </w:rPr>
        <w:t>de polipropileno, la unión entre tubería y accesorios, se realizará por soldadura en uno de sus extremos y junta deslizante (anillo adaptador) por el otro; montándose la tubería a media carrera de la copa, a fin de poder absorber las dilataciones o contracciones que se</w:t>
      </w:r>
      <w:r>
        <w:rPr>
          <w:spacing w:val="-9"/>
          <w:sz w:val="20"/>
        </w:rPr>
        <w:t> </w:t>
      </w:r>
      <w:r>
        <w:rPr>
          <w:sz w:val="20"/>
        </w:rPr>
        <w:t>produzcan.</w:t>
      </w:r>
    </w:p>
    <w:p>
      <w:pPr>
        <w:pStyle w:val="ListParagraph"/>
        <w:numPr>
          <w:ilvl w:val="0"/>
          <w:numId w:val="261"/>
        </w:numPr>
        <w:tabs>
          <w:tab w:pos="672" w:val="left" w:leader="none"/>
          <w:tab w:pos="673" w:val="left" w:leader="none"/>
        </w:tabs>
        <w:spacing w:line="240" w:lineRule="auto" w:before="60" w:after="0"/>
        <w:ind w:left="672" w:right="521" w:hanging="454"/>
        <w:jc w:val="left"/>
        <w:rPr>
          <w:sz w:val="20"/>
        </w:rPr>
      </w:pPr>
      <w:r>
        <w:rPr>
          <w:sz w:val="20"/>
        </w:rPr>
        <w:t>Para los tubos y piezas de gres se realizarán juntas a enchufe y cordón. Se rodeará el cordón con cuerda embreada u otro tipo de empaquetadura similar. Se incluirá este extremo en la copa o en- chufe, fijando la posición debida y apretando dicha empaquetadura de forma que ocupe la cuarta parte de la altura total de la copa. El espacio restante se rellenará con mortero de cemento y arena de río en la proporción 1:1. Se retacará este mortero contra la pieza del cordón, en forma de</w:t>
      </w:r>
      <w:r>
        <w:rPr>
          <w:spacing w:val="-11"/>
          <w:sz w:val="20"/>
        </w:rPr>
        <w:t> </w:t>
      </w:r>
      <w:r>
        <w:rPr>
          <w:sz w:val="20"/>
        </w:rPr>
        <w:t>bisel.</w:t>
      </w:r>
    </w:p>
    <w:p>
      <w:pPr>
        <w:pStyle w:val="ListParagraph"/>
        <w:numPr>
          <w:ilvl w:val="0"/>
          <w:numId w:val="261"/>
        </w:numPr>
        <w:tabs>
          <w:tab w:pos="672" w:val="left" w:leader="none"/>
          <w:tab w:pos="673" w:val="left" w:leader="none"/>
        </w:tabs>
        <w:spacing w:line="240" w:lineRule="auto" w:before="60" w:after="0"/>
        <w:ind w:left="672" w:right="553" w:hanging="454"/>
        <w:jc w:val="left"/>
        <w:rPr>
          <w:sz w:val="20"/>
        </w:rPr>
      </w:pPr>
      <w:r>
        <w:rPr>
          <w:sz w:val="20"/>
        </w:rPr>
        <w:t>Para las </w:t>
      </w:r>
      <w:r>
        <w:rPr>
          <w:i/>
          <w:sz w:val="20"/>
        </w:rPr>
        <w:t>bajantes </w:t>
      </w:r>
      <w:r>
        <w:rPr>
          <w:sz w:val="20"/>
        </w:rPr>
        <w:t>de fundición, las juntas se realizarán a enchufe y cordón, rellenado el espacio libre entre copa y cordón con una empaquetadura que se retacará hasta que deje una profundidad libre de 25 mm. Así mismo, se podrán realizar juntas por bridas, tanto en tuberías normales como en piezas</w:t>
      </w:r>
      <w:r>
        <w:rPr>
          <w:spacing w:val="-1"/>
          <w:sz w:val="20"/>
        </w:rPr>
        <w:t> </w:t>
      </w:r>
      <w:r>
        <w:rPr>
          <w:sz w:val="20"/>
        </w:rPr>
        <w:t>especiales.</w:t>
      </w:r>
    </w:p>
    <w:p>
      <w:pPr>
        <w:pStyle w:val="ListParagraph"/>
        <w:numPr>
          <w:ilvl w:val="0"/>
          <w:numId w:val="261"/>
        </w:numPr>
        <w:tabs>
          <w:tab w:pos="672" w:val="left" w:leader="none"/>
          <w:tab w:pos="673" w:val="left" w:leader="none"/>
        </w:tabs>
        <w:spacing w:line="240" w:lineRule="auto" w:before="59" w:after="0"/>
        <w:ind w:left="672" w:right="476" w:hanging="454"/>
        <w:jc w:val="left"/>
        <w:rPr>
          <w:sz w:val="20"/>
        </w:rPr>
      </w:pPr>
      <w:r>
        <w:rPr>
          <w:sz w:val="20"/>
        </w:rPr>
        <w:t>Las </w:t>
      </w:r>
      <w:r>
        <w:rPr>
          <w:i/>
          <w:sz w:val="20"/>
        </w:rPr>
        <w:t>bajantes</w:t>
      </w:r>
      <w:r>
        <w:rPr>
          <w:sz w:val="20"/>
        </w:rPr>
        <w:t>, en cualquier caso, se mantendrán separadas de los paramentos, para, por un lado poder efectuar futuras reparaciones o acabados, y por otro lado no afectar a los mismos por las po- sibles condensaciones en la cara exterior de las</w:t>
      </w:r>
      <w:r>
        <w:rPr>
          <w:spacing w:val="-2"/>
          <w:sz w:val="20"/>
        </w:rPr>
        <w:t> </w:t>
      </w:r>
      <w:r>
        <w:rPr>
          <w:sz w:val="20"/>
        </w:rPr>
        <w:t>mismas.</w:t>
      </w:r>
    </w:p>
    <w:p>
      <w:pPr>
        <w:pStyle w:val="ListParagraph"/>
        <w:numPr>
          <w:ilvl w:val="0"/>
          <w:numId w:val="261"/>
        </w:numPr>
        <w:tabs>
          <w:tab w:pos="672" w:val="left" w:leader="none"/>
          <w:tab w:pos="673" w:val="left" w:leader="none"/>
        </w:tabs>
        <w:spacing w:line="240" w:lineRule="auto" w:before="60" w:after="0"/>
        <w:ind w:left="672" w:right="530" w:hanging="454"/>
        <w:jc w:val="left"/>
        <w:rPr>
          <w:sz w:val="20"/>
        </w:rPr>
      </w:pPr>
      <w:r>
        <w:rPr>
          <w:sz w:val="20"/>
        </w:rPr>
        <w:t>A las </w:t>
      </w:r>
      <w:r>
        <w:rPr>
          <w:i/>
          <w:sz w:val="20"/>
        </w:rPr>
        <w:t>bajantes </w:t>
      </w:r>
      <w:r>
        <w:rPr>
          <w:sz w:val="20"/>
        </w:rPr>
        <w:t>que discurriendo vistas, sea cual sea su material de constitución, se les presuponga un cierto riesgo de impacto, se les dotará de la adecuada protección que lo evite en lo</w:t>
      </w:r>
      <w:r>
        <w:rPr>
          <w:spacing w:val="-10"/>
          <w:sz w:val="20"/>
        </w:rPr>
        <w:t> </w:t>
      </w:r>
      <w:r>
        <w:rPr>
          <w:sz w:val="20"/>
        </w:rPr>
        <w:t>posible.</w:t>
      </w:r>
    </w:p>
    <w:p>
      <w:pPr>
        <w:pStyle w:val="ListParagraph"/>
        <w:numPr>
          <w:ilvl w:val="0"/>
          <w:numId w:val="261"/>
        </w:numPr>
        <w:tabs>
          <w:tab w:pos="672" w:val="left" w:leader="none"/>
          <w:tab w:pos="673" w:val="left" w:leader="none"/>
        </w:tabs>
        <w:spacing w:line="240" w:lineRule="auto" w:before="61" w:after="0"/>
        <w:ind w:left="672" w:right="479" w:hanging="454"/>
        <w:jc w:val="left"/>
        <w:rPr>
          <w:sz w:val="20"/>
        </w:rPr>
      </w:pPr>
      <w:r>
        <w:rPr>
          <w:sz w:val="20"/>
        </w:rPr>
        <w:t>En edificios de más de 10 plantas, se interrumpirá la verticalidad de la </w:t>
      </w:r>
      <w:r>
        <w:rPr>
          <w:i/>
          <w:sz w:val="20"/>
        </w:rPr>
        <w:t>bajante</w:t>
      </w:r>
      <w:r>
        <w:rPr>
          <w:sz w:val="20"/>
        </w:rPr>
        <w:t>, con el fin de dismi- nuir el posible impacto de caída. La desviación debe preverse con piezas especiales o escudos de protección de la </w:t>
      </w:r>
      <w:r>
        <w:rPr>
          <w:i/>
          <w:sz w:val="20"/>
        </w:rPr>
        <w:t>bajante </w:t>
      </w:r>
      <w:r>
        <w:rPr>
          <w:sz w:val="20"/>
        </w:rPr>
        <w:t>y el ángulo de la desviación con la vertical debe ser superior a 60º, a fin de evitar</w:t>
      </w:r>
      <w:r>
        <w:rPr>
          <w:spacing w:val="-3"/>
          <w:sz w:val="20"/>
        </w:rPr>
        <w:t> </w:t>
      </w:r>
      <w:r>
        <w:rPr>
          <w:sz w:val="20"/>
        </w:rPr>
        <w:t>posibles</w:t>
      </w:r>
      <w:r>
        <w:rPr>
          <w:spacing w:val="-3"/>
          <w:sz w:val="20"/>
        </w:rPr>
        <w:t> </w:t>
      </w:r>
      <w:r>
        <w:rPr>
          <w:sz w:val="20"/>
        </w:rPr>
        <w:t>atascos.</w:t>
      </w:r>
      <w:r>
        <w:rPr>
          <w:spacing w:val="-3"/>
          <w:sz w:val="20"/>
        </w:rPr>
        <w:t> </w:t>
      </w:r>
      <w:r>
        <w:rPr>
          <w:sz w:val="20"/>
        </w:rPr>
        <w:t>El</w:t>
      </w:r>
      <w:r>
        <w:rPr>
          <w:spacing w:val="-4"/>
          <w:sz w:val="20"/>
        </w:rPr>
        <w:t> </w:t>
      </w:r>
      <w:r>
        <w:rPr>
          <w:sz w:val="20"/>
        </w:rPr>
        <w:t>reforzamiento</w:t>
      </w:r>
      <w:r>
        <w:rPr>
          <w:spacing w:val="-4"/>
          <w:sz w:val="20"/>
        </w:rPr>
        <w:t> </w:t>
      </w:r>
      <w:r>
        <w:rPr>
          <w:sz w:val="20"/>
        </w:rPr>
        <w:t>se</w:t>
      </w:r>
      <w:r>
        <w:rPr>
          <w:spacing w:val="-3"/>
          <w:sz w:val="20"/>
        </w:rPr>
        <w:t> </w:t>
      </w:r>
      <w:r>
        <w:rPr>
          <w:sz w:val="20"/>
        </w:rPr>
        <w:t>realizará</w:t>
      </w:r>
      <w:r>
        <w:rPr>
          <w:spacing w:val="-4"/>
          <w:sz w:val="20"/>
        </w:rPr>
        <w:t> </w:t>
      </w:r>
      <w:r>
        <w:rPr>
          <w:sz w:val="20"/>
        </w:rPr>
        <w:t>con</w:t>
      </w:r>
      <w:r>
        <w:rPr>
          <w:spacing w:val="-3"/>
          <w:sz w:val="20"/>
        </w:rPr>
        <w:t> </w:t>
      </w:r>
      <w:r>
        <w:rPr>
          <w:sz w:val="20"/>
        </w:rPr>
        <w:t>elementos</w:t>
      </w:r>
      <w:r>
        <w:rPr>
          <w:spacing w:val="-2"/>
          <w:sz w:val="20"/>
        </w:rPr>
        <w:t> </w:t>
      </w:r>
      <w:r>
        <w:rPr>
          <w:sz w:val="20"/>
        </w:rPr>
        <w:t>de</w:t>
      </w:r>
      <w:r>
        <w:rPr>
          <w:spacing w:val="-3"/>
          <w:sz w:val="20"/>
        </w:rPr>
        <w:t> </w:t>
      </w:r>
      <w:r>
        <w:rPr>
          <w:sz w:val="20"/>
        </w:rPr>
        <w:t>poliéster</w:t>
      </w:r>
      <w:r>
        <w:rPr>
          <w:spacing w:val="-3"/>
          <w:sz w:val="20"/>
        </w:rPr>
        <w:t> </w:t>
      </w:r>
      <w:r>
        <w:rPr>
          <w:sz w:val="20"/>
        </w:rPr>
        <w:t>aplicados</w:t>
      </w:r>
      <w:r>
        <w:rPr>
          <w:spacing w:val="-3"/>
          <w:sz w:val="20"/>
        </w:rPr>
        <w:t> </w:t>
      </w:r>
      <w:r>
        <w:rPr>
          <w:sz w:val="20"/>
        </w:rPr>
        <w:t>“in</w:t>
      </w:r>
      <w:r>
        <w:rPr>
          <w:spacing w:val="-3"/>
          <w:sz w:val="20"/>
        </w:rPr>
        <w:t> </w:t>
      </w:r>
      <w:r>
        <w:rPr>
          <w:sz w:val="20"/>
        </w:rPr>
        <w:t>situ”.</w:t>
      </w:r>
    </w:p>
    <w:p>
      <w:pPr>
        <w:pStyle w:val="BodyText"/>
        <w:spacing w:before="5"/>
        <w:rPr>
          <w:sz w:val="17"/>
        </w:rPr>
      </w:pPr>
    </w:p>
    <w:p>
      <w:pPr>
        <w:pStyle w:val="Heading5"/>
        <w:numPr>
          <w:ilvl w:val="2"/>
          <w:numId w:val="255"/>
        </w:numPr>
        <w:tabs>
          <w:tab w:pos="787" w:val="left" w:leader="none"/>
        </w:tabs>
        <w:spacing w:line="240" w:lineRule="auto" w:before="1" w:after="0"/>
        <w:ind w:left="786" w:right="0" w:hanging="569"/>
        <w:jc w:val="left"/>
      </w:pPr>
      <w:r>
        <w:rPr/>
        <w:t>Ejecución de las redes de</w:t>
      </w:r>
      <w:r>
        <w:rPr>
          <w:spacing w:val="-2"/>
        </w:rPr>
        <w:t> </w:t>
      </w:r>
      <w:r>
        <w:rPr/>
        <w:t>ventilación</w:t>
      </w:r>
    </w:p>
    <w:p>
      <w:pPr>
        <w:pStyle w:val="ListParagraph"/>
        <w:numPr>
          <w:ilvl w:val="0"/>
          <w:numId w:val="262"/>
        </w:numPr>
        <w:tabs>
          <w:tab w:pos="672" w:val="left" w:leader="none"/>
          <w:tab w:pos="673" w:val="left" w:leader="none"/>
        </w:tabs>
        <w:spacing w:line="240" w:lineRule="auto" w:before="98" w:after="0"/>
        <w:ind w:left="672" w:right="598" w:hanging="454"/>
        <w:jc w:val="left"/>
        <w:rPr>
          <w:sz w:val="20"/>
        </w:rPr>
      </w:pPr>
      <w:r>
        <w:rPr>
          <w:sz w:val="20"/>
        </w:rPr>
        <w:t>Las ventilaciones primarias irán provistas del correspondiente accesorio estándar que garantice la estanqueidad permanente del remate entre impermeabilizante y</w:t>
      </w:r>
      <w:r>
        <w:rPr>
          <w:spacing w:val="-5"/>
          <w:sz w:val="20"/>
        </w:rPr>
        <w:t> </w:t>
      </w:r>
      <w:r>
        <w:rPr>
          <w:sz w:val="20"/>
        </w:rPr>
        <w:t>tubería.</w:t>
      </w:r>
    </w:p>
    <w:p>
      <w:pPr>
        <w:pStyle w:val="ListParagraph"/>
        <w:numPr>
          <w:ilvl w:val="0"/>
          <w:numId w:val="262"/>
        </w:numPr>
        <w:tabs>
          <w:tab w:pos="672" w:val="left" w:leader="none"/>
          <w:tab w:pos="673" w:val="left" w:leader="none"/>
        </w:tabs>
        <w:spacing w:line="240" w:lineRule="auto" w:before="60" w:after="0"/>
        <w:ind w:left="672" w:right="409" w:hanging="454"/>
        <w:jc w:val="left"/>
        <w:rPr>
          <w:sz w:val="20"/>
        </w:rPr>
      </w:pPr>
      <w:r>
        <w:rPr>
          <w:sz w:val="20"/>
        </w:rPr>
        <w:t>En las </w:t>
      </w:r>
      <w:r>
        <w:rPr>
          <w:i/>
          <w:sz w:val="20"/>
        </w:rPr>
        <w:t>bajantes </w:t>
      </w:r>
      <w:r>
        <w:rPr>
          <w:sz w:val="20"/>
        </w:rPr>
        <w:t>mixtas o </w:t>
      </w:r>
      <w:r>
        <w:rPr>
          <w:i/>
          <w:sz w:val="20"/>
        </w:rPr>
        <w:t>residuales</w:t>
      </w:r>
      <w:r>
        <w:rPr>
          <w:sz w:val="20"/>
        </w:rPr>
        <w:t>, que vayan dotadas de columna de ventilación paralela, ésta se montará lo más próxima posible a la </w:t>
      </w:r>
      <w:r>
        <w:rPr>
          <w:i/>
          <w:sz w:val="20"/>
        </w:rPr>
        <w:t>bajante</w:t>
      </w:r>
      <w:r>
        <w:rPr>
          <w:sz w:val="20"/>
        </w:rPr>
        <w:t>; para la interconexión entre ambas se utilizarán acce- sorios estándar del mismo material de la </w:t>
      </w:r>
      <w:r>
        <w:rPr>
          <w:i/>
          <w:sz w:val="20"/>
        </w:rPr>
        <w:t>bajante</w:t>
      </w:r>
      <w:r>
        <w:rPr>
          <w:sz w:val="20"/>
        </w:rPr>
        <w:t>, que garanticen la absorción de las distintas dilata- ciones que se produzcan en las dos conducciones, </w:t>
      </w:r>
      <w:r>
        <w:rPr>
          <w:i/>
          <w:sz w:val="20"/>
        </w:rPr>
        <w:t>bajante </w:t>
      </w:r>
      <w:r>
        <w:rPr>
          <w:sz w:val="20"/>
        </w:rPr>
        <w:t>y ventilación. Dicha interconexión se realizará en cualquier caso, en el sentido inverso al del flujo de las aguas, a fin de impedir que éstas penetren en la columna de</w:t>
      </w:r>
      <w:r>
        <w:rPr>
          <w:spacing w:val="-2"/>
          <w:sz w:val="20"/>
        </w:rPr>
        <w:t> </w:t>
      </w:r>
      <w:r>
        <w:rPr>
          <w:sz w:val="20"/>
        </w:rPr>
        <w:t>ventilación.</w:t>
      </w:r>
    </w:p>
    <w:p>
      <w:pPr>
        <w:pStyle w:val="ListParagraph"/>
        <w:numPr>
          <w:ilvl w:val="0"/>
          <w:numId w:val="262"/>
        </w:numPr>
        <w:tabs>
          <w:tab w:pos="672" w:val="left" w:leader="none"/>
          <w:tab w:pos="673" w:val="left" w:leader="none"/>
        </w:tabs>
        <w:spacing w:line="240" w:lineRule="auto" w:before="60" w:after="0"/>
        <w:ind w:left="672" w:right="564" w:hanging="454"/>
        <w:jc w:val="left"/>
        <w:rPr>
          <w:sz w:val="20"/>
        </w:rPr>
      </w:pPr>
      <w:r>
        <w:rPr>
          <w:sz w:val="20"/>
        </w:rPr>
        <w:t>Los pasos a través de forjados se harán en idénticas condiciones que para las </w:t>
      </w:r>
      <w:r>
        <w:rPr>
          <w:i/>
          <w:sz w:val="20"/>
        </w:rPr>
        <w:t>bajantes</w:t>
      </w:r>
      <w:r>
        <w:rPr>
          <w:sz w:val="20"/>
        </w:rPr>
        <w:t>, según el material de que se trate. Igualmente, dicha columna de ventilación debe quedar fijada a muro de espesor no menor de 9 cm, mediante abrazaderas, no menos de 2 por tubo y con distancias máxi- mas de 150</w:t>
      </w:r>
      <w:r>
        <w:rPr>
          <w:spacing w:val="-1"/>
          <w:sz w:val="20"/>
        </w:rPr>
        <w:t> </w:t>
      </w:r>
      <w:r>
        <w:rPr>
          <w:sz w:val="20"/>
        </w:rPr>
        <w:t>cm.</w:t>
      </w:r>
    </w:p>
    <w:p>
      <w:pPr>
        <w:pStyle w:val="ListParagraph"/>
        <w:numPr>
          <w:ilvl w:val="0"/>
          <w:numId w:val="262"/>
        </w:numPr>
        <w:tabs>
          <w:tab w:pos="672" w:val="left" w:leader="none"/>
          <w:tab w:pos="673" w:val="left" w:leader="none"/>
        </w:tabs>
        <w:spacing w:line="240" w:lineRule="auto" w:before="61" w:after="0"/>
        <w:ind w:left="672" w:right="406" w:hanging="454"/>
        <w:jc w:val="left"/>
        <w:rPr>
          <w:sz w:val="20"/>
        </w:rPr>
      </w:pPr>
      <w:r>
        <w:rPr>
          <w:sz w:val="20"/>
        </w:rPr>
        <w:t>La </w:t>
      </w:r>
      <w:r>
        <w:rPr>
          <w:i/>
          <w:sz w:val="20"/>
        </w:rPr>
        <w:t>ventilación terciaria </w:t>
      </w:r>
      <w:r>
        <w:rPr>
          <w:sz w:val="20"/>
        </w:rPr>
        <w:t>se conectará a una distancia del </w:t>
      </w:r>
      <w:r>
        <w:rPr>
          <w:i/>
          <w:sz w:val="20"/>
        </w:rPr>
        <w:t>cierre hidráulico </w:t>
      </w:r>
      <w:r>
        <w:rPr>
          <w:sz w:val="20"/>
        </w:rPr>
        <w:t>entre 2 y 20 veces el diá- metro de la tubería. Se realizará en sentido ascendente o en todo caso horizontal por una de las pa- redes del local</w:t>
      </w:r>
      <w:r>
        <w:rPr>
          <w:spacing w:val="-2"/>
          <w:sz w:val="20"/>
        </w:rPr>
        <w:t> </w:t>
      </w:r>
      <w:r>
        <w:rPr>
          <w:sz w:val="20"/>
        </w:rPr>
        <w:t>húmedo.</w:t>
      </w:r>
    </w:p>
    <w:p>
      <w:pPr>
        <w:pStyle w:val="ListParagraph"/>
        <w:numPr>
          <w:ilvl w:val="0"/>
          <w:numId w:val="262"/>
        </w:numPr>
        <w:tabs>
          <w:tab w:pos="673" w:val="left" w:leader="none"/>
        </w:tabs>
        <w:spacing w:line="240" w:lineRule="auto" w:before="60" w:after="0"/>
        <w:ind w:left="672" w:right="430" w:hanging="454"/>
        <w:jc w:val="both"/>
        <w:rPr>
          <w:sz w:val="20"/>
        </w:rPr>
      </w:pPr>
      <w:r>
        <w:rPr>
          <w:sz w:val="20"/>
        </w:rPr>
        <w:t>Las válvulas de aireación se montarán entre el último y el penúltimo aparato, y por encima, de 1 a 2 m, del nivel del flujo de los aparatos. Se colocarán en un lugar ventilado y accesible. La unión podrá ser por presión con junta de caucho o sellada con</w:t>
      </w:r>
      <w:r>
        <w:rPr>
          <w:spacing w:val="-6"/>
          <w:sz w:val="20"/>
        </w:rPr>
        <w:t> </w:t>
      </w:r>
      <w:r>
        <w:rPr>
          <w:sz w:val="20"/>
        </w:rPr>
        <w:t>silicona.</w:t>
      </w:r>
    </w:p>
    <w:p>
      <w:pPr>
        <w:spacing w:after="0" w:line="240" w:lineRule="auto"/>
        <w:jc w:val="both"/>
        <w:rPr>
          <w:sz w:val="20"/>
        </w:rPr>
        <w:sectPr>
          <w:pgSz w:w="11910" w:h="16840"/>
          <w:pgMar w:header="714" w:footer="642" w:top="1320" w:bottom="840" w:left="1200" w:right="740"/>
        </w:sectPr>
      </w:pPr>
    </w:p>
    <w:p>
      <w:pPr>
        <w:pStyle w:val="ListParagraph"/>
        <w:numPr>
          <w:ilvl w:val="1"/>
          <w:numId w:val="255"/>
        </w:numPr>
        <w:tabs>
          <w:tab w:pos="853" w:val="left" w:leader="none"/>
          <w:tab w:pos="854" w:val="left" w:leader="none"/>
        </w:tabs>
        <w:spacing w:line="240" w:lineRule="auto" w:before="92" w:after="0"/>
        <w:ind w:left="853" w:right="0" w:hanging="636"/>
        <w:jc w:val="left"/>
        <w:rPr>
          <w:b/>
          <w:i/>
          <w:sz w:val="24"/>
        </w:rPr>
      </w:pPr>
      <w:r>
        <w:rPr>
          <w:b/>
          <w:sz w:val="24"/>
        </w:rPr>
        <w:t>Ejecución de albañales y</w:t>
      </w:r>
      <w:r>
        <w:rPr>
          <w:b/>
          <w:spacing w:val="-2"/>
          <w:sz w:val="24"/>
        </w:rPr>
        <w:t> </w:t>
      </w:r>
      <w:r>
        <w:rPr>
          <w:b/>
          <w:i/>
          <w:sz w:val="24"/>
        </w:rPr>
        <w:t>colectores</w:t>
      </w:r>
    </w:p>
    <w:p>
      <w:pPr>
        <w:pStyle w:val="Heading5"/>
        <w:numPr>
          <w:ilvl w:val="2"/>
          <w:numId w:val="255"/>
        </w:numPr>
        <w:tabs>
          <w:tab w:pos="787" w:val="left" w:leader="none"/>
        </w:tabs>
        <w:spacing w:line="240" w:lineRule="auto" w:before="201" w:after="0"/>
        <w:ind w:left="786" w:right="0" w:hanging="569"/>
        <w:jc w:val="left"/>
      </w:pPr>
      <w:r>
        <w:rPr/>
        <w:t>Ejecución de la red horizontal</w:t>
      </w:r>
      <w:r>
        <w:rPr>
          <w:spacing w:val="-4"/>
        </w:rPr>
        <w:t> </w:t>
      </w:r>
      <w:r>
        <w:rPr/>
        <w:t>colgada</w:t>
      </w:r>
    </w:p>
    <w:p>
      <w:pPr>
        <w:pStyle w:val="ListParagraph"/>
        <w:numPr>
          <w:ilvl w:val="0"/>
          <w:numId w:val="263"/>
        </w:numPr>
        <w:tabs>
          <w:tab w:pos="672" w:val="left" w:leader="none"/>
          <w:tab w:pos="673" w:val="left" w:leader="none"/>
        </w:tabs>
        <w:spacing w:line="240" w:lineRule="auto" w:before="97" w:after="0"/>
        <w:ind w:left="672" w:right="652" w:hanging="454"/>
        <w:jc w:val="left"/>
        <w:rPr>
          <w:sz w:val="20"/>
        </w:rPr>
      </w:pPr>
      <w:r>
        <w:rPr>
          <w:sz w:val="20"/>
        </w:rPr>
        <w:t>El entronque con la </w:t>
      </w:r>
      <w:r>
        <w:rPr>
          <w:i/>
          <w:sz w:val="20"/>
        </w:rPr>
        <w:t>bajante </w:t>
      </w:r>
      <w:r>
        <w:rPr>
          <w:sz w:val="20"/>
        </w:rPr>
        <w:t>se mantendrá libre de conexiones de desagüe a una distancia igual o mayor que 1 m a ambos</w:t>
      </w:r>
      <w:r>
        <w:rPr>
          <w:spacing w:val="-3"/>
          <w:sz w:val="20"/>
        </w:rPr>
        <w:t> </w:t>
      </w:r>
      <w:r>
        <w:rPr>
          <w:sz w:val="20"/>
        </w:rPr>
        <w:t>lados.</w:t>
      </w:r>
    </w:p>
    <w:p>
      <w:pPr>
        <w:pStyle w:val="ListParagraph"/>
        <w:numPr>
          <w:ilvl w:val="0"/>
          <w:numId w:val="263"/>
        </w:numPr>
        <w:tabs>
          <w:tab w:pos="672" w:val="left" w:leader="none"/>
          <w:tab w:pos="673" w:val="left" w:leader="none"/>
        </w:tabs>
        <w:spacing w:line="240" w:lineRule="auto" w:before="62" w:after="0"/>
        <w:ind w:left="672" w:right="508" w:hanging="454"/>
        <w:jc w:val="left"/>
        <w:rPr>
          <w:sz w:val="20"/>
        </w:rPr>
      </w:pPr>
      <w:r>
        <w:rPr>
          <w:sz w:val="20"/>
        </w:rPr>
        <w:t>Se situará un tapón de registro en cada entronque y en tramos rectos cada 15 m, que se instalarán en la mitad superior de la</w:t>
      </w:r>
      <w:r>
        <w:rPr>
          <w:spacing w:val="-2"/>
          <w:sz w:val="20"/>
        </w:rPr>
        <w:t> </w:t>
      </w:r>
      <w:r>
        <w:rPr>
          <w:sz w:val="20"/>
        </w:rPr>
        <w:t>tubería.</w:t>
      </w:r>
    </w:p>
    <w:p>
      <w:pPr>
        <w:pStyle w:val="ListParagraph"/>
        <w:numPr>
          <w:ilvl w:val="0"/>
          <w:numId w:val="263"/>
        </w:numPr>
        <w:tabs>
          <w:tab w:pos="672" w:val="left" w:leader="none"/>
          <w:tab w:pos="673" w:val="left" w:leader="none"/>
        </w:tabs>
        <w:spacing w:line="240" w:lineRule="auto" w:before="59" w:after="0"/>
        <w:ind w:left="672" w:right="0" w:hanging="455"/>
        <w:jc w:val="left"/>
        <w:rPr>
          <w:sz w:val="20"/>
        </w:rPr>
      </w:pPr>
      <w:r>
        <w:rPr>
          <w:sz w:val="20"/>
        </w:rPr>
        <w:t>En los cambios de dirección se situarán codos de 45º, con registro</w:t>
      </w:r>
      <w:r>
        <w:rPr>
          <w:spacing w:val="-7"/>
          <w:sz w:val="20"/>
        </w:rPr>
        <w:t> </w:t>
      </w:r>
      <w:r>
        <w:rPr>
          <w:sz w:val="20"/>
        </w:rPr>
        <w:t>roscado.</w:t>
      </w:r>
    </w:p>
    <w:p>
      <w:pPr>
        <w:pStyle w:val="ListParagraph"/>
        <w:numPr>
          <w:ilvl w:val="0"/>
          <w:numId w:val="263"/>
        </w:numPr>
        <w:tabs>
          <w:tab w:pos="672" w:val="left" w:leader="none"/>
          <w:tab w:pos="673" w:val="left" w:leader="none"/>
        </w:tabs>
        <w:spacing w:line="240" w:lineRule="auto" w:before="61" w:after="0"/>
        <w:ind w:left="672" w:right="764" w:hanging="454"/>
        <w:jc w:val="left"/>
        <w:rPr>
          <w:sz w:val="20"/>
        </w:rPr>
      </w:pPr>
      <w:r>
        <w:rPr>
          <w:sz w:val="20"/>
        </w:rPr>
        <w:t>La separación entre abrazaderas será función de la flecha máxima admisible por el tipo de tubo, siendo:</w:t>
      </w:r>
    </w:p>
    <w:p>
      <w:pPr>
        <w:pStyle w:val="ListParagraph"/>
        <w:numPr>
          <w:ilvl w:val="1"/>
          <w:numId w:val="263"/>
        </w:numPr>
        <w:tabs>
          <w:tab w:pos="1125" w:val="left" w:leader="none"/>
          <w:tab w:pos="1126" w:val="left" w:leader="none"/>
        </w:tabs>
        <w:spacing w:line="240" w:lineRule="auto" w:before="59" w:after="0"/>
        <w:ind w:left="1126" w:right="0" w:hanging="454"/>
        <w:jc w:val="left"/>
        <w:rPr>
          <w:sz w:val="20"/>
        </w:rPr>
      </w:pPr>
      <w:r>
        <w:rPr>
          <w:sz w:val="20"/>
        </w:rPr>
        <w:t>en tubos de PVC y para todos los diámetros, 0,3</w:t>
      </w:r>
      <w:r>
        <w:rPr>
          <w:spacing w:val="-5"/>
          <w:sz w:val="20"/>
        </w:rPr>
        <w:t> </w:t>
      </w:r>
      <w:r>
        <w:rPr>
          <w:sz w:val="20"/>
        </w:rPr>
        <w:t>cm;</w:t>
      </w:r>
    </w:p>
    <w:p>
      <w:pPr>
        <w:pStyle w:val="ListParagraph"/>
        <w:numPr>
          <w:ilvl w:val="1"/>
          <w:numId w:val="263"/>
        </w:numPr>
        <w:tabs>
          <w:tab w:pos="1125" w:val="left" w:leader="none"/>
          <w:tab w:pos="1126" w:val="left" w:leader="none"/>
        </w:tabs>
        <w:spacing w:line="240" w:lineRule="auto" w:before="59" w:after="0"/>
        <w:ind w:left="1126" w:right="0" w:hanging="454"/>
        <w:jc w:val="left"/>
        <w:rPr>
          <w:sz w:val="20"/>
        </w:rPr>
      </w:pPr>
      <w:r>
        <w:rPr>
          <w:sz w:val="20"/>
        </w:rPr>
        <w:t>en tubos de fundición, y para todos los diámetros, 0,3</w:t>
      </w:r>
      <w:r>
        <w:rPr>
          <w:spacing w:val="-5"/>
          <w:sz w:val="20"/>
        </w:rPr>
        <w:t> </w:t>
      </w:r>
      <w:r>
        <w:rPr>
          <w:sz w:val="20"/>
        </w:rPr>
        <w:t>cm.</w:t>
      </w:r>
    </w:p>
    <w:p>
      <w:pPr>
        <w:pStyle w:val="ListParagraph"/>
        <w:numPr>
          <w:ilvl w:val="0"/>
          <w:numId w:val="263"/>
        </w:numPr>
        <w:tabs>
          <w:tab w:pos="672" w:val="left" w:leader="none"/>
          <w:tab w:pos="673" w:val="left" w:leader="none"/>
        </w:tabs>
        <w:spacing w:line="240" w:lineRule="auto" w:before="61" w:after="0"/>
        <w:ind w:left="672" w:right="395" w:hanging="454"/>
        <w:jc w:val="left"/>
        <w:rPr>
          <w:sz w:val="20"/>
        </w:rPr>
      </w:pPr>
      <w:r>
        <w:rPr>
          <w:sz w:val="20"/>
        </w:rPr>
        <w:t>Aunque se debe comprobar la flecha máxima citada, se incluirán abrazaderas cada 1,50 m, para todo tipo de tubos, y la red quedará separada de la cara inferior del forjado un mínimo de 5 cm. Es- tas abrazaderas, con las que se sujetarán al forjado, serán de hierro galvanizado y dispondrán de forro interior elástico, siendo regulables para darles la pendiente deseada. Se dispondrán sin apriete en las gargantas de cada accesorio, estableciéndose de ésta forma los puntos fijos; los restantes soportes serán deslizantes y soportarán únicamente la</w:t>
      </w:r>
      <w:r>
        <w:rPr>
          <w:spacing w:val="-8"/>
          <w:sz w:val="20"/>
        </w:rPr>
        <w:t> </w:t>
      </w:r>
      <w:r>
        <w:rPr>
          <w:sz w:val="20"/>
        </w:rPr>
        <w:t>red.</w:t>
      </w:r>
    </w:p>
    <w:p>
      <w:pPr>
        <w:pStyle w:val="ListParagraph"/>
        <w:numPr>
          <w:ilvl w:val="0"/>
          <w:numId w:val="263"/>
        </w:numPr>
        <w:tabs>
          <w:tab w:pos="672" w:val="left" w:leader="none"/>
          <w:tab w:pos="673" w:val="left" w:leader="none"/>
        </w:tabs>
        <w:spacing w:line="240" w:lineRule="auto" w:before="60" w:after="0"/>
        <w:ind w:left="672" w:right="486" w:hanging="454"/>
        <w:jc w:val="left"/>
        <w:rPr>
          <w:sz w:val="20"/>
        </w:rPr>
      </w:pPr>
      <w:r>
        <w:rPr>
          <w:sz w:val="20"/>
        </w:rPr>
        <w:t>Cuando la generatriz superior del tubo quede a más de 25 cm del forjado que la sustenta, todos los puntos fijos de anclaje de la instalación se realizarán mediante silletas o trapecios de fijación, por medio de tirantes anclados al forjado en ambos sentidos (aguas arriba y aguas abajo) del eje de la conducción, a fin de evitar el desplazamiento de dichos puntos por pandeo del</w:t>
      </w:r>
      <w:r>
        <w:rPr>
          <w:spacing w:val="-8"/>
          <w:sz w:val="20"/>
        </w:rPr>
        <w:t> </w:t>
      </w:r>
      <w:r>
        <w:rPr>
          <w:sz w:val="20"/>
        </w:rPr>
        <w:t>soporte.</w:t>
      </w:r>
    </w:p>
    <w:p>
      <w:pPr>
        <w:pStyle w:val="ListParagraph"/>
        <w:numPr>
          <w:ilvl w:val="0"/>
          <w:numId w:val="263"/>
        </w:numPr>
        <w:tabs>
          <w:tab w:pos="672" w:val="left" w:leader="none"/>
          <w:tab w:pos="673" w:val="left" w:leader="none"/>
        </w:tabs>
        <w:spacing w:line="240" w:lineRule="auto" w:before="60" w:after="0"/>
        <w:ind w:left="672" w:right="531" w:hanging="454"/>
        <w:jc w:val="left"/>
        <w:rPr>
          <w:sz w:val="20"/>
        </w:rPr>
      </w:pPr>
      <w:r>
        <w:rPr>
          <w:sz w:val="20"/>
        </w:rPr>
        <w:t>En todos los casos se instalarán los absorbedores de dilatación necesarios. En tuberías encoladas se utilizarán manguitos de dilatación o uniones mixtas (encoladas con juntas de goma) cada 10</w:t>
      </w:r>
      <w:r>
        <w:rPr>
          <w:spacing w:val="-9"/>
          <w:sz w:val="20"/>
        </w:rPr>
        <w:t> </w:t>
      </w:r>
      <w:r>
        <w:rPr>
          <w:sz w:val="20"/>
        </w:rPr>
        <w:t>m.</w:t>
      </w:r>
    </w:p>
    <w:p>
      <w:pPr>
        <w:pStyle w:val="ListParagraph"/>
        <w:numPr>
          <w:ilvl w:val="0"/>
          <w:numId w:val="263"/>
        </w:numPr>
        <w:tabs>
          <w:tab w:pos="672" w:val="left" w:leader="none"/>
          <w:tab w:pos="673" w:val="left" w:leader="none"/>
        </w:tabs>
        <w:spacing w:line="240" w:lineRule="auto" w:before="60" w:after="0"/>
        <w:ind w:left="672" w:right="0" w:hanging="455"/>
        <w:jc w:val="left"/>
        <w:rPr>
          <w:sz w:val="20"/>
        </w:rPr>
      </w:pPr>
      <w:r>
        <w:rPr>
          <w:sz w:val="20"/>
        </w:rPr>
        <w:t>La tubería principal se prolongará 30 cm desde la primera toma para resolver posibles</w:t>
      </w:r>
      <w:r>
        <w:rPr>
          <w:spacing w:val="-12"/>
          <w:sz w:val="20"/>
        </w:rPr>
        <w:t> </w:t>
      </w:r>
      <w:r>
        <w:rPr>
          <w:sz w:val="20"/>
        </w:rPr>
        <w:t>obturaciones.</w:t>
      </w:r>
    </w:p>
    <w:p>
      <w:pPr>
        <w:pStyle w:val="ListParagraph"/>
        <w:numPr>
          <w:ilvl w:val="0"/>
          <w:numId w:val="263"/>
        </w:numPr>
        <w:tabs>
          <w:tab w:pos="672" w:val="left" w:leader="none"/>
          <w:tab w:pos="673" w:val="left" w:leader="none"/>
        </w:tabs>
        <w:spacing w:line="240" w:lineRule="auto" w:before="61" w:after="0"/>
        <w:ind w:left="672" w:right="563" w:hanging="454"/>
        <w:jc w:val="left"/>
        <w:rPr>
          <w:sz w:val="20"/>
        </w:rPr>
      </w:pPr>
      <w:r>
        <w:rPr>
          <w:sz w:val="20"/>
        </w:rPr>
        <w:t>Los pasos a través de elementos de fábrica se harán con contra-tubo de algún material adecuado, con las holguras correspondientes, según se ha indicado para las</w:t>
      </w:r>
      <w:r>
        <w:rPr>
          <w:spacing w:val="-3"/>
          <w:sz w:val="20"/>
        </w:rPr>
        <w:t> </w:t>
      </w:r>
      <w:r>
        <w:rPr>
          <w:i/>
          <w:sz w:val="20"/>
        </w:rPr>
        <w:t>bajantes</w:t>
      </w:r>
      <w:r>
        <w:rPr>
          <w:sz w:val="20"/>
        </w:rPr>
        <w:t>.</w:t>
      </w:r>
    </w:p>
    <w:p>
      <w:pPr>
        <w:pStyle w:val="BodyText"/>
        <w:spacing w:before="6"/>
        <w:rPr>
          <w:sz w:val="17"/>
        </w:rPr>
      </w:pPr>
    </w:p>
    <w:p>
      <w:pPr>
        <w:pStyle w:val="Heading5"/>
        <w:numPr>
          <w:ilvl w:val="2"/>
          <w:numId w:val="255"/>
        </w:numPr>
        <w:tabs>
          <w:tab w:pos="787" w:val="left" w:leader="none"/>
        </w:tabs>
        <w:spacing w:line="240" w:lineRule="auto" w:before="0" w:after="0"/>
        <w:ind w:left="786" w:right="0" w:hanging="569"/>
        <w:jc w:val="left"/>
      </w:pPr>
      <w:r>
        <w:rPr/>
        <w:t>Ejecución de la red horizontal</w:t>
      </w:r>
      <w:r>
        <w:rPr>
          <w:spacing w:val="-4"/>
        </w:rPr>
        <w:t> </w:t>
      </w:r>
      <w:r>
        <w:rPr/>
        <w:t>enterrada</w:t>
      </w:r>
    </w:p>
    <w:p>
      <w:pPr>
        <w:pStyle w:val="ListParagraph"/>
        <w:numPr>
          <w:ilvl w:val="0"/>
          <w:numId w:val="264"/>
        </w:numPr>
        <w:tabs>
          <w:tab w:pos="672" w:val="left" w:leader="none"/>
          <w:tab w:pos="673" w:val="left" w:leader="none"/>
        </w:tabs>
        <w:spacing w:line="240" w:lineRule="auto" w:before="99" w:after="0"/>
        <w:ind w:left="672" w:right="474" w:hanging="454"/>
        <w:jc w:val="left"/>
        <w:rPr>
          <w:sz w:val="20"/>
        </w:rPr>
      </w:pPr>
      <w:r>
        <w:rPr>
          <w:sz w:val="20"/>
        </w:rPr>
        <w:t>La unión de la </w:t>
      </w:r>
      <w:r>
        <w:rPr>
          <w:i/>
          <w:sz w:val="20"/>
        </w:rPr>
        <w:t>bajante </w:t>
      </w:r>
      <w:r>
        <w:rPr>
          <w:sz w:val="20"/>
        </w:rPr>
        <w:t>a la arqueta se realizará mediante un manguito deslizante arenado previa- mente y recibido a la arqueta. Este arenado permitirá ser recibido con mortero de cemento en la ar- queta, garantizando de esta forma una unión</w:t>
      </w:r>
      <w:r>
        <w:rPr>
          <w:spacing w:val="-2"/>
          <w:sz w:val="20"/>
        </w:rPr>
        <w:t> </w:t>
      </w:r>
      <w:r>
        <w:rPr>
          <w:sz w:val="20"/>
        </w:rPr>
        <w:t>estanca.</w:t>
      </w:r>
    </w:p>
    <w:p>
      <w:pPr>
        <w:pStyle w:val="ListParagraph"/>
        <w:numPr>
          <w:ilvl w:val="0"/>
          <w:numId w:val="264"/>
        </w:numPr>
        <w:tabs>
          <w:tab w:pos="672" w:val="left" w:leader="none"/>
          <w:tab w:pos="673" w:val="left" w:leader="none"/>
        </w:tabs>
        <w:spacing w:line="240" w:lineRule="auto" w:before="60" w:after="0"/>
        <w:ind w:left="672" w:right="484" w:hanging="454"/>
        <w:jc w:val="left"/>
        <w:rPr>
          <w:sz w:val="20"/>
        </w:rPr>
      </w:pPr>
      <w:r>
        <w:rPr>
          <w:sz w:val="20"/>
        </w:rPr>
        <w:t>Si la distancia de la </w:t>
      </w:r>
      <w:r>
        <w:rPr>
          <w:i/>
          <w:sz w:val="20"/>
        </w:rPr>
        <w:t>bajante </w:t>
      </w:r>
      <w:r>
        <w:rPr>
          <w:sz w:val="20"/>
        </w:rPr>
        <w:t>a la arqueta de pie de bajante es larga se colocará el tramo de tubo entre ambas sobre un soporte adecuado que no limite el movimiento de este, para impedir que fun- cione como ménsula.</w:t>
      </w:r>
    </w:p>
    <w:p>
      <w:pPr>
        <w:pStyle w:val="ListParagraph"/>
        <w:numPr>
          <w:ilvl w:val="0"/>
          <w:numId w:val="264"/>
        </w:numPr>
        <w:tabs>
          <w:tab w:pos="672" w:val="left" w:leader="none"/>
          <w:tab w:pos="673" w:val="left" w:leader="none"/>
        </w:tabs>
        <w:spacing w:line="240" w:lineRule="auto" w:before="58" w:after="0"/>
        <w:ind w:left="672" w:right="431" w:hanging="454"/>
        <w:jc w:val="left"/>
        <w:rPr>
          <w:sz w:val="20"/>
        </w:rPr>
      </w:pPr>
      <w:r>
        <w:rPr>
          <w:sz w:val="20"/>
        </w:rPr>
        <w:t>Para la unión de los distintos tramos de tubos dentro de las zanjas, se considerará la compatibilidad de materiales y sus tipos de</w:t>
      </w:r>
      <w:r>
        <w:rPr>
          <w:spacing w:val="-4"/>
          <w:sz w:val="20"/>
        </w:rPr>
        <w:t> </w:t>
      </w:r>
      <w:r>
        <w:rPr>
          <w:sz w:val="20"/>
        </w:rPr>
        <w:t>unión:</w:t>
      </w:r>
    </w:p>
    <w:p>
      <w:pPr>
        <w:pStyle w:val="ListParagraph"/>
        <w:numPr>
          <w:ilvl w:val="1"/>
          <w:numId w:val="264"/>
        </w:numPr>
        <w:tabs>
          <w:tab w:pos="1126" w:val="left" w:leader="none"/>
        </w:tabs>
        <w:spacing w:line="240" w:lineRule="auto" w:before="61" w:after="0"/>
        <w:ind w:left="1126" w:right="0" w:hanging="454"/>
        <w:jc w:val="both"/>
        <w:rPr>
          <w:sz w:val="20"/>
        </w:rPr>
      </w:pPr>
      <w:r>
        <w:rPr>
          <w:sz w:val="20"/>
        </w:rPr>
        <w:t>para tuberías de hormigón, las uniones serán mediante corchetes de hormigón en</w:t>
      </w:r>
      <w:r>
        <w:rPr>
          <w:spacing w:val="-7"/>
          <w:sz w:val="20"/>
        </w:rPr>
        <w:t> </w:t>
      </w:r>
      <w:r>
        <w:rPr>
          <w:sz w:val="20"/>
        </w:rPr>
        <w:t>masa;</w:t>
      </w:r>
    </w:p>
    <w:p>
      <w:pPr>
        <w:pStyle w:val="ListParagraph"/>
        <w:numPr>
          <w:ilvl w:val="1"/>
          <w:numId w:val="264"/>
        </w:numPr>
        <w:tabs>
          <w:tab w:pos="1126" w:val="left" w:leader="none"/>
        </w:tabs>
        <w:spacing w:line="240" w:lineRule="auto" w:before="59" w:after="0"/>
        <w:ind w:left="1126" w:right="455" w:hanging="454"/>
        <w:jc w:val="both"/>
        <w:rPr>
          <w:sz w:val="20"/>
        </w:rPr>
      </w:pPr>
      <w:r>
        <w:rPr>
          <w:sz w:val="20"/>
        </w:rPr>
        <w:t>para tuberías de PVC, no se admitirán las uniones fabricadas mediante soldadura o pegamen- to de diversos elementos, las uniones entre tubos serán de enchufe o cordón con junta de go- ma, o pegado mediante</w:t>
      </w:r>
      <w:r>
        <w:rPr>
          <w:spacing w:val="-3"/>
          <w:sz w:val="20"/>
        </w:rPr>
        <w:t> </w:t>
      </w:r>
      <w:r>
        <w:rPr>
          <w:sz w:val="20"/>
        </w:rPr>
        <w:t>adhesivos.</w:t>
      </w:r>
    </w:p>
    <w:p>
      <w:pPr>
        <w:pStyle w:val="ListParagraph"/>
        <w:numPr>
          <w:ilvl w:val="0"/>
          <w:numId w:val="264"/>
        </w:numPr>
        <w:tabs>
          <w:tab w:pos="673" w:val="left" w:leader="none"/>
        </w:tabs>
        <w:spacing w:line="240" w:lineRule="auto" w:before="61" w:after="0"/>
        <w:ind w:left="672" w:right="508" w:hanging="454"/>
        <w:jc w:val="both"/>
        <w:rPr>
          <w:sz w:val="20"/>
        </w:rPr>
      </w:pPr>
      <w:r>
        <w:rPr>
          <w:sz w:val="20"/>
        </w:rPr>
        <w:t>Cuando exista la posibilidad de invasión de la red por raíces de las plantaciones inmediatas a ésta, se tomarán las medidas adecuadas para impedirlo tales como disponer mallas de</w:t>
      </w:r>
      <w:r>
        <w:rPr>
          <w:spacing w:val="-6"/>
          <w:sz w:val="20"/>
        </w:rPr>
        <w:t> </w:t>
      </w:r>
      <w:r>
        <w:rPr>
          <w:sz w:val="20"/>
        </w:rPr>
        <w:t>geotextil.</w:t>
      </w:r>
    </w:p>
    <w:p>
      <w:pPr>
        <w:pStyle w:val="BodyText"/>
        <w:spacing w:before="6"/>
        <w:rPr>
          <w:sz w:val="17"/>
        </w:rPr>
      </w:pPr>
    </w:p>
    <w:p>
      <w:pPr>
        <w:pStyle w:val="Heading5"/>
        <w:numPr>
          <w:ilvl w:val="2"/>
          <w:numId w:val="255"/>
        </w:numPr>
        <w:tabs>
          <w:tab w:pos="787" w:val="left" w:leader="none"/>
        </w:tabs>
        <w:spacing w:line="240" w:lineRule="auto" w:before="1" w:after="0"/>
        <w:ind w:left="786" w:right="0" w:hanging="569"/>
        <w:jc w:val="left"/>
      </w:pPr>
      <w:r>
        <w:rPr/>
        <w:t>Ejecución de las</w:t>
      </w:r>
      <w:r>
        <w:rPr>
          <w:spacing w:val="-2"/>
        </w:rPr>
        <w:t> </w:t>
      </w:r>
      <w:r>
        <w:rPr/>
        <w:t>zanjas</w:t>
      </w:r>
    </w:p>
    <w:p>
      <w:pPr>
        <w:pStyle w:val="ListParagraph"/>
        <w:numPr>
          <w:ilvl w:val="0"/>
          <w:numId w:val="265"/>
        </w:numPr>
        <w:tabs>
          <w:tab w:pos="672" w:val="left" w:leader="none"/>
          <w:tab w:pos="673" w:val="left" w:leader="none"/>
        </w:tabs>
        <w:spacing w:line="240" w:lineRule="auto" w:before="97" w:after="0"/>
        <w:ind w:left="672" w:right="453" w:hanging="454"/>
        <w:jc w:val="left"/>
        <w:rPr>
          <w:sz w:val="20"/>
        </w:rPr>
      </w:pPr>
      <w:r>
        <w:rPr>
          <w:sz w:val="20"/>
        </w:rPr>
        <w:t>Las zanjas se ejecutarán en función de las características del terreno y de los materiales de las canalizaciones a enterrar. Se considerarán tuberías más deformables que el terreno las de materia- les plásticos, y menos deformables que el terreno las de fundición, hormigón y</w:t>
      </w:r>
      <w:r>
        <w:rPr>
          <w:spacing w:val="-11"/>
          <w:sz w:val="20"/>
        </w:rPr>
        <w:t> </w:t>
      </w:r>
      <w:r>
        <w:rPr>
          <w:sz w:val="20"/>
        </w:rPr>
        <w:t>gres.</w:t>
      </w:r>
    </w:p>
    <w:p>
      <w:pPr>
        <w:pStyle w:val="ListParagraph"/>
        <w:numPr>
          <w:ilvl w:val="0"/>
          <w:numId w:val="265"/>
        </w:numPr>
        <w:tabs>
          <w:tab w:pos="672" w:val="left" w:leader="none"/>
          <w:tab w:pos="673" w:val="left" w:leader="none"/>
        </w:tabs>
        <w:spacing w:line="240" w:lineRule="auto" w:before="61" w:after="0"/>
        <w:ind w:left="672" w:right="508" w:hanging="454"/>
        <w:jc w:val="left"/>
        <w:rPr>
          <w:sz w:val="20"/>
        </w:rPr>
      </w:pPr>
      <w:r>
        <w:rPr>
          <w:sz w:val="20"/>
        </w:rPr>
        <w:t>Sin perjuicio del estudio particular del terreno que pueda ser necesario, se tomarán de forma gene- ral, las siguientes</w:t>
      </w:r>
      <w:r>
        <w:rPr>
          <w:spacing w:val="-4"/>
          <w:sz w:val="20"/>
        </w:rPr>
        <w:t> </w:t>
      </w:r>
      <w:r>
        <w:rPr>
          <w:sz w:val="20"/>
        </w:rPr>
        <w:t>medidas.</w:t>
      </w:r>
    </w:p>
    <w:p>
      <w:pPr>
        <w:pStyle w:val="BodyText"/>
        <w:spacing w:before="5"/>
        <w:rPr>
          <w:sz w:val="17"/>
        </w:rPr>
      </w:pPr>
    </w:p>
    <w:p>
      <w:pPr>
        <w:pStyle w:val="Heading5"/>
        <w:numPr>
          <w:ilvl w:val="3"/>
          <w:numId w:val="255"/>
        </w:numPr>
        <w:tabs>
          <w:tab w:pos="1352" w:val="left" w:leader="none"/>
          <w:tab w:pos="1353" w:val="left" w:leader="none"/>
        </w:tabs>
        <w:spacing w:line="240" w:lineRule="auto" w:before="0" w:after="0"/>
        <w:ind w:left="1352" w:right="0" w:hanging="1135"/>
        <w:jc w:val="left"/>
      </w:pPr>
      <w:r>
        <w:rPr/>
        <w:t>Zanjas para tuberías de materiales</w:t>
      </w:r>
      <w:r>
        <w:rPr>
          <w:spacing w:val="-4"/>
        </w:rPr>
        <w:t> </w:t>
      </w:r>
      <w:r>
        <w:rPr/>
        <w:t>plásticos</w:t>
      </w:r>
    </w:p>
    <w:p>
      <w:pPr>
        <w:pStyle w:val="ListParagraph"/>
        <w:numPr>
          <w:ilvl w:val="0"/>
          <w:numId w:val="266"/>
        </w:numPr>
        <w:tabs>
          <w:tab w:pos="673" w:val="left" w:leader="none"/>
        </w:tabs>
        <w:spacing w:line="240" w:lineRule="auto" w:before="80" w:after="0"/>
        <w:ind w:left="672" w:right="496" w:hanging="454"/>
        <w:jc w:val="both"/>
        <w:rPr>
          <w:sz w:val="20"/>
        </w:rPr>
      </w:pPr>
      <w:r>
        <w:rPr>
          <w:sz w:val="20"/>
        </w:rPr>
        <w:t>Las zanjas serán de paredes verticales; su anchura será el diámetro del tubo más 500 mm, y como mínimo de 0,60 m.</w:t>
      </w:r>
    </w:p>
    <w:p>
      <w:pPr>
        <w:spacing w:after="0" w:line="240" w:lineRule="auto"/>
        <w:jc w:val="both"/>
        <w:rPr>
          <w:sz w:val="20"/>
        </w:rPr>
        <w:sectPr>
          <w:pgSz w:w="11910" w:h="16840"/>
          <w:pgMar w:header="714" w:footer="642" w:top="1320" w:bottom="840" w:left="1200" w:right="740"/>
        </w:sectPr>
      </w:pPr>
    </w:p>
    <w:p>
      <w:pPr>
        <w:pStyle w:val="ListParagraph"/>
        <w:numPr>
          <w:ilvl w:val="0"/>
          <w:numId w:val="266"/>
        </w:numPr>
        <w:tabs>
          <w:tab w:pos="672" w:val="left" w:leader="none"/>
          <w:tab w:pos="673" w:val="left" w:leader="none"/>
        </w:tabs>
        <w:spacing w:line="240" w:lineRule="auto" w:before="91" w:after="0"/>
        <w:ind w:left="672" w:right="532" w:hanging="454"/>
        <w:jc w:val="left"/>
        <w:rPr>
          <w:sz w:val="20"/>
        </w:rPr>
      </w:pPr>
      <w:r>
        <w:rPr>
          <w:sz w:val="20"/>
        </w:rPr>
        <w:t>Su profundidad vendrá definida en el proyecto, siendo función de las pendientes adoptadas. Si la tubería discurre bajo calzada, se adoptará una profundidad mínima de 80 cm, desde la clave hasta la rasante del</w:t>
      </w:r>
      <w:r>
        <w:rPr>
          <w:spacing w:val="-2"/>
          <w:sz w:val="20"/>
        </w:rPr>
        <w:t> </w:t>
      </w:r>
      <w:r>
        <w:rPr>
          <w:sz w:val="20"/>
        </w:rPr>
        <w:t>terreno.</w:t>
      </w:r>
    </w:p>
    <w:p>
      <w:pPr>
        <w:pStyle w:val="ListParagraph"/>
        <w:numPr>
          <w:ilvl w:val="0"/>
          <w:numId w:val="266"/>
        </w:numPr>
        <w:tabs>
          <w:tab w:pos="672" w:val="left" w:leader="none"/>
          <w:tab w:pos="673" w:val="left" w:leader="none"/>
        </w:tabs>
        <w:spacing w:line="240" w:lineRule="auto" w:before="60" w:after="0"/>
        <w:ind w:left="672" w:right="474" w:hanging="454"/>
        <w:jc w:val="left"/>
        <w:rPr>
          <w:sz w:val="20"/>
        </w:rPr>
      </w:pPr>
      <w:r>
        <w:rPr>
          <w:sz w:val="20"/>
        </w:rPr>
        <w:t>Los tubos se apoyarán en toda su longitud sobre un lecho de material granular (arena/grava) o tie- rra exenta de piedras de un grueso mínimo de 10 + diámetro exterior/ 10 cm. Se compactarán los laterales y se dejarán al descubierto las uniones hasta haberse realizado las pruebas de estanquei- dad. El relleno se realizará por capas de 10 cm, compactando, hasta 30 cm del nivel superior en que se realizará un último vertido y la compactación</w:t>
      </w:r>
      <w:r>
        <w:rPr>
          <w:spacing w:val="-7"/>
          <w:sz w:val="20"/>
        </w:rPr>
        <w:t> </w:t>
      </w:r>
      <w:r>
        <w:rPr>
          <w:sz w:val="20"/>
        </w:rPr>
        <w:t>final.</w:t>
      </w:r>
    </w:p>
    <w:p>
      <w:pPr>
        <w:pStyle w:val="ListParagraph"/>
        <w:numPr>
          <w:ilvl w:val="0"/>
          <w:numId w:val="266"/>
        </w:numPr>
        <w:tabs>
          <w:tab w:pos="672" w:val="left" w:leader="none"/>
          <w:tab w:pos="673" w:val="left" w:leader="none"/>
        </w:tabs>
        <w:spacing w:line="240" w:lineRule="auto" w:before="60" w:after="0"/>
        <w:ind w:left="672" w:right="487" w:hanging="454"/>
        <w:jc w:val="left"/>
        <w:rPr>
          <w:sz w:val="20"/>
        </w:rPr>
      </w:pPr>
      <w:r>
        <w:rPr>
          <w:sz w:val="20"/>
        </w:rPr>
        <w:t>La base de la zanja, cuando se trate de terrenos poco consistentes, será un lecho de hormigón en toda su longitud. El espesor de este lecho de hormigón será de 15 cm y sobre él irá el lecho descri- to en el párrafo</w:t>
      </w:r>
      <w:r>
        <w:rPr>
          <w:spacing w:val="-1"/>
          <w:sz w:val="20"/>
        </w:rPr>
        <w:t> </w:t>
      </w:r>
      <w:r>
        <w:rPr>
          <w:sz w:val="20"/>
        </w:rPr>
        <w:t>anterior.</w:t>
      </w:r>
    </w:p>
    <w:p>
      <w:pPr>
        <w:pStyle w:val="BodyText"/>
        <w:spacing w:before="5"/>
        <w:rPr>
          <w:sz w:val="17"/>
        </w:rPr>
      </w:pPr>
    </w:p>
    <w:p>
      <w:pPr>
        <w:pStyle w:val="Heading5"/>
        <w:numPr>
          <w:ilvl w:val="3"/>
          <w:numId w:val="255"/>
        </w:numPr>
        <w:tabs>
          <w:tab w:pos="1352" w:val="left" w:leader="none"/>
          <w:tab w:pos="1353" w:val="left" w:leader="none"/>
        </w:tabs>
        <w:spacing w:line="240" w:lineRule="auto" w:before="0" w:after="0"/>
        <w:ind w:left="1352" w:right="0" w:hanging="1135"/>
        <w:jc w:val="left"/>
      </w:pPr>
      <w:r>
        <w:rPr/>
        <w:t>Zanjas para tuberías de fundición, hormigón y</w:t>
      </w:r>
      <w:r>
        <w:rPr>
          <w:spacing w:val="-6"/>
        </w:rPr>
        <w:t> </w:t>
      </w:r>
      <w:r>
        <w:rPr/>
        <w:t>gres</w:t>
      </w:r>
    </w:p>
    <w:p>
      <w:pPr>
        <w:pStyle w:val="ListParagraph"/>
        <w:numPr>
          <w:ilvl w:val="0"/>
          <w:numId w:val="267"/>
        </w:numPr>
        <w:tabs>
          <w:tab w:pos="672" w:val="left" w:leader="none"/>
          <w:tab w:pos="673" w:val="left" w:leader="none"/>
        </w:tabs>
        <w:spacing w:line="240" w:lineRule="auto" w:before="80" w:after="0"/>
        <w:ind w:left="672" w:right="621" w:hanging="454"/>
        <w:jc w:val="left"/>
        <w:rPr>
          <w:sz w:val="20"/>
        </w:rPr>
      </w:pPr>
      <w:r>
        <w:rPr>
          <w:sz w:val="20"/>
        </w:rPr>
        <w:t>Además de las prescripciones dadas para las tuberías de materiales plásticos se cumplirán las si- guientes.</w:t>
      </w:r>
    </w:p>
    <w:p>
      <w:pPr>
        <w:pStyle w:val="ListParagraph"/>
        <w:numPr>
          <w:ilvl w:val="0"/>
          <w:numId w:val="267"/>
        </w:numPr>
        <w:tabs>
          <w:tab w:pos="672" w:val="left" w:leader="none"/>
          <w:tab w:pos="673" w:val="left" w:leader="none"/>
        </w:tabs>
        <w:spacing w:line="240" w:lineRule="auto" w:before="59" w:after="0"/>
        <w:ind w:left="672" w:right="452" w:hanging="454"/>
        <w:jc w:val="left"/>
        <w:rPr>
          <w:sz w:val="20"/>
        </w:rPr>
      </w:pPr>
      <w:r>
        <w:rPr>
          <w:sz w:val="20"/>
        </w:rPr>
        <w:t>El lecho de apoyo se interrumpirá reservando unos nichos en la zona donde irán situadas las juntas de unión.</w:t>
      </w:r>
    </w:p>
    <w:p>
      <w:pPr>
        <w:pStyle w:val="ListParagraph"/>
        <w:numPr>
          <w:ilvl w:val="0"/>
          <w:numId w:val="267"/>
        </w:numPr>
        <w:tabs>
          <w:tab w:pos="672" w:val="left" w:leader="none"/>
          <w:tab w:pos="673" w:val="left" w:leader="none"/>
        </w:tabs>
        <w:spacing w:line="240" w:lineRule="auto" w:before="60" w:after="0"/>
        <w:ind w:left="672" w:right="398" w:hanging="454"/>
        <w:jc w:val="left"/>
        <w:rPr>
          <w:sz w:val="20"/>
        </w:rPr>
      </w:pPr>
      <w:r>
        <w:rPr>
          <w:sz w:val="20"/>
        </w:rPr>
        <w:t>Una vez situada la tubería, se rellenarán los flancos para evitar que queden huecos y se compacta- rán los laterales hasta el nivel del plano horizontal que pasa por el eje del tubo. Se utilizará relleno que no contenga piedras o terrones de más de 3 cm de diámetro y tal que el material pulverulento, diámetro inferior a 0,1 mm, no supere el 12 %. Se proseguirá el relleno de los laterales hasta 15 cm por encima del nivel de la clave del tubo y se compactará nuevamente. La compactación de las ca- pas sucesivas se realizará por capas no superiores a 30 cm y se utilizará material exento de piedras de diámetro superior a 1</w:t>
      </w:r>
      <w:r>
        <w:rPr>
          <w:spacing w:val="-4"/>
          <w:sz w:val="20"/>
        </w:rPr>
        <w:t> </w:t>
      </w:r>
      <w:r>
        <w:rPr>
          <w:sz w:val="20"/>
        </w:rPr>
        <w:t>cm.</w:t>
      </w:r>
    </w:p>
    <w:p>
      <w:pPr>
        <w:pStyle w:val="BodyText"/>
        <w:spacing w:before="7"/>
        <w:rPr>
          <w:sz w:val="17"/>
        </w:rPr>
      </w:pPr>
    </w:p>
    <w:p>
      <w:pPr>
        <w:pStyle w:val="Heading5"/>
        <w:numPr>
          <w:ilvl w:val="2"/>
          <w:numId w:val="255"/>
        </w:numPr>
        <w:tabs>
          <w:tab w:pos="787" w:val="left" w:leader="none"/>
        </w:tabs>
        <w:spacing w:line="240" w:lineRule="auto" w:before="0" w:after="0"/>
        <w:ind w:left="786" w:right="0" w:hanging="569"/>
        <w:jc w:val="left"/>
      </w:pPr>
      <w:r>
        <w:rPr/>
        <w:t>Protección de las tuberías de fundición</w:t>
      </w:r>
      <w:r>
        <w:rPr>
          <w:spacing w:val="-3"/>
        </w:rPr>
        <w:t> </w:t>
      </w:r>
      <w:r>
        <w:rPr/>
        <w:t>enterradas</w:t>
      </w:r>
    </w:p>
    <w:p>
      <w:pPr>
        <w:pStyle w:val="ListParagraph"/>
        <w:numPr>
          <w:ilvl w:val="0"/>
          <w:numId w:val="268"/>
        </w:numPr>
        <w:tabs>
          <w:tab w:pos="672" w:val="left" w:leader="none"/>
          <w:tab w:pos="673" w:val="left" w:leader="none"/>
        </w:tabs>
        <w:spacing w:line="240" w:lineRule="auto" w:before="99" w:after="0"/>
        <w:ind w:left="672" w:right="554" w:hanging="454"/>
        <w:jc w:val="left"/>
        <w:rPr>
          <w:sz w:val="20"/>
        </w:rPr>
      </w:pPr>
      <w:r>
        <w:rPr>
          <w:sz w:val="20"/>
        </w:rPr>
        <w:t>En general se seguirán las instrucciones dadas para las demás tuberías en cuanto a su enterra- miento, con las prescripciones correspondientes a las protecciones a tomar relativas a las caracte- rísticas de los terrenos particularmente</w:t>
      </w:r>
      <w:r>
        <w:rPr>
          <w:spacing w:val="-3"/>
          <w:sz w:val="20"/>
        </w:rPr>
        <w:t> </w:t>
      </w:r>
      <w:r>
        <w:rPr>
          <w:sz w:val="20"/>
        </w:rPr>
        <w:t>agresivos.</w:t>
      </w:r>
    </w:p>
    <w:p>
      <w:pPr>
        <w:pStyle w:val="ListParagraph"/>
        <w:numPr>
          <w:ilvl w:val="0"/>
          <w:numId w:val="268"/>
        </w:numPr>
        <w:tabs>
          <w:tab w:pos="672" w:val="left" w:leader="none"/>
          <w:tab w:pos="673" w:val="left" w:leader="none"/>
        </w:tabs>
        <w:spacing w:line="240" w:lineRule="auto" w:before="60" w:after="0"/>
        <w:ind w:left="672" w:right="453" w:hanging="454"/>
        <w:jc w:val="left"/>
        <w:rPr>
          <w:sz w:val="20"/>
        </w:rPr>
      </w:pPr>
      <w:r>
        <w:rPr>
          <w:sz w:val="20"/>
        </w:rPr>
        <w:t>Se definirán como terrenos particularmente agresivos los que presenten algunas de las característi- cas siguientes:</w:t>
      </w:r>
    </w:p>
    <w:p>
      <w:pPr>
        <w:pStyle w:val="ListParagraph"/>
        <w:numPr>
          <w:ilvl w:val="1"/>
          <w:numId w:val="268"/>
        </w:numPr>
        <w:tabs>
          <w:tab w:pos="1125" w:val="left" w:leader="none"/>
          <w:tab w:pos="1126" w:val="left" w:leader="none"/>
        </w:tabs>
        <w:spacing w:line="240" w:lineRule="auto" w:before="62" w:after="0"/>
        <w:ind w:left="1126" w:right="0" w:hanging="454"/>
        <w:jc w:val="left"/>
        <w:rPr>
          <w:sz w:val="20"/>
        </w:rPr>
      </w:pPr>
      <w:r>
        <w:rPr>
          <w:sz w:val="20"/>
        </w:rPr>
        <w:t>baja resistividad: valor inferior a 1.000 </w:t>
      </w:r>
      <w:r>
        <w:rPr>
          <w:rFonts w:ascii="Symbol" w:hAnsi="Symbol"/>
          <w:sz w:val="20"/>
        </w:rPr>
        <w:t></w:t>
      </w:r>
      <w:r>
        <w:rPr>
          <w:rFonts w:ascii="Times New Roman" w:hAnsi="Times New Roman"/>
          <w:sz w:val="20"/>
        </w:rPr>
        <w:t> </w:t>
      </w:r>
      <w:r>
        <w:rPr>
          <w:sz w:val="20"/>
        </w:rPr>
        <w:t>x cm;</w:t>
      </w:r>
    </w:p>
    <w:p>
      <w:pPr>
        <w:pStyle w:val="ListParagraph"/>
        <w:numPr>
          <w:ilvl w:val="1"/>
          <w:numId w:val="268"/>
        </w:numPr>
        <w:tabs>
          <w:tab w:pos="1125" w:val="left" w:leader="none"/>
          <w:tab w:pos="1126" w:val="left" w:leader="none"/>
        </w:tabs>
        <w:spacing w:line="240" w:lineRule="auto" w:before="57" w:after="0"/>
        <w:ind w:left="1126" w:right="0" w:hanging="454"/>
        <w:jc w:val="left"/>
        <w:rPr>
          <w:sz w:val="20"/>
        </w:rPr>
      </w:pPr>
      <w:r>
        <w:rPr>
          <w:sz w:val="20"/>
        </w:rPr>
        <w:t>reacción ácida: pH &lt;</w:t>
      </w:r>
      <w:r>
        <w:rPr>
          <w:spacing w:val="-2"/>
          <w:sz w:val="20"/>
        </w:rPr>
        <w:t> </w:t>
      </w:r>
      <w:r>
        <w:rPr>
          <w:sz w:val="20"/>
        </w:rPr>
        <w:t>6;</w:t>
      </w:r>
    </w:p>
    <w:p>
      <w:pPr>
        <w:pStyle w:val="ListParagraph"/>
        <w:numPr>
          <w:ilvl w:val="1"/>
          <w:numId w:val="268"/>
        </w:numPr>
        <w:tabs>
          <w:tab w:pos="1125" w:val="left" w:leader="none"/>
          <w:tab w:pos="1126" w:val="left" w:leader="none"/>
        </w:tabs>
        <w:spacing w:line="240" w:lineRule="auto" w:before="61" w:after="0"/>
        <w:ind w:left="1126" w:right="0" w:hanging="454"/>
        <w:jc w:val="left"/>
        <w:rPr>
          <w:sz w:val="20"/>
        </w:rPr>
      </w:pPr>
      <w:r>
        <w:rPr>
          <w:sz w:val="20"/>
        </w:rPr>
        <w:t>contenido en cloruros superior a 300 mg por kg de</w:t>
      </w:r>
      <w:r>
        <w:rPr>
          <w:spacing w:val="-8"/>
          <w:sz w:val="20"/>
        </w:rPr>
        <w:t> </w:t>
      </w:r>
      <w:r>
        <w:rPr>
          <w:sz w:val="20"/>
        </w:rPr>
        <w:t>tierra;</w:t>
      </w:r>
    </w:p>
    <w:p>
      <w:pPr>
        <w:pStyle w:val="ListParagraph"/>
        <w:numPr>
          <w:ilvl w:val="1"/>
          <w:numId w:val="268"/>
        </w:numPr>
        <w:tabs>
          <w:tab w:pos="1125" w:val="left" w:leader="none"/>
          <w:tab w:pos="1126" w:val="left" w:leader="none"/>
        </w:tabs>
        <w:spacing w:line="240" w:lineRule="auto" w:before="59" w:after="0"/>
        <w:ind w:left="1126" w:right="0" w:hanging="454"/>
        <w:jc w:val="left"/>
        <w:rPr>
          <w:sz w:val="20"/>
        </w:rPr>
      </w:pPr>
      <w:r>
        <w:rPr>
          <w:sz w:val="20"/>
        </w:rPr>
        <w:t>contenido en sulfatos superior a 500 mg por kg de</w:t>
      </w:r>
      <w:r>
        <w:rPr>
          <w:spacing w:val="-7"/>
          <w:sz w:val="20"/>
        </w:rPr>
        <w:t> </w:t>
      </w:r>
      <w:r>
        <w:rPr>
          <w:sz w:val="20"/>
        </w:rPr>
        <w:t>tierra;</w:t>
      </w:r>
    </w:p>
    <w:p>
      <w:pPr>
        <w:pStyle w:val="ListParagraph"/>
        <w:numPr>
          <w:ilvl w:val="1"/>
          <w:numId w:val="268"/>
        </w:numPr>
        <w:tabs>
          <w:tab w:pos="1125" w:val="left" w:leader="none"/>
          <w:tab w:pos="1126" w:val="left" w:leader="none"/>
        </w:tabs>
        <w:spacing w:line="240" w:lineRule="auto" w:before="61" w:after="0"/>
        <w:ind w:left="1126" w:right="0" w:hanging="454"/>
        <w:jc w:val="left"/>
        <w:rPr>
          <w:sz w:val="20"/>
        </w:rPr>
      </w:pPr>
      <w:r>
        <w:rPr>
          <w:sz w:val="20"/>
        </w:rPr>
        <w:t>indicios de</w:t>
      </w:r>
      <w:r>
        <w:rPr>
          <w:spacing w:val="-1"/>
          <w:sz w:val="20"/>
        </w:rPr>
        <w:t> </w:t>
      </w:r>
      <w:r>
        <w:rPr>
          <w:sz w:val="20"/>
        </w:rPr>
        <w:t>sulfuros;</w:t>
      </w:r>
    </w:p>
    <w:p>
      <w:pPr>
        <w:pStyle w:val="ListParagraph"/>
        <w:numPr>
          <w:ilvl w:val="1"/>
          <w:numId w:val="268"/>
        </w:numPr>
        <w:tabs>
          <w:tab w:pos="1125" w:val="left" w:leader="none"/>
          <w:tab w:pos="1126" w:val="left" w:leader="none"/>
        </w:tabs>
        <w:spacing w:line="240" w:lineRule="auto" w:before="60" w:after="0"/>
        <w:ind w:left="1126" w:right="0" w:hanging="454"/>
        <w:jc w:val="left"/>
        <w:rPr>
          <w:sz w:val="20"/>
        </w:rPr>
      </w:pPr>
      <w:r>
        <w:rPr>
          <w:sz w:val="20"/>
        </w:rPr>
        <w:t>débil valor del potencial redox: valor inferior a +100</w:t>
      </w:r>
      <w:r>
        <w:rPr>
          <w:spacing w:val="-4"/>
          <w:sz w:val="20"/>
        </w:rPr>
        <w:t> </w:t>
      </w:r>
      <w:r>
        <w:rPr>
          <w:sz w:val="20"/>
        </w:rPr>
        <w:t>mV.</w:t>
      </w:r>
    </w:p>
    <w:p>
      <w:pPr>
        <w:pStyle w:val="ListParagraph"/>
        <w:numPr>
          <w:ilvl w:val="0"/>
          <w:numId w:val="268"/>
        </w:numPr>
        <w:tabs>
          <w:tab w:pos="672" w:val="left" w:leader="none"/>
          <w:tab w:pos="673" w:val="left" w:leader="none"/>
        </w:tabs>
        <w:spacing w:line="240" w:lineRule="auto" w:before="59" w:after="0"/>
        <w:ind w:left="672" w:right="453" w:hanging="454"/>
        <w:jc w:val="left"/>
        <w:rPr>
          <w:sz w:val="20"/>
        </w:rPr>
      </w:pPr>
      <w:r>
        <w:rPr>
          <w:sz w:val="20"/>
        </w:rPr>
        <w:t>En este caso, se podrá evitar su acción mediante la aportación de tierras químicamente neutras o de reacción básica (por adición de cal), empleando tubos con revestimientos especiales y emplean- do protecciones exteriores mediante fundas de film de</w:t>
      </w:r>
      <w:r>
        <w:rPr>
          <w:spacing w:val="-4"/>
          <w:sz w:val="20"/>
        </w:rPr>
        <w:t> </w:t>
      </w:r>
      <w:r>
        <w:rPr>
          <w:sz w:val="20"/>
        </w:rPr>
        <w:t>polietileno.</w:t>
      </w:r>
    </w:p>
    <w:p>
      <w:pPr>
        <w:pStyle w:val="ListParagraph"/>
        <w:numPr>
          <w:ilvl w:val="0"/>
          <w:numId w:val="268"/>
        </w:numPr>
        <w:tabs>
          <w:tab w:pos="672" w:val="left" w:leader="none"/>
          <w:tab w:pos="673" w:val="left" w:leader="none"/>
        </w:tabs>
        <w:spacing w:line="240" w:lineRule="auto" w:before="60" w:after="0"/>
        <w:ind w:left="672" w:right="408" w:hanging="454"/>
        <w:jc w:val="left"/>
        <w:rPr>
          <w:sz w:val="20"/>
        </w:rPr>
      </w:pPr>
      <w:r>
        <w:rPr>
          <w:sz w:val="20"/>
        </w:rPr>
        <w:t>En éste último caso, se utilizará tubo de PE de 0,2 mm de espesor y de diámetro superior al tubo de fundición. Como complemento, se utilizará alambre de acero con recubrimiento plastificador y tiras adhesivas de film de PE de unos 50 mm de</w:t>
      </w:r>
      <w:r>
        <w:rPr>
          <w:spacing w:val="-4"/>
          <w:sz w:val="20"/>
        </w:rPr>
        <w:t> </w:t>
      </w:r>
      <w:r>
        <w:rPr>
          <w:sz w:val="20"/>
        </w:rPr>
        <w:t>ancho.</w:t>
      </w:r>
    </w:p>
    <w:p>
      <w:pPr>
        <w:pStyle w:val="ListParagraph"/>
        <w:numPr>
          <w:ilvl w:val="0"/>
          <w:numId w:val="268"/>
        </w:numPr>
        <w:tabs>
          <w:tab w:pos="672" w:val="left" w:leader="none"/>
          <w:tab w:pos="673" w:val="left" w:leader="none"/>
        </w:tabs>
        <w:spacing w:line="240" w:lineRule="auto" w:before="60" w:after="0"/>
        <w:ind w:left="672" w:right="407" w:hanging="454"/>
        <w:jc w:val="left"/>
        <w:rPr>
          <w:sz w:val="20"/>
        </w:rPr>
      </w:pPr>
      <w:r>
        <w:rPr>
          <w:sz w:val="20"/>
        </w:rPr>
        <w:t>La protección de la tubería se realizará durante su montaje, mediante un primer tubo de PE que servirá de funda al tubo de fundición e irá colocado a lo largo de éste dejando al descubierto sus ex- tremos y un segundo tubo de 70 cm de longitud, aproximadamente, que hará de funda de la</w:t>
      </w:r>
      <w:r>
        <w:rPr>
          <w:spacing w:val="-10"/>
          <w:sz w:val="20"/>
        </w:rPr>
        <w:t> </w:t>
      </w:r>
      <w:r>
        <w:rPr>
          <w:sz w:val="20"/>
        </w:rPr>
        <w:t>unión.</w:t>
      </w:r>
    </w:p>
    <w:p>
      <w:pPr>
        <w:pStyle w:val="BodyText"/>
        <w:spacing w:before="6"/>
        <w:rPr>
          <w:sz w:val="17"/>
        </w:rPr>
      </w:pPr>
    </w:p>
    <w:p>
      <w:pPr>
        <w:pStyle w:val="Heading5"/>
        <w:numPr>
          <w:ilvl w:val="2"/>
          <w:numId w:val="255"/>
        </w:numPr>
        <w:tabs>
          <w:tab w:pos="787" w:val="left" w:leader="none"/>
        </w:tabs>
        <w:spacing w:line="240" w:lineRule="auto" w:before="0" w:after="0"/>
        <w:ind w:left="786" w:right="0" w:hanging="569"/>
        <w:jc w:val="left"/>
      </w:pPr>
      <w:r>
        <w:rPr/>
        <w:t>Ejecución de los elementos de conexión de las redes</w:t>
      </w:r>
      <w:r>
        <w:rPr>
          <w:spacing w:val="-5"/>
        </w:rPr>
        <w:t> </w:t>
      </w:r>
      <w:r>
        <w:rPr/>
        <w:t>enterradas</w:t>
      </w:r>
    </w:p>
    <w:p>
      <w:pPr>
        <w:pStyle w:val="BodyText"/>
        <w:spacing w:before="4"/>
        <w:rPr>
          <w:b/>
          <w:sz w:val="17"/>
        </w:rPr>
      </w:pPr>
    </w:p>
    <w:p>
      <w:pPr>
        <w:pStyle w:val="ListParagraph"/>
        <w:numPr>
          <w:ilvl w:val="3"/>
          <w:numId w:val="255"/>
        </w:numPr>
        <w:tabs>
          <w:tab w:pos="1352" w:val="left" w:leader="none"/>
          <w:tab w:pos="1353" w:val="left" w:leader="none"/>
        </w:tabs>
        <w:spacing w:line="240" w:lineRule="auto" w:before="1" w:after="0"/>
        <w:ind w:left="1352" w:right="0" w:hanging="1135"/>
        <w:jc w:val="left"/>
        <w:rPr>
          <w:b/>
          <w:sz w:val="20"/>
        </w:rPr>
      </w:pPr>
      <w:r>
        <w:rPr>
          <w:b/>
          <w:sz w:val="20"/>
        </w:rPr>
        <w:t>Arquetas</w:t>
      </w:r>
    </w:p>
    <w:p>
      <w:pPr>
        <w:pStyle w:val="ListParagraph"/>
        <w:numPr>
          <w:ilvl w:val="0"/>
          <w:numId w:val="269"/>
        </w:numPr>
        <w:tabs>
          <w:tab w:pos="672" w:val="left" w:leader="none"/>
          <w:tab w:pos="673" w:val="left" w:leader="none"/>
        </w:tabs>
        <w:spacing w:line="240" w:lineRule="auto" w:before="78" w:after="0"/>
        <w:ind w:left="672" w:right="440" w:hanging="454"/>
        <w:jc w:val="left"/>
        <w:rPr>
          <w:sz w:val="20"/>
        </w:rPr>
      </w:pPr>
      <w:r>
        <w:rPr>
          <w:sz w:val="20"/>
        </w:rPr>
        <w:t>Si son fabricadas “in situ” podrán ser construidas con fábrica de ladrillo macizo de medio pie de espesor, enfoscada y bruñida interiormente, se apoyarán sobre una solera de hormigón H-100 de 10 cm de espesor y se cubrirán con una tapa de hormigón prefabricado de 5 cm de espesor. El es- pesor de las realizadas con hormigón será de 10 cm. La tapa será hermética con junta de goma pa- ra evitar el paso de olores y</w:t>
      </w:r>
      <w:r>
        <w:rPr>
          <w:spacing w:val="-7"/>
          <w:sz w:val="20"/>
        </w:rPr>
        <w:t> </w:t>
      </w:r>
      <w:r>
        <w:rPr>
          <w:sz w:val="20"/>
        </w:rPr>
        <w:t>gases.</w:t>
      </w:r>
    </w:p>
    <w:p>
      <w:pPr>
        <w:spacing w:after="0" w:line="240" w:lineRule="auto"/>
        <w:jc w:val="left"/>
        <w:rPr>
          <w:sz w:val="20"/>
        </w:rPr>
        <w:sectPr>
          <w:footerReference w:type="default" r:id="rId152"/>
          <w:pgSz w:w="11910" w:h="16840"/>
          <w:pgMar w:footer="642" w:header="714" w:top="1320" w:bottom="840" w:left="1200" w:right="740"/>
        </w:sectPr>
      </w:pPr>
    </w:p>
    <w:p>
      <w:pPr>
        <w:pStyle w:val="ListParagraph"/>
        <w:numPr>
          <w:ilvl w:val="0"/>
          <w:numId w:val="269"/>
        </w:numPr>
        <w:tabs>
          <w:tab w:pos="672" w:val="left" w:leader="none"/>
          <w:tab w:pos="673" w:val="left" w:leader="none"/>
        </w:tabs>
        <w:spacing w:line="240" w:lineRule="auto" w:before="91" w:after="0"/>
        <w:ind w:left="672" w:right="577" w:hanging="454"/>
        <w:jc w:val="left"/>
        <w:rPr>
          <w:sz w:val="20"/>
        </w:rPr>
      </w:pPr>
      <w:r>
        <w:rPr>
          <w:sz w:val="20"/>
        </w:rPr>
        <w:t>Las arquetas sumidero se cubrirán con rejilla metálica apoyada sobre angulares. Cuando estas arquetas sumideros tengan dimensiones considerables, como en el caso de rampas de garajes, la rejilla plana será desmontable. El desagüe se realizará por uno de sus laterales, con un diámetro mínimo de 110 mm, vertiendo a una arqueta sifónica o a un separador de grasas y</w:t>
      </w:r>
      <w:r>
        <w:rPr>
          <w:spacing w:val="-13"/>
          <w:sz w:val="20"/>
        </w:rPr>
        <w:t> </w:t>
      </w:r>
      <w:r>
        <w:rPr>
          <w:sz w:val="20"/>
        </w:rPr>
        <w:t>fangos.</w:t>
      </w:r>
    </w:p>
    <w:p>
      <w:pPr>
        <w:pStyle w:val="ListParagraph"/>
        <w:numPr>
          <w:ilvl w:val="0"/>
          <w:numId w:val="269"/>
        </w:numPr>
        <w:tabs>
          <w:tab w:pos="672" w:val="left" w:leader="none"/>
          <w:tab w:pos="673" w:val="left" w:leader="none"/>
        </w:tabs>
        <w:spacing w:line="240" w:lineRule="auto" w:before="59" w:after="0"/>
        <w:ind w:left="672" w:right="481" w:hanging="454"/>
        <w:jc w:val="left"/>
        <w:rPr>
          <w:sz w:val="20"/>
        </w:rPr>
      </w:pPr>
      <w:r>
        <w:rPr>
          <w:sz w:val="20"/>
        </w:rPr>
        <w:t>En las arquetas sifónicas, el conducto de salida de las aguas irá provisto de un codo de 90º, siendo el espesor de la lámina de agua de 45</w:t>
      </w:r>
      <w:r>
        <w:rPr>
          <w:spacing w:val="-5"/>
          <w:sz w:val="20"/>
        </w:rPr>
        <w:t> </w:t>
      </w:r>
      <w:r>
        <w:rPr>
          <w:sz w:val="20"/>
        </w:rPr>
        <w:t>cm.</w:t>
      </w:r>
    </w:p>
    <w:p>
      <w:pPr>
        <w:pStyle w:val="ListParagraph"/>
        <w:numPr>
          <w:ilvl w:val="0"/>
          <w:numId w:val="269"/>
        </w:numPr>
        <w:tabs>
          <w:tab w:pos="672" w:val="left" w:leader="none"/>
          <w:tab w:pos="673" w:val="left" w:leader="none"/>
        </w:tabs>
        <w:spacing w:line="240" w:lineRule="auto" w:before="62" w:after="0"/>
        <w:ind w:left="672" w:right="541" w:hanging="454"/>
        <w:jc w:val="left"/>
        <w:rPr>
          <w:sz w:val="20"/>
        </w:rPr>
      </w:pPr>
      <w:r>
        <w:rPr>
          <w:sz w:val="20"/>
        </w:rPr>
        <w:t>Los encuentros de las paredes laterales se deben realizar a media caña, para evitar el depósito de materias sólidas en las esquinas. Igualmente, se conducirán las aguas entre la entrada y la salida mediante medias cañas realizadas sobre cama de hormigón formando</w:t>
      </w:r>
      <w:r>
        <w:rPr>
          <w:spacing w:val="-6"/>
          <w:sz w:val="20"/>
        </w:rPr>
        <w:t> </w:t>
      </w:r>
      <w:r>
        <w:rPr>
          <w:sz w:val="20"/>
        </w:rPr>
        <w:t>pendiente.</w:t>
      </w:r>
    </w:p>
    <w:p>
      <w:pPr>
        <w:pStyle w:val="BodyText"/>
        <w:spacing w:before="4"/>
        <w:rPr>
          <w:sz w:val="17"/>
        </w:rPr>
      </w:pPr>
    </w:p>
    <w:p>
      <w:pPr>
        <w:pStyle w:val="Heading5"/>
        <w:numPr>
          <w:ilvl w:val="3"/>
          <w:numId w:val="255"/>
        </w:numPr>
        <w:tabs>
          <w:tab w:pos="1352" w:val="left" w:leader="none"/>
          <w:tab w:pos="1353" w:val="left" w:leader="none"/>
        </w:tabs>
        <w:spacing w:line="240" w:lineRule="auto" w:before="1" w:after="0"/>
        <w:ind w:left="1352" w:right="0" w:hanging="1135"/>
        <w:jc w:val="left"/>
      </w:pPr>
      <w:r>
        <w:rPr/>
        <w:t>Pozos</w:t>
      </w:r>
    </w:p>
    <w:p>
      <w:pPr>
        <w:pStyle w:val="BodyText"/>
        <w:tabs>
          <w:tab w:pos="672" w:val="left" w:leader="none"/>
        </w:tabs>
        <w:spacing w:before="79"/>
        <w:ind w:left="672" w:right="494" w:hanging="454"/>
      </w:pPr>
      <w:r>
        <w:rPr/>
        <w:t>1</w:t>
        <w:tab/>
        <w:t>Si son fabricados “in situ”, se construirán con fábrica de ladrillo macizo de 1 pie de espesor que irá enfoscada y bruñida interiormente. Se apoyará sobre solera de hormigón H-100 de 20 cm de espe- sor y se cubrirá con una tapa hermética de hierro fundido. Los prefabricados tendrán unas presta- ciones</w:t>
      </w:r>
      <w:r>
        <w:rPr>
          <w:spacing w:val="-2"/>
        </w:rPr>
        <w:t> </w:t>
      </w:r>
      <w:r>
        <w:rPr/>
        <w:t>similares.</w:t>
      </w:r>
    </w:p>
    <w:p>
      <w:pPr>
        <w:pStyle w:val="BodyText"/>
        <w:spacing w:before="4"/>
        <w:rPr>
          <w:sz w:val="17"/>
        </w:rPr>
      </w:pPr>
    </w:p>
    <w:p>
      <w:pPr>
        <w:pStyle w:val="Heading5"/>
        <w:numPr>
          <w:ilvl w:val="3"/>
          <w:numId w:val="255"/>
        </w:numPr>
        <w:tabs>
          <w:tab w:pos="1352" w:val="left" w:leader="none"/>
          <w:tab w:pos="1353" w:val="left" w:leader="none"/>
        </w:tabs>
        <w:spacing w:line="240" w:lineRule="auto" w:before="0" w:after="0"/>
        <w:ind w:left="1352" w:right="0" w:hanging="1135"/>
        <w:jc w:val="left"/>
      </w:pPr>
      <w:r>
        <w:rPr/>
        <w:t>Separadores</w:t>
      </w:r>
    </w:p>
    <w:p>
      <w:pPr>
        <w:pStyle w:val="ListParagraph"/>
        <w:numPr>
          <w:ilvl w:val="0"/>
          <w:numId w:val="270"/>
        </w:numPr>
        <w:tabs>
          <w:tab w:pos="672" w:val="left" w:leader="none"/>
          <w:tab w:pos="673" w:val="left" w:leader="none"/>
        </w:tabs>
        <w:spacing w:line="240" w:lineRule="auto" w:before="80" w:after="0"/>
        <w:ind w:left="672" w:right="494" w:hanging="454"/>
        <w:jc w:val="left"/>
        <w:rPr>
          <w:sz w:val="20"/>
        </w:rPr>
      </w:pPr>
      <w:r>
        <w:rPr>
          <w:sz w:val="20"/>
        </w:rPr>
        <w:t>Si son fabricados “in situ”, se construirán con fábrica de ladrillo macizo de 1 pie de espesor que irá enfoscada y bruñida interiormente. Se apoyará sobre solera de hormigón H-100 de 20 cm de espe- sor y se cubrirá con una tapa hermética de hierro fundido,</w:t>
      </w:r>
      <w:r>
        <w:rPr>
          <w:spacing w:val="-3"/>
          <w:sz w:val="20"/>
        </w:rPr>
        <w:t> </w:t>
      </w:r>
      <w:r>
        <w:rPr>
          <w:sz w:val="20"/>
        </w:rPr>
        <w:t>practicable.</w:t>
      </w:r>
    </w:p>
    <w:p>
      <w:pPr>
        <w:pStyle w:val="ListParagraph"/>
        <w:numPr>
          <w:ilvl w:val="0"/>
          <w:numId w:val="270"/>
        </w:numPr>
        <w:tabs>
          <w:tab w:pos="672" w:val="left" w:leader="none"/>
          <w:tab w:pos="673" w:val="left" w:leader="none"/>
        </w:tabs>
        <w:spacing w:line="240" w:lineRule="auto" w:before="60" w:after="0"/>
        <w:ind w:left="672" w:right="552" w:hanging="454"/>
        <w:jc w:val="left"/>
        <w:rPr>
          <w:sz w:val="20"/>
        </w:rPr>
      </w:pPr>
      <w:r>
        <w:rPr>
          <w:sz w:val="20"/>
        </w:rPr>
        <w:t>En el caso que el separador se construya en hormigón, el espesor de las paredes será como míni- mo de 10 cm y la solera de 15</w:t>
      </w:r>
      <w:r>
        <w:rPr>
          <w:spacing w:val="-6"/>
          <w:sz w:val="20"/>
        </w:rPr>
        <w:t> </w:t>
      </w:r>
      <w:r>
        <w:rPr>
          <w:sz w:val="20"/>
        </w:rPr>
        <w:t>cm.</w:t>
      </w:r>
    </w:p>
    <w:p>
      <w:pPr>
        <w:pStyle w:val="ListParagraph"/>
        <w:numPr>
          <w:ilvl w:val="0"/>
          <w:numId w:val="270"/>
        </w:numPr>
        <w:tabs>
          <w:tab w:pos="672" w:val="left" w:leader="none"/>
          <w:tab w:pos="673" w:val="left" w:leader="none"/>
        </w:tabs>
        <w:spacing w:line="240" w:lineRule="auto" w:before="60" w:after="0"/>
        <w:ind w:left="672" w:right="408" w:hanging="454"/>
        <w:jc w:val="left"/>
        <w:rPr>
          <w:sz w:val="20"/>
        </w:rPr>
      </w:pPr>
      <w:r>
        <w:rPr>
          <w:sz w:val="20"/>
        </w:rPr>
        <w:t>Cuando se exija por las condiciones de evacuación se utilizará un separador con dos etapas de tratamiento: en la primera se realizará un pozo separador de fango, en donde se depositarán las materias gruesas, en la segunda se hará un pozo separador de grasas, cayendo al fondo del mismo las materias</w:t>
      </w:r>
      <w:r>
        <w:rPr>
          <w:spacing w:val="-1"/>
          <w:sz w:val="20"/>
        </w:rPr>
        <w:t> </w:t>
      </w:r>
      <w:r>
        <w:rPr>
          <w:sz w:val="20"/>
        </w:rPr>
        <w:t>ligeras.</w:t>
      </w:r>
    </w:p>
    <w:p>
      <w:pPr>
        <w:pStyle w:val="ListParagraph"/>
        <w:numPr>
          <w:ilvl w:val="0"/>
          <w:numId w:val="270"/>
        </w:numPr>
        <w:tabs>
          <w:tab w:pos="672" w:val="left" w:leader="none"/>
          <w:tab w:pos="673" w:val="left" w:leader="none"/>
        </w:tabs>
        <w:spacing w:line="240" w:lineRule="auto" w:before="60" w:after="0"/>
        <w:ind w:left="672" w:right="476" w:hanging="454"/>
        <w:jc w:val="left"/>
        <w:rPr>
          <w:sz w:val="20"/>
        </w:rPr>
      </w:pPr>
      <w:r>
        <w:rPr>
          <w:sz w:val="20"/>
        </w:rPr>
        <w:t>En todo caso, deben estar dotados de una eficaz ventilación, que se realizará con tubo de 100 mm, hasta la cubierta del</w:t>
      </w:r>
      <w:r>
        <w:rPr>
          <w:spacing w:val="-5"/>
          <w:sz w:val="20"/>
        </w:rPr>
        <w:t> </w:t>
      </w:r>
      <w:r>
        <w:rPr>
          <w:sz w:val="20"/>
        </w:rPr>
        <w:t>edificio.</w:t>
      </w:r>
    </w:p>
    <w:p>
      <w:pPr>
        <w:pStyle w:val="ListParagraph"/>
        <w:numPr>
          <w:ilvl w:val="0"/>
          <w:numId w:val="270"/>
        </w:numPr>
        <w:tabs>
          <w:tab w:pos="672" w:val="left" w:leader="none"/>
          <w:tab w:pos="673" w:val="left" w:leader="none"/>
        </w:tabs>
        <w:spacing w:line="240" w:lineRule="auto" w:before="60" w:after="0"/>
        <w:ind w:left="672" w:right="619" w:hanging="454"/>
        <w:jc w:val="left"/>
        <w:rPr>
          <w:sz w:val="20"/>
        </w:rPr>
      </w:pPr>
      <w:r>
        <w:rPr>
          <w:sz w:val="20"/>
        </w:rPr>
        <w:t>El material de revestimiento será inatacable pudiendo realizarse mediante materiales cerámicos o vidriados.</w:t>
      </w:r>
    </w:p>
    <w:p>
      <w:pPr>
        <w:pStyle w:val="ListParagraph"/>
        <w:numPr>
          <w:ilvl w:val="0"/>
          <w:numId w:val="270"/>
        </w:numPr>
        <w:tabs>
          <w:tab w:pos="672" w:val="left" w:leader="none"/>
          <w:tab w:pos="673" w:val="left" w:leader="none"/>
        </w:tabs>
        <w:spacing w:line="240" w:lineRule="auto" w:before="61" w:after="0"/>
        <w:ind w:left="672" w:right="478" w:hanging="454"/>
        <w:jc w:val="left"/>
        <w:rPr>
          <w:sz w:val="20"/>
        </w:rPr>
      </w:pPr>
      <w:r>
        <w:rPr>
          <w:sz w:val="20"/>
        </w:rPr>
        <w:t>El conducto de alimentación al separador llevará un sifón tal que su generatriz inferior esté a 5 cm sobre el nivel del agua en el separador siendo de 10 cm la distancia del primer tabique interior al conducto de llegada. Estos serán inamovibles sobresaliendo 20 cm del nivel de aceites y teniendo, como mínimo, otros 20 cm de altura mínima sumergida. Su separación entre sí será, como mínimo, la anchura total del separador de grasas. Los conductos de evacuación serán de gres vidriado con una pendiente mínima del 3 % para facilitar una rápida evacuación a la red</w:t>
      </w:r>
      <w:r>
        <w:rPr>
          <w:spacing w:val="-7"/>
          <w:sz w:val="20"/>
        </w:rPr>
        <w:t> </w:t>
      </w:r>
      <w:r>
        <w:rPr>
          <w:sz w:val="20"/>
        </w:rPr>
        <w:t>general.</w:t>
      </w:r>
    </w:p>
    <w:p>
      <w:pPr>
        <w:pStyle w:val="BodyText"/>
        <w:spacing w:before="4"/>
        <w:rPr>
          <w:sz w:val="24"/>
        </w:rPr>
      </w:pPr>
    </w:p>
    <w:p>
      <w:pPr>
        <w:pStyle w:val="Heading3"/>
        <w:numPr>
          <w:ilvl w:val="1"/>
          <w:numId w:val="255"/>
        </w:numPr>
        <w:tabs>
          <w:tab w:pos="786" w:val="left" w:leader="none"/>
          <w:tab w:pos="787" w:val="left" w:leader="none"/>
        </w:tabs>
        <w:spacing w:line="240" w:lineRule="auto" w:before="1" w:after="0"/>
        <w:ind w:left="786" w:right="0" w:hanging="569"/>
        <w:jc w:val="left"/>
      </w:pPr>
      <w:r>
        <w:rPr/>
        <w:t>Ejecución de los sistemas de elevación y</w:t>
      </w:r>
      <w:r>
        <w:rPr>
          <w:spacing w:val="-2"/>
        </w:rPr>
        <w:t> </w:t>
      </w:r>
      <w:r>
        <w:rPr/>
        <w:t>bombeo</w:t>
      </w:r>
    </w:p>
    <w:p>
      <w:pPr>
        <w:pStyle w:val="Heading5"/>
        <w:numPr>
          <w:ilvl w:val="2"/>
          <w:numId w:val="255"/>
        </w:numPr>
        <w:tabs>
          <w:tab w:pos="787" w:val="left" w:leader="none"/>
        </w:tabs>
        <w:spacing w:line="240" w:lineRule="auto" w:before="200" w:after="0"/>
        <w:ind w:left="786" w:right="0" w:hanging="569"/>
        <w:jc w:val="left"/>
      </w:pPr>
      <w:r>
        <w:rPr/>
        <w:t>Depósito de</w:t>
      </w:r>
      <w:r>
        <w:rPr>
          <w:spacing w:val="-2"/>
        </w:rPr>
        <w:t> </w:t>
      </w:r>
      <w:r>
        <w:rPr/>
        <w:t>recepción</w:t>
      </w:r>
    </w:p>
    <w:p>
      <w:pPr>
        <w:pStyle w:val="ListParagraph"/>
        <w:numPr>
          <w:ilvl w:val="0"/>
          <w:numId w:val="271"/>
        </w:numPr>
        <w:tabs>
          <w:tab w:pos="672" w:val="left" w:leader="none"/>
          <w:tab w:pos="673" w:val="left" w:leader="none"/>
        </w:tabs>
        <w:spacing w:line="240" w:lineRule="auto" w:before="98" w:after="0"/>
        <w:ind w:left="672" w:right="518" w:hanging="454"/>
        <w:jc w:val="left"/>
        <w:rPr>
          <w:sz w:val="20"/>
        </w:rPr>
      </w:pPr>
      <w:r>
        <w:rPr>
          <w:sz w:val="20"/>
        </w:rPr>
        <w:t>El depósito acumulador de </w:t>
      </w:r>
      <w:r>
        <w:rPr>
          <w:i/>
          <w:sz w:val="20"/>
        </w:rPr>
        <w:t>aguas residuales </w:t>
      </w:r>
      <w:r>
        <w:rPr>
          <w:sz w:val="20"/>
        </w:rPr>
        <w:t>debe ser de construcción estanca para evitar la salida de malos olores y estará dotado de una tubería de ventilación con un diámetro igual a la mitad del de acometida y como mínimo de 80</w:t>
      </w:r>
      <w:r>
        <w:rPr>
          <w:spacing w:val="-4"/>
          <w:sz w:val="20"/>
        </w:rPr>
        <w:t> </w:t>
      </w:r>
      <w:r>
        <w:rPr>
          <w:sz w:val="20"/>
        </w:rPr>
        <w:t>mm.</w:t>
      </w:r>
    </w:p>
    <w:p>
      <w:pPr>
        <w:pStyle w:val="ListParagraph"/>
        <w:numPr>
          <w:ilvl w:val="0"/>
          <w:numId w:val="271"/>
        </w:numPr>
        <w:tabs>
          <w:tab w:pos="673" w:val="left" w:leader="none"/>
        </w:tabs>
        <w:spacing w:line="240" w:lineRule="auto" w:before="60" w:after="0"/>
        <w:ind w:left="672" w:right="488" w:hanging="454"/>
        <w:jc w:val="both"/>
        <w:rPr>
          <w:sz w:val="20"/>
        </w:rPr>
      </w:pPr>
      <w:r>
        <w:rPr>
          <w:sz w:val="20"/>
        </w:rPr>
        <w:t>Tendrá, preferiblemente, en planta una superficie de sección circular, para evitar la acumulación de depósitos sólidos.</w:t>
      </w:r>
    </w:p>
    <w:p>
      <w:pPr>
        <w:pStyle w:val="ListParagraph"/>
        <w:numPr>
          <w:ilvl w:val="0"/>
          <w:numId w:val="271"/>
        </w:numPr>
        <w:tabs>
          <w:tab w:pos="673" w:val="left" w:leader="none"/>
        </w:tabs>
        <w:spacing w:line="240" w:lineRule="auto" w:before="61" w:after="0"/>
        <w:ind w:left="672" w:right="441" w:hanging="454"/>
        <w:jc w:val="both"/>
        <w:rPr>
          <w:sz w:val="20"/>
        </w:rPr>
      </w:pPr>
      <w:r>
        <w:rPr>
          <w:sz w:val="20"/>
        </w:rPr>
        <w:t>Debe quedar un mínimo de 10 cm entre el nivel máximo del agua en el depósito y la generatriz infe- rior de la tubería de acometida, o de la parte más baja de las generatrices inferiores de las tuberías de acometida, para evitar su inundación y permitir la circulación del</w:t>
      </w:r>
      <w:r>
        <w:rPr>
          <w:spacing w:val="-8"/>
          <w:sz w:val="20"/>
        </w:rPr>
        <w:t> </w:t>
      </w:r>
      <w:r>
        <w:rPr>
          <w:sz w:val="20"/>
        </w:rPr>
        <w:t>aire.</w:t>
      </w:r>
    </w:p>
    <w:p>
      <w:pPr>
        <w:pStyle w:val="ListParagraph"/>
        <w:numPr>
          <w:ilvl w:val="0"/>
          <w:numId w:val="271"/>
        </w:numPr>
        <w:tabs>
          <w:tab w:pos="672" w:val="left" w:leader="none"/>
          <w:tab w:pos="673" w:val="left" w:leader="none"/>
        </w:tabs>
        <w:spacing w:line="240" w:lineRule="auto" w:before="60" w:after="0"/>
        <w:ind w:left="672" w:right="595" w:hanging="454"/>
        <w:jc w:val="left"/>
        <w:rPr>
          <w:sz w:val="20"/>
        </w:rPr>
      </w:pPr>
      <w:r>
        <w:rPr>
          <w:sz w:val="20"/>
        </w:rPr>
        <w:t>Se dejarán al menos 20 cm entre el nivel mínimo del agua en el depósito y el fondo para que la boca de aspiración de la bomba esté siempre sumergida, aunque esta cota podrá variar según re- quisitos específicos del</w:t>
      </w:r>
      <w:r>
        <w:rPr>
          <w:spacing w:val="-1"/>
          <w:sz w:val="20"/>
        </w:rPr>
        <w:t> </w:t>
      </w:r>
      <w:r>
        <w:rPr>
          <w:sz w:val="20"/>
        </w:rPr>
        <w:t>fabricante.</w:t>
      </w:r>
    </w:p>
    <w:p>
      <w:pPr>
        <w:pStyle w:val="ListParagraph"/>
        <w:numPr>
          <w:ilvl w:val="0"/>
          <w:numId w:val="271"/>
        </w:numPr>
        <w:tabs>
          <w:tab w:pos="672" w:val="left" w:leader="none"/>
          <w:tab w:pos="673" w:val="left" w:leader="none"/>
        </w:tabs>
        <w:spacing w:line="240" w:lineRule="auto" w:before="60" w:after="0"/>
        <w:ind w:left="672" w:right="675" w:hanging="454"/>
        <w:jc w:val="left"/>
        <w:rPr>
          <w:sz w:val="20"/>
        </w:rPr>
      </w:pPr>
      <w:r>
        <w:rPr>
          <w:sz w:val="20"/>
        </w:rPr>
        <w:t>La altura total será de al menos 1 m, a la que habrá que añadir la diferencia de cota entre el nivel del suelo y la generatriz inferior de la tubería, para obtener la profundidad total del</w:t>
      </w:r>
      <w:r>
        <w:rPr>
          <w:spacing w:val="-9"/>
          <w:sz w:val="20"/>
        </w:rPr>
        <w:t> </w:t>
      </w:r>
      <w:r>
        <w:rPr>
          <w:sz w:val="20"/>
        </w:rPr>
        <w:t>depósito.</w:t>
      </w:r>
    </w:p>
    <w:p>
      <w:pPr>
        <w:spacing w:after="0" w:line="240" w:lineRule="auto"/>
        <w:jc w:val="left"/>
        <w:rPr>
          <w:sz w:val="20"/>
        </w:rPr>
        <w:sectPr>
          <w:footerReference w:type="default" r:id="rId153"/>
          <w:pgSz w:w="11910" w:h="16840"/>
          <w:pgMar w:footer="642" w:header="714" w:top="1320" w:bottom="840" w:left="1200" w:right="740"/>
          <w:pgNumType w:start="141"/>
        </w:sectPr>
      </w:pPr>
    </w:p>
    <w:p>
      <w:pPr>
        <w:pStyle w:val="ListParagraph"/>
        <w:numPr>
          <w:ilvl w:val="0"/>
          <w:numId w:val="271"/>
        </w:numPr>
        <w:tabs>
          <w:tab w:pos="672" w:val="left" w:leader="none"/>
          <w:tab w:pos="673" w:val="left" w:leader="none"/>
        </w:tabs>
        <w:spacing w:line="240" w:lineRule="auto" w:before="91" w:after="0"/>
        <w:ind w:left="672" w:right="509" w:hanging="454"/>
        <w:jc w:val="left"/>
        <w:rPr>
          <w:sz w:val="20"/>
        </w:rPr>
      </w:pPr>
      <w:r>
        <w:rPr>
          <w:sz w:val="20"/>
        </w:rPr>
        <w:t>Cuando se utilicen bombas de tipo sumergible, se alojarán en una fosa para reducir la cantidad de agua que queda por debajo de la boca de aspiración. La misma forma podrá tener el fondo del tan- que cuando existan dos cámaras, una para recibir las aguas (fosa húmeda) y otra para alojar las bombas (fosa</w:t>
      </w:r>
      <w:r>
        <w:rPr>
          <w:spacing w:val="-1"/>
          <w:sz w:val="20"/>
        </w:rPr>
        <w:t> </w:t>
      </w:r>
      <w:r>
        <w:rPr>
          <w:sz w:val="20"/>
        </w:rPr>
        <w:t>seca).</w:t>
      </w:r>
    </w:p>
    <w:p>
      <w:pPr>
        <w:pStyle w:val="ListParagraph"/>
        <w:numPr>
          <w:ilvl w:val="0"/>
          <w:numId w:val="271"/>
        </w:numPr>
        <w:tabs>
          <w:tab w:pos="672" w:val="left" w:leader="none"/>
          <w:tab w:pos="673" w:val="left" w:leader="none"/>
        </w:tabs>
        <w:spacing w:line="240" w:lineRule="auto" w:before="59" w:after="0"/>
        <w:ind w:left="672" w:right="0" w:hanging="455"/>
        <w:jc w:val="left"/>
        <w:rPr>
          <w:sz w:val="20"/>
        </w:rPr>
      </w:pPr>
      <w:r>
        <w:rPr>
          <w:sz w:val="20"/>
        </w:rPr>
        <w:t>El fondo del tanque debe tener una pendiente mínima del 25</w:t>
      </w:r>
      <w:r>
        <w:rPr>
          <w:spacing w:val="-3"/>
          <w:sz w:val="20"/>
        </w:rPr>
        <w:t> </w:t>
      </w:r>
      <w:r>
        <w:rPr>
          <w:sz w:val="20"/>
        </w:rPr>
        <w:t>%.</w:t>
      </w:r>
    </w:p>
    <w:p>
      <w:pPr>
        <w:pStyle w:val="ListParagraph"/>
        <w:numPr>
          <w:ilvl w:val="0"/>
          <w:numId w:val="271"/>
        </w:numPr>
        <w:tabs>
          <w:tab w:pos="672" w:val="left" w:leader="none"/>
          <w:tab w:pos="673" w:val="left" w:leader="none"/>
        </w:tabs>
        <w:spacing w:line="240" w:lineRule="auto" w:before="61" w:after="0"/>
        <w:ind w:left="672" w:right="0" w:hanging="455"/>
        <w:jc w:val="left"/>
        <w:rPr>
          <w:sz w:val="20"/>
        </w:rPr>
      </w:pPr>
      <w:r>
        <w:rPr>
          <w:sz w:val="20"/>
        </w:rPr>
        <w:t>El caudal de entrada de aire al tanque debe ser igual al de la</w:t>
      </w:r>
      <w:r>
        <w:rPr>
          <w:spacing w:val="-4"/>
          <w:sz w:val="20"/>
        </w:rPr>
        <w:t> </w:t>
      </w:r>
      <w:r>
        <w:rPr>
          <w:sz w:val="20"/>
        </w:rPr>
        <w:t>bomba.</w:t>
      </w:r>
    </w:p>
    <w:p>
      <w:pPr>
        <w:pStyle w:val="BodyText"/>
        <w:spacing w:before="7"/>
        <w:rPr>
          <w:sz w:val="17"/>
        </w:rPr>
      </w:pPr>
    </w:p>
    <w:p>
      <w:pPr>
        <w:pStyle w:val="Heading5"/>
        <w:numPr>
          <w:ilvl w:val="2"/>
          <w:numId w:val="255"/>
        </w:numPr>
        <w:tabs>
          <w:tab w:pos="787" w:val="left" w:leader="none"/>
        </w:tabs>
        <w:spacing w:line="240" w:lineRule="auto" w:before="0" w:after="0"/>
        <w:ind w:left="786" w:right="0" w:hanging="569"/>
        <w:jc w:val="left"/>
      </w:pPr>
      <w:r>
        <w:rPr/>
        <w:t>Dispositivos de elevación y</w:t>
      </w:r>
      <w:r>
        <w:rPr>
          <w:spacing w:val="-4"/>
        </w:rPr>
        <w:t> </w:t>
      </w:r>
      <w:r>
        <w:rPr/>
        <w:t>control</w:t>
      </w:r>
    </w:p>
    <w:p>
      <w:pPr>
        <w:pStyle w:val="ListParagraph"/>
        <w:numPr>
          <w:ilvl w:val="0"/>
          <w:numId w:val="272"/>
        </w:numPr>
        <w:tabs>
          <w:tab w:pos="672" w:val="left" w:leader="none"/>
          <w:tab w:pos="673" w:val="left" w:leader="none"/>
        </w:tabs>
        <w:spacing w:line="240" w:lineRule="auto" w:before="97" w:after="0"/>
        <w:ind w:left="672" w:right="551" w:hanging="454"/>
        <w:jc w:val="left"/>
        <w:rPr>
          <w:sz w:val="20"/>
        </w:rPr>
      </w:pPr>
      <w:r>
        <w:rPr>
          <w:sz w:val="20"/>
        </w:rPr>
        <w:t>Las bombas tendrán un diseño que garantice una protección adecuada contra las materias sólidas en suspensión en el</w:t>
      </w:r>
      <w:r>
        <w:rPr>
          <w:spacing w:val="-2"/>
          <w:sz w:val="20"/>
        </w:rPr>
        <w:t> </w:t>
      </w:r>
      <w:r>
        <w:rPr>
          <w:sz w:val="20"/>
        </w:rPr>
        <w:t>agua.</w:t>
      </w:r>
    </w:p>
    <w:p>
      <w:pPr>
        <w:pStyle w:val="ListParagraph"/>
        <w:numPr>
          <w:ilvl w:val="0"/>
          <w:numId w:val="272"/>
        </w:numPr>
        <w:tabs>
          <w:tab w:pos="672" w:val="left" w:leader="none"/>
          <w:tab w:pos="673" w:val="left" w:leader="none"/>
        </w:tabs>
        <w:spacing w:line="240" w:lineRule="auto" w:before="61" w:after="0"/>
        <w:ind w:left="672" w:right="467" w:hanging="454"/>
        <w:jc w:val="left"/>
        <w:rPr>
          <w:sz w:val="20"/>
        </w:rPr>
      </w:pPr>
      <w:r>
        <w:rPr>
          <w:sz w:val="20"/>
        </w:rPr>
        <w:t>Para controlar la marcha y parada de la bomba se utilizarán interruptores de nivel, instalados en los niveles alto y bajo respectivamente. Se instalará además un nivel de alarma por encima del nivel superior y otro de seguridad por debajo del nivel</w:t>
      </w:r>
      <w:r>
        <w:rPr>
          <w:spacing w:val="-5"/>
          <w:sz w:val="20"/>
        </w:rPr>
        <w:t> </w:t>
      </w:r>
      <w:r>
        <w:rPr>
          <w:sz w:val="20"/>
        </w:rPr>
        <w:t>mínimo.</w:t>
      </w:r>
    </w:p>
    <w:p>
      <w:pPr>
        <w:pStyle w:val="ListParagraph"/>
        <w:numPr>
          <w:ilvl w:val="0"/>
          <w:numId w:val="272"/>
        </w:numPr>
        <w:tabs>
          <w:tab w:pos="672" w:val="left" w:leader="none"/>
          <w:tab w:pos="673" w:val="left" w:leader="none"/>
        </w:tabs>
        <w:spacing w:line="240" w:lineRule="auto" w:before="59" w:after="0"/>
        <w:ind w:left="672" w:right="551" w:hanging="454"/>
        <w:jc w:val="left"/>
        <w:rPr>
          <w:sz w:val="20"/>
        </w:rPr>
      </w:pPr>
      <w:r>
        <w:rPr>
          <w:sz w:val="20"/>
        </w:rPr>
        <w:t>Si las bombas son dos o más, se multiplicará proporcionalmente el número de interruptores. Se añadirá, además un dispositivo para alternar el funcionamiento de las bombas con el fin de mante- nerlas en igual estado de uso, con un funcionamiento de las bombas</w:t>
      </w:r>
      <w:r>
        <w:rPr>
          <w:spacing w:val="-8"/>
          <w:sz w:val="20"/>
        </w:rPr>
        <w:t> </w:t>
      </w:r>
      <w:r>
        <w:rPr>
          <w:sz w:val="20"/>
        </w:rPr>
        <w:t>secuencial.</w:t>
      </w:r>
    </w:p>
    <w:p>
      <w:pPr>
        <w:pStyle w:val="ListParagraph"/>
        <w:numPr>
          <w:ilvl w:val="0"/>
          <w:numId w:val="272"/>
        </w:numPr>
        <w:tabs>
          <w:tab w:pos="672" w:val="left" w:leader="none"/>
          <w:tab w:pos="673" w:val="left" w:leader="none"/>
        </w:tabs>
        <w:spacing w:line="240" w:lineRule="auto" w:before="60" w:after="0"/>
        <w:ind w:left="672" w:right="473" w:hanging="454"/>
        <w:jc w:val="left"/>
        <w:rPr>
          <w:sz w:val="20"/>
        </w:rPr>
      </w:pPr>
      <w:r>
        <w:rPr>
          <w:sz w:val="20"/>
        </w:rPr>
        <w:t>Cuando exista riesgo de flotación de los equipos, éstos se fijarán a su alojamiento para evitar dicho riesgo. En caso de existencia de fosa seca, ésta dispondrá de espacio suficiente para que haya, al menos, 600 mm alrededor y por encima de las partes o componentes que puedan necesitar mante- nimiento. Igualmente, se le dotará de sumidero de al menos 100 mm de diámetro, ventilación ade- cuada e iluminación mínima de 200</w:t>
      </w:r>
      <w:r>
        <w:rPr>
          <w:spacing w:val="-1"/>
          <w:sz w:val="20"/>
        </w:rPr>
        <w:t> </w:t>
      </w:r>
      <w:r>
        <w:rPr>
          <w:sz w:val="20"/>
        </w:rPr>
        <w:t>lux.</w:t>
      </w:r>
    </w:p>
    <w:p>
      <w:pPr>
        <w:pStyle w:val="ListParagraph"/>
        <w:numPr>
          <w:ilvl w:val="0"/>
          <w:numId w:val="272"/>
        </w:numPr>
        <w:tabs>
          <w:tab w:pos="672" w:val="left" w:leader="none"/>
          <w:tab w:pos="673" w:val="left" w:leader="none"/>
        </w:tabs>
        <w:spacing w:line="240" w:lineRule="auto" w:before="61" w:after="0"/>
        <w:ind w:left="672" w:right="532" w:hanging="454"/>
        <w:jc w:val="left"/>
        <w:rPr>
          <w:sz w:val="20"/>
        </w:rPr>
      </w:pPr>
      <w:r>
        <w:rPr>
          <w:sz w:val="20"/>
        </w:rPr>
        <w:t>Todas las conexiones de las tuberías del sistema de bombeo y elevación estarán dotadas de los elementos necesarios para la no transmisión de ruidos y vibraciones. El depósito de recepción que contenga residuos fecales no estará integrado en la estructura del</w:t>
      </w:r>
      <w:r>
        <w:rPr>
          <w:spacing w:val="-6"/>
          <w:sz w:val="20"/>
        </w:rPr>
        <w:t> </w:t>
      </w:r>
      <w:r>
        <w:rPr>
          <w:sz w:val="20"/>
        </w:rPr>
        <w:t>edificio.</w:t>
      </w:r>
    </w:p>
    <w:p>
      <w:pPr>
        <w:pStyle w:val="ListParagraph"/>
        <w:numPr>
          <w:ilvl w:val="0"/>
          <w:numId w:val="272"/>
        </w:numPr>
        <w:tabs>
          <w:tab w:pos="672" w:val="left" w:leader="none"/>
          <w:tab w:pos="673" w:val="left" w:leader="none"/>
        </w:tabs>
        <w:spacing w:line="240" w:lineRule="auto" w:before="60" w:after="0"/>
        <w:ind w:left="672" w:right="440" w:hanging="454"/>
        <w:jc w:val="left"/>
        <w:rPr>
          <w:sz w:val="20"/>
        </w:rPr>
      </w:pPr>
      <w:r>
        <w:rPr>
          <w:sz w:val="20"/>
        </w:rPr>
        <w:t>En la entrada del equipo se dispondrá una llave de corte, así como a la salida y después de la vál- vula de retención. No se realizará conexión alguna en la tubería de descarga del sistema. No se co- nectará la tubería de descarga a </w:t>
      </w:r>
      <w:r>
        <w:rPr>
          <w:i/>
          <w:sz w:val="20"/>
        </w:rPr>
        <w:t>bajante </w:t>
      </w:r>
      <w:r>
        <w:rPr>
          <w:sz w:val="20"/>
        </w:rPr>
        <w:t>de cualquier tipo. La conexión con el </w:t>
      </w:r>
      <w:r>
        <w:rPr>
          <w:i/>
          <w:sz w:val="20"/>
        </w:rPr>
        <w:t>colector </w:t>
      </w:r>
      <w:r>
        <w:rPr>
          <w:sz w:val="20"/>
        </w:rPr>
        <w:t>de desagüe se hará siempre por gravedad. En la tubería de descarga no se colocarán válvulas de</w:t>
      </w:r>
      <w:r>
        <w:rPr>
          <w:spacing w:val="-12"/>
          <w:sz w:val="20"/>
        </w:rPr>
        <w:t> </w:t>
      </w:r>
      <w:r>
        <w:rPr>
          <w:sz w:val="20"/>
        </w:rPr>
        <w:t>aireación.</w:t>
      </w:r>
    </w:p>
    <w:p>
      <w:pPr>
        <w:pStyle w:val="BodyText"/>
        <w:spacing w:before="5"/>
        <w:rPr>
          <w:sz w:val="24"/>
        </w:rPr>
      </w:pPr>
    </w:p>
    <w:p>
      <w:pPr>
        <w:pStyle w:val="Heading3"/>
        <w:numPr>
          <w:ilvl w:val="1"/>
          <w:numId w:val="255"/>
        </w:numPr>
        <w:tabs>
          <w:tab w:pos="786" w:val="left" w:leader="none"/>
          <w:tab w:pos="787" w:val="left" w:leader="none"/>
        </w:tabs>
        <w:spacing w:line="240" w:lineRule="auto" w:before="0" w:after="0"/>
        <w:ind w:left="786" w:right="0" w:hanging="569"/>
        <w:jc w:val="left"/>
      </w:pPr>
      <w:r>
        <w:rPr/>
        <w:t>Pruebas</w:t>
      </w:r>
    </w:p>
    <w:p>
      <w:pPr>
        <w:pStyle w:val="Heading5"/>
        <w:numPr>
          <w:ilvl w:val="2"/>
          <w:numId w:val="255"/>
        </w:numPr>
        <w:tabs>
          <w:tab w:pos="787" w:val="left" w:leader="none"/>
        </w:tabs>
        <w:spacing w:line="240" w:lineRule="auto" w:before="201" w:after="0"/>
        <w:ind w:left="786" w:right="0" w:hanging="569"/>
        <w:jc w:val="left"/>
      </w:pPr>
      <w:r>
        <w:rPr/>
        <w:t>Pruebas de estanqueidad</w:t>
      </w:r>
      <w:r>
        <w:rPr>
          <w:spacing w:val="-1"/>
        </w:rPr>
        <w:t> </w:t>
      </w:r>
      <w:r>
        <w:rPr/>
        <w:t>parcial</w:t>
      </w:r>
    </w:p>
    <w:p>
      <w:pPr>
        <w:pStyle w:val="ListParagraph"/>
        <w:numPr>
          <w:ilvl w:val="0"/>
          <w:numId w:val="273"/>
        </w:numPr>
        <w:tabs>
          <w:tab w:pos="672" w:val="left" w:leader="none"/>
          <w:tab w:pos="673" w:val="left" w:leader="none"/>
        </w:tabs>
        <w:spacing w:line="240" w:lineRule="auto" w:before="98" w:after="0"/>
        <w:ind w:left="672" w:right="440" w:hanging="454"/>
        <w:jc w:val="left"/>
        <w:rPr>
          <w:sz w:val="20"/>
        </w:rPr>
      </w:pPr>
      <w:r>
        <w:rPr>
          <w:sz w:val="20"/>
        </w:rPr>
        <w:t>Se realizarán pruebas de estanqueidad parcial descargando cada aparato aislado o simultánea- mente, verificando los tiempos de desagüe, los fenómenos de sifonado que se produzcan en el pro- pio aparato o en los demás conectados a la red, ruidos en desagües y tuberías y comprobación de </w:t>
      </w:r>
      <w:r>
        <w:rPr>
          <w:i/>
          <w:sz w:val="20"/>
        </w:rPr>
        <w:t>cierres hidráulicos</w:t>
      </w:r>
      <w:r>
        <w:rPr>
          <w:sz w:val="20"/>
        </w:rPr>
        <w:t>.</w:t>
      </w:r>
    </w:p>
    <w:p>
      <w:pPr>
        <w:pStyle w:val="ListParagraph"/>
        <w:numPr>
          <w:ilvl w:val="0"/>
          <w:numId w:val="273"/>
        </w:numPr>
        <w:tabs>
          <w:tab w:pos="672" w:val="left" w:leader="none"/>
          <w:tab w:pos="673" w:val="left" w:leader="none"/>
        </w:tabs>
        <w:spacing w:line="240" w:lineRule="auto" w:before="60" w:after="0"/>
        <w:ind w:left="672" w:right="0" w:hanging="455"/>
        <w:jc w:val="left"/>
        <w:rPr>
          <w:sz w:val="20"/>
        </w:rPr>
      </w:pPr>
      <w:r>
        <w:rPr>
          <w:sz w:val="20"/>
        </w:rPr>
        <w:t>No se admitirá que quede en el sifón de un aparato una altura de </w:t>
      </w:r>
      <w:r>
        <w:rPr>
          <w:i/>
          <w:sz w:val="20"/>
        </w:rPr>
        <w:t>cierre hidráulico </w:t>
      </w:r>
      <w:r>
        <w:rPr>
          <w:sz w:val="20"/>
        </w:rPr>
        <w:t>inferior a 25</w:t>
      </w:r>
      <w:r>
        <w:rPr>
          <w:spacing w:val="-11"/>
          <w:sz w:val="20"/>
        </w:rPr>
        <w:t> </w:t>
      </w:r>
      <w:r>
        <w:rPr>
          <w:sz w:val="20"/>
        </w:rPr>
        <w:t>mm.</w:t>
      </w:r>
    </w:p>
    <w:p>
      <w:pPr>
        <w:pStyle w:val="ListParagraph"/>
        <w:numPr>
          <w:ilvl w:val="0"/>
          <w:numId w:val="273"/>
        </w:numPr>
        <w:tabs>
          <w:tab w:pos="673" w:val="left" w:leader="none"/>
        </w:tabs>
        <w:spacing w:line="240" w:lineRule="auto" w:before="59" w:after="0"/>
        <w:ind w:left="672" w:right="441" w:hanging="454"/>
        <w:jc w:val="both"/>
        <w:rPr>
          <w:sz w:val="20"/>
        </w:rPr>
      </w:pPr>
      <w:r>
        <w:rPr>
          <w:sz w:val="20"/>
        </w:rPr>
        <w:t>Las pruebas de vaciado se realizarán abriendo los grifos de los aparatos, con los caudales mínimos considerados para cada uno de ellos y con la válvula de desagüe asimismo abierta; no se acumula- rá agua en el aparato en el tiempo mínimo de 1</w:t>
      </w:r>
      <w:r>
        <w:rPr>
          <w:spacing w:val="-7"/>
          <w:sz w:val="20"/>
        </w:rPr>
        <w:t> </w:t>
      </w:r>
      <w:r>
        <w:rPr>
          <w:sz w:val="20"/>
        </w:rPr>
        <w:t>minuto.</w:t>
      </w:r>
    </w:p>
    <w:p>
      <w:pPr>
        <w:pStyle w:val="ListParagraph"/>
        <w:numPr>
          <w:ilvl w:val="0"/>
          <w:numId w:val="273"/>
        </w:numPr>
        <w:tabs>
          <w:tab w:pos="673" w:val="left" w:leader="none"/>
        </w:tabs>
        <w:spacing w:line="240" w:lineRule="auto" w:before="61" w:after="0"/>
        <w:ind w:left="672" w:right="463" w:hanging="454"/>
        <w:jc w:val="both"/>
        <w:rPr>
          <w:sz w:val="20"/>
        </w:rPr>
      </w:pPr>
      <w:r>
        <w:rPr>
          <w:sz w:val="20"/>
        </w:rPr>
        <w:t>En la red horizontal se probará cada tramo de tubería, para garantizar su estanqueidad introducien- do agua a presión (entre 0,3 y 0,6 bar) durante diez</w:t>
      </w:r>
      <w:r>
        <w:rPr>
          <w:spacing w:val="-6"/>
          <w:sz w:val="20"/>
        </w:rPr>
        <w:t> </w:t>
      </w:r>
      <w:r>
        <w:rPr>
          <w:sz w:val="20"/>
        </w:rPr>
        <w:t>minutos.</w:t>
      </w:r>
    </w:p>
    <w:p>
      <w:pPr>
        <w:pStyle w:val="ListParagraph"/>
        <w:numPr>
          <w:ilvl w:val="0"/>
          <w:numId w:val="273"/>
        </w:numPr>
        <w:tabs>
          <w:tab w:pos="673" w:val="left" w:leader="none"/>
        </w:tabs>
        <w:spacing w:line="240" w:lineRule="auto" w:before="60" w:after="0"/>
        <w:ind w:left="672" w:right="831" w:hanging="454"/>
        <w:jc w:val="both"/>
        <w:rPr>
          <w:sz w:val="20"/>
        </w:rPr>
      </w:pPr>
      <w:r>
        <w:rPr>
          <w:sz w:val="20"/>
        </w:rPr>
        <w:t>Las arquetas y pozos de registro se someterán a idénticas pruebas llenándolos previamente de agua y observando si se advierte o no un descenso de</w:t>
      </w:r>
      <w:r>
        <w:rPr>
          <w:spacing w:val="-7"/>
          <w:sz w:val="20"/>
        </w:rPr>
        <w:t> </w:t>
      </w:r>
      <w:r>
        <w:rPr>
          <w:sz w:val="20"/>
        </w:rPr>
        <w:t>nivel.</w:t>
      </w:r>
    </w:p>
    <w:p>
      <w:pPr>
        <w:pStyle w:val="ListParagraph"/>
        <w:numPr>
          <w:ilvl w:val="0"/>
          <w:numId w:val="273"/>
        </w:numPr>
        <w:tabs>
          <w:tab w:pos="673" w:val="left" w:leader="none"/>
        </w:tabs>
        <w:spacing w:line="240" w:lineRule="auto" w:before="60" w:after="0"/>
        <w:ind w:left="672" w:right="0" w:hanging="455"/>
        <w:jc w:val="both"/>
        <w:rPr>
          <w:sz w:val="20"/>
        </w:rPr>
      </w:pPr>
      <w:r>
        <w:rPr>
          <w:sz w:val="20"/>
        </w:rPr>
        <w:t>Se controlarán al 100 % las uniones, entronques y/o</w:t>
      </w:r>
      <w:r>
        <w:rPr>
          <w:spacing w:val="-5"/>
          <w:sz w:val="20"/>
        </w:rPr>
        <w:t> </w:t>
      </w:r>
      <w:r>
        <w:rPr>
          <w:sz w:val="20"/>
        </w:rPr>
        <w:t>derivaciones.</w:t>
      </w:r>
    </w:p>
    <w:p>
      <w:pPr>
        <w:pStyle w:val="BodyText"/>
        <w:spacing w:before="6"/>
        <w:rPr>
          <w:sz w:val="17"/>
        </w:rPr>
      </w:pPr>
    </w:p>
    <w:p>
      <w:pPr>
        <w:pStyle w:val="Heading5"/>
        <w:numPr>
          <w:ilvl w:val="2"/>
          <w:numId w:val="255"/>
        </w:numPr>
        <w:tabs>
          <w:tab w:pos="787" w:val="left" w:leader="none"/>
        </w:tabs>
        <w:spacing w:line="240" w:lineRule="auto" w:before="1" w:after="0"/>
        <w:ind w:left="786" w:right="0" w:hanging="569"/>
        <w:jc w:val="both"/>
      </w:pPr>
      <w:r>
        <w:rPr/>
        <w:t>Pruebas de estanqueidad</w:t>
      </w:r>
      <w:r>
        <w:rPr>
          <w:spacing w:val="-1"/>
        </w:rPr>
        <w:t> </w:t>
      </w:r>
      <w:r>
        <w:rPr/>
        <w:t>total</w:t>
      </w:r>
    </w:p>
    <w:p>
      <w:pPr>
        <w:pStyle w:val="BodyText"/>
        <w:spacing w:before="97"/>
        <w:ind w:left="672" w:right="517" w:hanging="454"/>
        <w:jc w:val="both"/>
      </w:pPr>
      <w:r>
        <w:rPr/>
        <w:t>1 Las pruebas deben hacerse sobre el sistema total, bien de una sola vez o por partes podrán según las prescripciones</w:t>
      </w:r>
      <w:r>
        <w:rPr>
          <w:spacing w:val="-1"/>
        </w:rPr>
        <w:t> </w:t>
      </w:r>
      <w:r>
        <w:rPr/>
        <w:t>siguientes.</w:t>
      </w:r>
    </w:p>
    <w:p>
      <w:pPr>
        <w:pStyle w:val="BodyText"/>
        <w:spacing w:before="7"/>
        <w:rPr>
          <w:sz w:val="17"/>
        </w:rPr>
      </w:pPr>
    </w:p>
    <w:p>
      <w:pPr>
        <w:pStyle w:val="Heading5"/>
        <w:numPr>
          <w:ilvl w:val="2"/>
          <w:numId w:val="255"/>
        </w:numPr>
        <w:tabs>
          <w:tab w:pos="787" w:val="left" w:leader="none"/>
        </w:tabs>
        <w:spacing w:line="240" w:lineRule="auto" w:before="1" w:after="0"/>
        <w:ind w:left="786" w:right="0" w:hanging="569"/>
        <w:jc w:val="left"/>
      </w:pPr>
      <w:r>
        <w:rPr/>
        <w:t>Prueba con</w:t>
      </w:r>
      <w:r>
        <w:rPr>
          <w:spacing w:val="-3"/>
        </w:rPr>
        <w:t> </w:t>
      </w:r>
      <w:r>
        <w:rPr/>
        <w:t>agua</w:t>
      </w:r>
    </w:p>
    <w:p>
      <w:pPr>
        <w:pStyle w:val="ListParagraph"/>
        <w:numPr>
          <w:ilvl w:val="0"/>
          <w:numId w:val="274"/>
        </w:numPr>
        <w:tabs>
          <w:tab w:pos="672" w:val="left" w:leader="none"/>
          <w:tab w:pos="673" w:val="left" w:leader="none"/>
        </w:tabs>
        <w:spacing w:line="240" w:lineRule="auto" w:before="97" w:after="0"/>
        <w:ind w:left="672" w:right="451" w:hanging="454"/>
        <w:jc w:val="left"/>
        <w:rPr>
          <w:sz w:val="20"/>
        </w:rPr>
      </w:pPr>
      <w:r>
        <w:rPr>
          <w:sz w:val="20"/>
        </w:rPr>
        <w:t>La prueba con agua se efectuará sobre las redes de evacuación de </w:t>
      </w:r>
      <w:r>
        <w:rPr>
          <w:i/>
          <w:sz w:val="20"/>
        </w:rPr>
        <w:t>aguas residuales </w:t>
      </w:r>
      <w:r>
        <w:rPr>
          <w:sz w:val="20"/>
        </w:rPr>
        <w:t>y </w:t>
      </w:r>
      <w:r>
        <w:rPr>
          <w:i/>
          <w:sz w:val="20"/>
        </w:rPr>
        <w:t>pluviales</w:t>
      </w:r>
      <w:r>
        <w:rPr>
          <w:sz w:val="20"/>
        </w:rPr>
        <w:t>. Para ello, se taponarán todos los terminales de las tuberías de evacuación, excepto los de cubierta, y se llenará la red con agua hasta</w:t>
      </w:r>
      <w:r>
        <w:rPr>
          <w:spacing w:val="-4"/>
          <w:sz w:val="20"/>
        </w:rPr>
        <w:t> </w:t>
      </w:r>
      <w:r>
        <w:rPr>
          <w:sz w:val="20"/>
        </w:rPr>
        <w:t>rebosar.</w:t>
      </w:r>
    </w:p>
    <w:p>
      <w:pPr>
        <w:spacing w:after="0" w:line="240" w:lineRule="auto"/>
        <w:jc w:val="left"/>
        <w:rPr>
          <w:sz w:val="20"/>
        </w:rPr>
        <w:sectPr>
          <w:pgSz w:w="11910" w:h="16840"/>
          <w:pgMar w:header="714" w:footer="642" w:top="1320" w:bottom="840" w:left="1200" w:right="740"/>
        </w:sectPr>
      </w:pPr>
    </w:p>
    <w:p>
      <w:pPr>
        <w:pStyle w:val="ListParagraph"/>
        <w:numPr>
          <w:ilvl w:val="0"/>
          <w:numId w:val="274"/>
        </w:numPr>
        <w:tabs>
          <w:tab w:pos="672" w:val="left" w:leader="none"/>
          <w:tab w:pos="673" w:val="left" w:leader="none"/>
        </w:tabs>
        <w:spacing w:line="240" w:lineRule="auto" w:before="91" w:after="0"/>
        <w:ind w:left="672" w:right="620" w:hanging="454"/>
        <w:jc w:val="left"/>
        <w:rPr>
          <w:sz w:val="20"/>
        </w:rPr>
      </w:pPr>
      <w:r>
        <w:rPr>
          <w:sz w:val="20"/>
        </w:rPr>
        <w:t>La presión a la que debe estar sometida cualquier parte de la red no debe ser inferior a 0,3 bar, ni superar el máximo de 1</w:t>
      </w:r>
      <w:r>
        <w:rPr>
          <w:spacing w:val="-2"/>
          <w:sz w:val="20"/>
        </w:rPr>
        <w:t> </w:t>
      </w:r>
      <w:r>
        <w:rPr>
          <w:sz w:val="20"/>
        </w:rPr>
        <w:t>bar.</w:t>
      </w:r>
    </w:p>
    <w:p>
      <w:pPr>
        <w:pStyle w:val="ListParagraph"/>
        <w:numPr>
          <w:ilvl w:val="0"/>
          <w:numId w:val="274"/>
        </w:numPr>
        <w:tabs>
          <w:tab w:pos="672" w:val="left" w:leader="none"/>
          <w:tab w:pos="673" w:val="left" w:leader="none"/>
        </w:tabs>
        <w:spacing w:line="240" w:lineRule="auto" w:before="60" w:after="0"/>
        <w:ind w:left="672" w:right="498" w:hanging="454"/>
        <w:jc w:val="left"/>
        <w:rPr>
          <w:sz w:val="20"/>
        </w:rPr>
      </w:pPr>
      <w:r>
        <w:rPr>
          <w:sz w:val="20"/>
        </w:rPr>
        <w:t>Si el sistema tuviese una altura equivalente más alta de 1 bar, se efectuarán las pruebas por fases, subdividiendo la red en partes en sentido</w:t>
      </w:r>
      <w:r>
        <w:rPr>
          <w:spacing w:val="-3"/>
          <w:sz w:val="20"/>
        </w:rPr>
        <w:t> </w:t>
      </w:r>
      <w:r>
        <w:rPr>
          <w:sz w:val="20"/>
        </w:rPr>
        <w:t>vertical.</w:t>
      </w:r>
    </w:p>
    <w:p>
      <w:pPr>
        <w:pStyle w:val="ListParagraph"/>
        <w:numPr>
          <w:ilvl w:val="0"/>
          <w:numId w:val="274"/>
        </w:numPr>
        <w:tabs>
          <w:tab w:pos="672" w:val="left" w:leader="none"/>
          <w:tab w:pos="673" w:val="left" w:leader="none"/>
        </w:tabs>
        <w:spacing w:line="240" w:lineRule="auto" w:before="60" w:after="0"/>
        <w:ind w:left="672" w:right="608" w:hanging="454"/>
        <w:jc w:val="left"/>
        <w:rPr>
          <w:sz w:val="20"/>
        </w:rPr>
      </w:pPr>
      <w:r>
        <w:rPr>
          <w:sz w:val="20"/>
        </w:rPr>
        <w:t>Si se prueba la red por partes, se hará con presiones entre 0,3 y 0,6 bar, suficientes para detectar fugas.</w:t>
      </w:r>
    </w:p>
    <w:p>
      <w:pPr>
        <w:pStyle w:val="ListParagraph"/>
        <w:numPr>
          <w:ilvl w:val="0"/>
          <w:numId w:val="274"/>
        </w:numPr>
        <w:tabs>
          <w:tab w:pos="672" w:val="left" w:leader="none"/>
          <w:tab w:pos="673" w:val="left" w:leader="none"/>
        </w:tabs>
        <w:spacing w:line="240" w:lineRule="auto" w:before="61" w:after="0"/>
        <w:ind w:left="672" w:right="697" w:hanging="454"/>
        <w:jc w:val="left"/>
        <w:rPr>
          <w:sz w:val="20"/>
        </w:rPr>
      </w:pPr>
      <w:r>
        <w:rPr>
          <w:sz w:val="20"/>
        </w:rPr>
        <w:t>Si la red de ventilación está realizada en el momento de la prueba, se le someterá al mismo régi- men que al resto de la red de</w:t>
      </w:r>
      <w:r>
        <w:rPr>
          <w:spacing w:val="-3"/>
          <w:sz w:val="20"/>
        </w:rPr>
        <w:t> </w:t>
      </w:r>
      <w:r>
        <w:rPr>
          <w:sz w:val="20"/>
        </w:rPr>
        <w:t>evacuación.</w:t>
      </w:r>
    </w:p>
    <w:p>
      <w:pPr>
        <w:pStyle w:val="ListParagraph"/>
        <w:numPr>
          <w:ilvl w:val="0"/>
          <w:numId w:val="274"/>
        </w:numPr>
        <w:tabs>
          <w:tab w:pos="672" w:val="left" w:leader="none"/>
          <w:tab w:pos="673" w:val="left" w:leader="none"/>
        </w:tabs>
        <w:spacing w:line="240" w:lineRule="auto" w:before="59" w:after="0"/>
        <w:ind w:left="672" w:right="876" w:hanging="454"/>
        <w:jc w:val="left"/>
        <w:rPr>
          <w:sz w:val="20"/>
        </w:rPr>
      </w:pPr>
      <w:r>
        <w:rPr>
          <w:sz w:val="20"/>
        </w:rPr>
        <w:t>La prueba se dará por terminada solamente cuando ninguna de las uniones acusen pérdida de agua.</w:t>
      </w:r>
    </w:p>
    <w:p>
      <w:pPr>
        <w:pStyle w:val="BodyText"/>
        <w:spacing w:before="6"/>
        <w:rPr>
          <w:sz w:val="17"/>
        </w:rPr>
      </w:pPr>
    </w:p>
    <w:p>
      <w:pPr>
        <w:pStyle w:val="Heading5"/>
        <w:numPr>
          <w:ilvl w:val="2"/>
          <w:numId w:val="255"/>
        </w:numPr>
        <w:tabs>
          <w:tab w:pos="787" w:val="left" w:leader="none"/>
        </w:tabs>
        <w:spacing w:line="240" w:lineRule="auto" w:before="0" w:after="0"/>
        <w:ind w:left="786" w:right="0" w:hanging="569"/>
        <w:jc w:val="left"/>
      </w:pPr>
      <w:r>
        <w:rPr/>
        <w:t>Prueba con</w:t>
      </w:r>
      <w:r>
        <w:rPr>
          <w:spacing w:val="-3"/>
        </w:rPr>
        <w:t> </w:t>
      </w:r>
      <w:r>
        <w:rPr/>
        <w:t>aire</w:t>
      </w:r>
    </w:p>
    <w:p>
      <w:pPr>
        <w:pStyle w:val="ListParagraph"/>
        <w:numPr>
          <w:ilvl w:val="0"/>
          <w:numId w:val="275"/>
        </w:numPr>
        <w:tabs>
          <w:tab w:pos="672" w:val="left" w:leader="none"/>
          <w:tab w:pos="673" w:val="left" w:leader="none"/>
        </w:tabs>
        <w:spacing w:line="240" w:lineRule="auto" w:before="99" w:after="0"/>
        <w:ind w:left="672" w:right="464" w:hanging="454"/>
        <w:jc w:val="left"/>
        <w:rPr>
          <w:sz w:val="20"/>
        </w:rPr>
      </w:pPr>
      <w:r>
        <w:rPr>
          <w:sz w:val="20"/>
        </w:rPr>
        <w:t>La prueba con aire se realizará de forma similar a la prueba con agua, salvo que la presión a la que se someterá la red será entre 0,5 y 1 bar como</w:t>
      </w:r>
      <w:r>
        <w:rPr>
          <w:spacing w:val="-4"/>
          <w:sz w:val="20"/>
        </w:rPr>
        <w:t> </w:t>
      </w:r>
      <w:r>
        <w:rPr>
          <w:sz w:val="20"/>
        </w:rPr>
        <w:t>máximo.</w:t>
      </w:r>
    </w:p>
    <w:p>
      <w:pPr>
        <w:pStyle w:val="ListParagraph"/>
        <w:numPr>
          <w:ilvl w:val="0"/>
          <w:numId w:val="275"/>
        </w:numPr>
        <w:tabs>
          <w:tab w:pos="672" w:val="left" w:leader="none"/>
          <w:tab w:pos="673" w:val="left" w:leader="none"/>
        </w:tabs>
        <w:spacing w:line="240" w:lineRule="auto" w:before="59" w:after="0"/>
        <w:ind w:left="672" w:right="830" w:hanging="454"/>
        <w:jc w:val="left"/>
        <w:rPr>
          <w:sz w:val="20"/>
        </w:rPr>
      </w:pPr>
      <w:r>
        <w:rPr>
          <w:sz w:val="20"/>
        </w:rPr>
        <w:t>Esta prueba se considerará satisfactoria cuando la presión se mantenga constante durante tres minutos.</w:t>
      </w:r>
    </w:p>
    <w:p>
      <w:pPr>
        <w:pStyle w:val="BodyText"/>
        <w:spacing w:before="6"/>
        <w:rPr>
          <w:sz w:val="17"/>
        </w:rPr>
      </w:pPr>
    </w:p>
    <w:p>
      <w:pPr>
        <w:pStyle w:val="Heading5"/>
        <w:numPr>
          <w:ilvl w:val="2"/>
          <w:numId w:val="255"/>
        </w:numPr>
        <w:tabs>
          <w:tab w:pos="787" w:val="left" w:leader="none"/>
        </w:tabs>
        <w:spacing w:line="240" w:lineRule="auto" w:before="0" w:after="0"/>
        <w:ind w:left="786" w:right="0" w:hanging="569"/>
        <w:jc w:val="left"/>
      </w:pPr>
      <w:r>
        <w:rPr/>
        <w:t>Prueba con</w:t>
      </w:r>
      <w:r>
        <w:rPr>
          <w:spacing w:val="-3"/>
        </w:rPr>
        <w:t> </w:t>
      </w:r>
      <w:r>
        <w:rPr/>
        <w:t>humo</w:t>
      </w:r>
    </w:p>
    <w:p>
      <w:pPr>
        <w:pStyle w:val="ListParagraph"/>
        <w:numPr>
          <w:ilvl w:val="0"/>
          <w:numId w:val="276"/>
        </w:numPr>
        <w:tabs>
          <w:tab w:pos="672" w:val="left" w:leader="none"/>
          <w:tab w:pos="673" w:val="left" w:leader="none"/>
        </w:tabs>
        <w:spacing w:line="240" w:lineRule="auto" w:before="99" w:after="0"/>
        <w:ind w:left="672" w:right="808" w:hanging="454"/>
        <w:jc w:val="left"/>
        <w:rPr>
          <w:sz w:val="20"/>
        </w:rPr>
      </w:pPr>
      <w:r>
        <w:rPr>
          <w:sz w:val="20"/>
        </w:rPr>
        <w:t>La prueba con humo se efectuará sobre la red de </w:t>
      </w:r>
      <w:r>
        <w:rPr>
          <w:i/>
          <w:sz w:val="20"/>
        </w:rPr>
        <w:t>aguas residuales </w:t>
      </w:r>
      <w:r>
        <w:rPr>
          <w:sz w:val="20"/>
        </w:rPr>
        <w:t>y su correspondiente red de ventilación.</w:t>
      </w:r>
    </w:p>
    <w:p>
      <w:pPr>
        <w:pStyle w:val="ListParagraph"/>
        <w:numPr>
          <w:ilvl w:val="0"/>
          <w:numId w:val="276"/>
        </w:numPr>
        <w:tabs>
          <w:tab w:pos="672" w:val="left" w:leader="none"/>
          <w:tab w:pos="673" w:val="left" w:leader="none"/>
        </w:tabs>
        <w:spacing w:line="240" w:lineRule="auto" w:before="60" w:after="0"/>
        <w:ind w:left="672" w:right="0" w:hanging="455"/>
        <w:jc w:val="left"/>
        <w:rPr>
          <w:sz w:val="20"/>
        </w:rPr>
      </w:pPr>
      <w:r>
        <w:rPr>
          <w:sz w:val="20"/>
        </w:rPr>
        <w:t>Debe utilizarse un producto que produzca un humo espeso y que, además, tenga un fuerte</w:t>
      </w:r>
      <w:r>
        <w:rPr>
          <w:spacing w:val="-7"/>
          <w:sz w:val="20"/>
        </w:rPr>
        <w:t> </w:t>
      </w:r>
      <w:r>
        <w:rPr>
          <w:sz w:val="20"/>
        </w:rPr>
        <w:t>olor.</w:t>
      </w:r>
    </w:p>
    <w:p>
      <w:pPr>
        <w:pStyle w:val="ListParagraph"/>
        <w:numPr>
          <w:ilvl w:val="0"/>
          <w:numId w:val="276"/>
        </w:numPr>
        <w:tabs>
          <w:tab w:pos="673" w:val="left" w:leader="none"/>
        </w:tabs>
        <w:spacing w:line="240" w:lineRule="auto" w:before="60" w:after="0"/>
        <w:ind w:left="672" w:right="662" w:hanging="454"/>
        <w:jc w:val="both"/>
        <w:rPr>
          <w:sz w:val="20"/>
        </w:rPr>
      </w:pPr>
      <w:r>
        <w:rPr>
          <w:sz w:val="20"/>
        </w:rPr>
        <w:t>La introducción del producto se hará por medio de máquinas o bombas y se efectuará en la parte baja del sistema, desde distintos puntos si es necesario, para inundar completamente el sistema, después de haber llenado con agua todos los </w:t>
      </w:r>
      <w:r>
        <w:rPr>
          <w:i/>
          <w:sz w:val="20"/>
        </w:rPr>
        <w:t>cierres</w:t>
      </w:r>
      <w:r>
        <w:rPr>
          <w:i/>
          <w:spacing w:val="-1"/>
          <w:sz w:val="20"/>
        </w:rPr>
        <w:t> </w:t>
      </w:r>
      <w:r>
        <w:rPr>
          <w:i/>
          <w:sz w:val="20"/>
        </w:rPr>
        <w:t>hidráulicos</w:t>
      </w:r>
      <w:r>
        <w:rPr>
          <w:sz w:val="20"/>
        </w:rPr>
        <w:t>.</w:t>
      </w:r>
    </w:p>
    <w:p>
      <w:pPr>
        <w:pStyle w:val="ListParagraph"/>
        <w:numPr>
          <w:ilvl w:val="0"/>
          <w:numId w:val="276"/>
        </w:numPr>
        <w:tabs>
          <w:tab w:pos="672" w:val="left" w:leader="none"/>
          <w:tab w:pos="673" w:val="left" w:leader="none"/>
        </w:tabs>
        <w:spacing w:line="240" w:lineRule="auto" w:before="60" w:after="0"/>
        <w:ind w:left="672" w:right="540" w:hanging="454"/>
        <w:jc w:val="left"/>
        <w:rPr>
          <w:sz w:val="20"/>
        </w:rPr>
      </w:pPr>
      <w:r>
        <w:rPr>
          <w:sz w:val="20"/>
        </w:rPr>
        <w:t>Cuando el humo comience a aparecer por los terminales de cubierta del sistema, se taponarán és- tos a fin de mantener una presión de gases de 250</w:t>
      </w:r>
      <w:r>
        <w:rPr>
          <w:spacing w:val="-3"/>
          <w:sz w:val="20"/>
        </w:rPr>
        <w:t> </w:t>
      </w:r>
      <w:r>
        <w:rPr>
          <w:sz w:val="20"/>
        </w:rPr>
        <w:t>Pa.</w:t>
      </w:r>
    </w:p>
    <w:p>
      <w:pPr>
        <w:pStyle w:val="ListParagraph"/>
        <w:numPr>
          <w:ilvl w:val="0"/>
          <w:numId w:val="276"/>
        </w:numPr>
        <w:tabs>
          <w:tab w:pos="672" w:val="left" w:leader="none"/>
          <w:tab w:pos="673" w:val="left" w:leader="none"/>
        </w:tabs>
        <w:spacing w:line="237" w:lineRule="auto" w:before="64" w:after="0"/>
        <w:ind w:left="672" w:right="720" w:hanging="454"/>
        <w:jc w:val="left"/>
        <w:rPr>
          <w:sz w:val="20"/>
        </w:rPr>
      </w:pPr>
      <w:r>
        <w:rPr>
          <w:sz w:val="20"/>
        </w:rPr>
        <w:t>El sistema debe resistir durante su funcionamiento fluctuaciones de </w:t>
      </w:r>
      <w:r>
        <w:rPr>
          <w:rFonts w:ascii="Symbol" w:hAnsi="Symbol"/>
          <w:sz w:val="20"/>
        </w:rPr>
        <w:t></w:t>
      </w:r>
      <w:r>
        <w:rPr>
          <w:rFonts w:ascii="Times New Roman" w:hAnsi="Times New Roman"/>
          <w:sz w:val="20"/>
        </w:rPr>
        <w:t> </w:t>
      </w:r>
      <w:r>
        <w:rPr>
          <w:sz w:val="20"/>
        </w:rPr>
        <w:t>250 Pa, para las cuales ha sido diseñado, sin pérdida de estanqueidad en los </w:t>
      </w:r>
      <w:r>
        <w:rPr>
          <w:i/>
          <w:sz w:val="20"/>
        </w:rPr>
        <w:t>cierres</w:t>
      </w:r>
      <w:r>
        <w:rPr>
          <w:i/>
          <w:spacing w:val="-4"/>
          <w:sz w:val="20"/>
        </w:rPr>
        <w:t> </w:t>
      </w:r>
      <w:r>
        <w:rPr>
          <w:i/>
          <w:sz w:val="20"/>
        </w:rPr>
        <w:t>hidráulicos</w:t>
      </w:r>
      <w:r>
        <w:rPr>
          <w:sz w:val="20"/>
        </w:rPr>
        <w:t>.</w:t>
      </w:r>
    </w:p>
    <w:p>
      <w:pPr>
        <w:pStyle w:val="ListParagraph"/>
        <w:numPr>
          <w:ilvl w:val="0"/>
          <w:numId w:val="276"/>
        </w:numPr>
        <w:tabs>
          <w:tab w:pos="672" w:val="left" w:leader="none"/>
          <w:tab w:pos="673" w:val="left" w:leader="none"/>
        </w:tabs>
        <w:spacing w:line="240" w:lineRule="auto" w:before="61" w:after="0"/>
        <w:ind w:left="672" w:right="484" w:hanging="454"/>
        <w:jc w:val="left"/>
        <w:rPr>
          <w:sz w:val="20"/>
        </w:rPr>
      </w:pPr>
      <w:r>
        <w:rPr>
          <w:sz w:val="20"/>
        </w:rPr>
        <w:t>La prueba se considerará satisfactoria cuando no se detecte presencia de humo y olores en el inte- rior del</w:t>
      </w:r>
      <w:r>
        <w:rPr>
          <w:spacing w:val="-1"/>
          <w:sz w:val="20"/>
        </w:rPr>
        <w:t> </w:t>
      </w:r>
      <w:r>
        <w:rPr>
          <w:sz w:val="20"/>
        </w:rPr>
        <w:t>edificio.</w:t>
      </w:r>
    </w:p>
    <w:p>
      <w:pPr>
        <w:pStyle w:val="BodyText"/>
        <w:rPr>
          <w:sz w:val="22"/>
        </w:rPr>
      </w:pPr>
    </w:p>
    <w:p>
      <w:pPr>
        <w:pStyle w:val="BodyText"/>
        <w:spacing w:before="10"/>
        <w:rPr>
          <w:sz w:val="19"/>
        </w:rPr>
      </w:pPr>
    </w:p>
    <w:p>
      <w:pPr>
        <w:pStyle w:val="Heading2"/>
        <w:numPr>
          <w:ilvl w:val="0"/>
          <w:numId w:val="277"/>
        </w:numPr>
        <w:tabs>
          <w:tab w:pos="786" w:val="left" w:leader="none"/>
          <w:tab w:pos="787" w:val="left" w:leader="none"/>
        </w:tabs>
        <w:spacing w:line="240" w:lineRule="auto" w:before="0" w:after="0"/>
        <w:ind w:left="786" w:right="0" w:hanging="569"/>
        <w:jc w:val="left"/>
      </w:pPr>
      <w:r>
        <w:rPr/>
        <w:t>Productos de</w:t>
      </w:r>
      <w:r>
        <w:rPr>
          <w:spacing w:val="-3"/>
        </w:rPr>
        <w:t> </w:t>
      </w:r>
      <w:r>
        <w:rPr/>
        <w:t>construcción</w:t>
      </w:r>
    </w:p>
    <w:p>
      <w:pPr>
        <w:pStyle w:val="BodyText"/>
        <w:spacing w:before="5"/>
        <w:rPr>
          <w:b/>
          <w:sz w:val="24"/>
        </w:rPr>
      </w:pPr>
    </w:p>
    <w:p>
      <w:pPr>
        <w:pStyle w:val="Heading3"/>
        <w:numPr>
          <w:ilvl w:val="1"/>
          <w:numId w:val="277"/>
        </w:numPr>
        <w:tabs>
          <w:tab w:pos="786" w:val="left" w:leader="none"/>
          <w:tab w:pos="787" w:val="left" w:leader="none"/>
        </w:tabs>
        <w:spacing w:line="240" w:lineRule="auto" w:before="0" w:after="0"/>
        <w:ind w:left="786" w:right="0" w:hanging="569"/>
        <w:jc w:val="left"/>
      </w:pPr>
      <w:r>
        <w:rPr/>
        <w:t>Características generales de los</w:t>
      </w:r>
      <w:r>
        <w:rPr>
          <w:spacing w:val="-1"/>
        </w:rPr>
        <w:t> </w:t>
      </w:r>
      <w:r>
        <w:rPr/>
        <w:t>materiales</w:t>
      </w:r>
    </w:p>
    <w:p>
      <w:pPr>
        <w:pStyle w:val="BodyText"/>
        <w:tabs>
          <w:tab w:pos="672" w:val="left" w:leader="none"/>
        </w:tabs>
        <w:spacing w:before="97"/>
        <w:ind w:left="218"/>
      </w:pPr>
      <w:r>
        <w:rPr/>
        <w:t>1</w:t>
        <w:tab/>
        <w:t>De forma general, las características de los materiales definidos para estas instalaciones</w:t>
      </w:r>
      <w:r>
        <w:rPr>
          <w:spacing w:val="-9"/>
        </w:rPr>
        <w:t> </w:t>
      </w:r>
      <w:r>
        <w:rPr/>
        <w:t>serán:</w:t>
      </w:r>
    </w:p>
    <w:p>
      <w:pPr>
        <w:pStyle w:val="ListParagraph"/>
        <w:numPr>
          <w:ilvl w:val="0"/>
          <w:numId w:val="278"/>
        </w:numPr>
        <w:tabs>
          <w:tab w:pos="1125" w:val="left" w:leader="none"/>
          <w:tab w:pos="1126" w:val="left" w:leader="none"/>
        </w:tabs>
        <w:spacing w:line="240" w:lineRule="auto" w:before="61" w:after="0"/>
        <w:ind w:left="1126" w:right="0" w:hanging="454"/>
        <w:jc w:val="left"/>
        <w:rPr>
          <w:sz w:val="20"/>
        </w:rPr>
      </w:pPr>
      <w:r>
        <w:rPr>
          <w:sz w:val="20"/>
        </w:rPr>
        <w:t>Resistencia a la fuerte agresividad de las aguas a</w:t>
      </w:r>
      <w:r>
        <w:rPr>
          <w:spacing w:val="-5"/>
          <w:sz w:val="20"/>
        </w:rPr>
        <w:t> </w:t>
      </w:r>
      <w:r>
        <w:rPr>
          <w:sz w:val="20"/>
        </w:rPr>
        <w:t>evacuar.</w:t>
      </w:r>
    </w:p>
    <w:p>
      <w:pPr>
        <w:pStyle w:val="ListParagraph"/>
        <w:numPr>
          <w:ilvl w:val="0"/>
          <w:numId w:val="278"/>
        </w:numPr>
        <w:tabs>
          <w:tab w:pos="1125" w:val="left" w:leader="none"/>
          <w:tab w:pos="1126" w:val="left" w:leader="none"/>
        </w:tabs>
        <w:spacing w:line="240" w:lineRule="auto" w:before="60" w:after="0"/>
        <w:ind w:left="1126" w:right="0" w:hanging="454"/>
        <w:jc w:val="left"/>
        <w:rPr>
          <w:sz w:val="20"/>
        </w:rPr>
      </w:pPr>
      <w:r>
        <w:rPr>
          <w:sz w:val="20"/>
        </w:rPr>
        <w:t>Impermeabilidad total a líquidos y</w:t>
      </w:r>
      <w:r>
        <w:rPr>
          <w:spacing w:val="-3"/>
          <w:sz w:val="20"/>
        </w:rPr>
        <w:t> </w:t>
      </w:r>
      <w:r>
        <w:rPr>
          <w:sz w:val="20"/>
        </w:rPr>
        <w:t>gases.</w:t>
      </w:r>
    </w:p>
    <w:p>
      <w:pPr>
        <w:pStyle w:val="ListParagraph"/>
        <w:numPr>
          <w:ilvl w:val="0"/>
          <w:numId w:val="278"/>
        </w:numPr>
        <w:tabs>
          <w:tab w:pos="1125" w:val="left" w:leader="none"/>
          <w:tab w:pos="1126" w:val="left" w:leader="none"/>
        </w:tabs>
        <w:spacing w:line="240" w:lineRule="auto" w:before="59" w:after="0"/>
        <w:ind w:left="1126" w:right="0" w:hanging="454"/>
        <w:jc w:val="left"/>
        <w:rPr>
          <w:sz w:val="20"/>
        </w:rPr>
      </w:pPr>
      <w:r>
        <w:rPr>
          <w:sz w:val="20"/>
        </w:rPr>
        <w:t>Suficiente resistencia a las cargas</w:t>
      </w:r>
      <w:r>
        <w:rPr>
          <w:spacing w:val="-3"/>
          <w:sz w:val="20"/>
        </w:rPr>
        <w:t> </w:t>
      </w:r>
      <w:r>
        <w:rPr>
          <w:sz w:val="20"/>
        </w:rPr>
        <w:t>externas.</w:t>
      </w:r>
    </w:p>
    <w:p>
      <w:pPr>
        <w:pStyle w:val="ListParagraph"/>
        <w:numPr>
          <w:ilvl w:val="0"/>
          <w:numId w:val="278"/>
        </w:numPr>
        <w:tabs>
          <w:tab w:pos="1125" w:val="left" w:leader="none"/>
          <w:tab w:pos="1126" w:val="left" w:leader="none"/>
        </w:tabs>
        <w:spacing w:line="240" w:lineRule="auto" w:before="61" w:after="0"/>
        <w:ind w:left="1126" w:right="0" w:hanging="454"/>
        <w:jc w:val="left"/>
        <w:rPr>
          <w:sz w:val="20"/>
        </w:rPr>
      </w:pPr>
      <w:r>
        <w:rPr>
          <w:sz w:val="20"/>
        </w:rPr>
        <w:t>Flexibilidad para poder absorber sus</w:t>
      </w:r>
      <w:r>
        <w:rPr>
          <w:spacing w:val="-1"/>
          <w:sz w:val="20"/>
        </w:rPr>
        <w:t> </w:t>
      </w:r>
      <w:r>
        <w:rPr>
          <w:sz w:val="20"/>
        </w:rPr>
        <w:t>movimientos.</w:t>
      </w:r>
    </w:p>
    <w:p>
      <w:pPr>
        <w:pStyle w:val="ListParagraph"/>
        <w:numPr>
          <w:ilvl w:val="0"/>
          <w:numId w:val="278"/>
        </w:numPr>
        <w:tabs>
          <w:tab w:pos="1125" w:val="left" w:leader="none"/>
          <w:tab w:pos="1126" w:val="left" w:leader="none"/>
        </w:tabs>
        <w:spacing w:line="240" w:lineRule="auto" w:before="60" w:after="0"/>
        <w:ind w:left="1126" w:right="0" w:hanging="454"/>
        <w:jc w:val="left"/>
        <w:rPr>
          <w:sz w:val="20"/>
        </w:rPr>
      </w:pPr>
      <w:r>
        <w:rPr>
          <w:sz w:val="20"/>
        </w:rPr>
        <w:t>Lisura interior.</w:t>
      </w:r>
    </w:p>
    <w:p>
      <w:pPr>
        <w:pStyle w:val="ListParagraph"/>
        <w:numPr>
          <w:ilvl w:val="0"/>
          <w:numId w:val="278"/>
        </w:numPr>
        <w:tabs>
          <w:tab w:pos="1125" w:val="left" w:leader="none"/>
          <w:tab w:pos="1126" w:val="left" w:leader="none"/>
        </w:tabs>
        <w:spacing w:line="240" w:lineRule="auto" w:before="59" w:after="0"/>
        <w:ind w:left="1126" w:right="0" w:hanging="454"/>
        <w:jc w:val="left"/>
        <w:rPr>
          <w:sz w:val="20"/>
        </w:rPr>
      </w:pPr>
      <w:r>
        <w:rPr>
          <w:sz w:val="20"/>
        </w:rPr>
        <w:t>Resistencia a la</w:t>
      </w:r>
      <w:r>
        <w:rPr>
          <w:spacing w:val="-3"/>
          <w:sz w:val="20"/>
        </w:rPr>
        <w:t> </w:t>
      </w:r>
      <w:r>
        <w:rPr>
          <w:sz w:val="20"/>
        </w:rPr>
        <w:t>abrasión.</w:t>
      </w:r>
    </w:p>
    <w:p>
      <w:pPr>
        <w:pStyle w:val="ListParagraph"/>
        <w:numPr>
          <w:ilvl w:val="0"/>
          <w:numId w:val="278"/>
        </w:numPr>
        <w:tabs>
          <w:tab w:pos="1125" w:val="left" w:leader="none"/>
          <w:tab w:pos="1126" w:val="left" w:leader="none"/>
        </w:tabs>
        <w:spacing w:line="240" w:lineRule="auto" w:before="61" w:after="0"/>
        <w:ind w:left="1126" w:right="0" w:hanging="454"/>
        <w:jc w:val="left"/>
        <w:rPr>
          <w:sz w:val="20"/>
        </w:rPr>
      </w:pPr>
      <w:r>
        <w:rPr>
          <w:sz w:val="20"/>
        </w:rPr>
        <w:t>Resistencia a la</w:t>
      </w:r>
      <w:r>
        <w:rPr>
          <w:spacing w:val="-3"/>
          <w:sz w:val="20"/>
        </w:rPr>
        <w:t> </w:t>
      </w:r>
      <w:r>
        <w:rPr>
          <w:sz w:val="20"/>
        </w:rPr>
        <w:t>corrosión.</w:t>
      </w:r>
    </w:p>
    <w:p>
      <w:pPr>
        <w:pStyle w:val="ListParagraph"/>
        <w:numPr>
          <w:ilvl w:val="0"/>
          <w:numId w:val="278"/>
        </w:numPr>
        <w:tabs>
          <w:tab w:pos="1125" w:val="left" w:leader="none"/>
          <w:tab w:pos="1126" w:val="left" w:leader="none"/>
        </w:tabs>
        <w:spacing w:line="240" w:lineRule="auto" w:before="60" w:after="0"/>
        <w:ind w:left="1126" w:right="0" w:hanging="454"/>
        <w:jc w:val="left"/>
        <w:rPr>
          <w:sz w:val="20"/>
        </w:rPr>
      </w:pPr>
      <w:r>
        <w:rPr>
          <w:sz w:val="20"/>
        </w:rPr>
        <w:t>Absorción de ruidos, producidos y</w:t>
      </w:r>
      <w:r>
        <w:rPr>
          <w:spacing w:val="-4"/>
          <w:sz w:val="20"/>
        </w:rPr>
        <w:t> </w:t>
      </w:r>
      <w:r>
        <w:rPr>
          <w:sz w:val="20"/>
        </w:rPr>
        <w:t>transmitidos.</w:t>
      </w:r>
    </w:p>
    <w:p>
      <w:pPr>
        <w:pStyle w:val="BodyText"/>
        <w:spacing w:before="5"/>
        <w:rPr>
          <w:sz w:val="24"/>
        </w:rPr>
      </w:pPr>
    </w:p>
    <w:p>
      <w:pPr>
        <w:pStyle w:val="Heading3"/>
        <w:numPr>
          <w:ilvl w:val="1"/>
          <w:numId w:val="277"/>
        </w:numPr>
        <w:tabs>
          <w:tab w:pos="786" w:val="left" w:leader="none"/>
          <w:tab w:pos="787" w:val="left" w:leader="none"/>
        </w:tabs>
        <w:spacing w:line="240" w:lineRule="auto" w:before="0" w:after="0"/>
        <w:ind w:left="786" w:right="0" w:hanging="569"/>
        <w:jc w:val="left"/>
      </w:pPr>
      <w:r>
        <w:rPr/>
        <w:t>Materiales de las</w:t>
      </w:r>
      <w:r>
        <w:rPr>
          <w:spacing w:val="-2"/>
        </w:rPr>
        <w:t> </w:t>
      </w:r>
      <w:r>
        <w:rPr/>
        <w:t>canalizaciones</w:t>
      </w:r>
    </w:p>
    <w:p>
      <w:pPr>
        <w:pStyle w:val="BodyText"/>
        <w:tabs>
          <w:tab w:pos="672" w:val="left" w:leader="none"/>
        </w:tabs>
        <w:spacing w:before="99"/>
        <w:ind w:left="672" w:right="574" w:hanging="454"/>
      </w:pPr>
      <w:r>
        <w:rPr/>
        <w:t>1</w:t>
        <w:tab/>
        <w:t>Conforme a lo ya establecido, se consideran adecuadas para las instalaciones de evacuación de residuos las canalizaciones que tengan las características específicas establecidas en las siguien- tes normas:</w:t>
      </w:r>
    </w:p>
    <w:p>
      <w:pPr>
        <w:pStyle w:val="ListParagraph"/>
        <w:numPr>
          <w:ilvl w:val="0"/>
          <w:numId w:val="279"/>
        </w:numPr>
        <w:tabs>
          <w:tab w:pos="1125" w:val="left" w:leader="none"/>
          <w:tab w:pos="1126" w:val="left" w:leader="none"/>
        </w:tabs>
        <w:spacing w:line="240" w:lineRule="auto" w:before="60" w:after="0"/>
        <w:ind w:left="1126" w:right="1268" w:hanging="454"/>
        <w:jc w:val="left"/>
        <w:rPr>
          <w:sz w:val="20"/>
        </w:rPr>
      </w:pPr>
      <w:r>
        <w:rPr>
          <w:sz w:val="20"/>
        </w:rPr>
        <w:t>Tuberías de fundición según normas UNE EN 545:2002, UNE EN 598:1996, UNE EN 877:2000.</w:t>
      </w:r>
    </w:p>
    <w:p>
      <w:pPr>
        <w:spacing w:after="0" w:line="240" w:lineRule="auto"/>
        <w:jc w:val="left"/>
        <w:rPr>
          <w:sz w:val="20"/>
        </w:rPr>
        <w:sectPr>
          <w:pgSz w:w="11910" w:h="16840"/>
          <w:pgMar w:header="714" w:footer="642" w:top="1320" w:bottom="840" w:left="1200" w:right="740"/>
        </w:sectPr>
      </w:pPr>
    </w:p>
    <w:p>
      <w:pPr>
        <w:pStyle w:val="ListParagraph"/>
        <w:numPr>
          <w:ilvl w:val="0"/>
          <w:numId w:val="279"/>
        </w:numPr>
        <w:tabs>
          <w:tab w:pos="1125" w:val="left" w:leader="none"/>
          <w:tab w:pos="1126" w:val="left" w:leader="none"/>
        </w:tabs>
        <w:spacing w:line="240" w:lineRule="auto" w:before="91" w:after="0"/>
        <w:ind w:left="1126" w:right="510" w:hanging="454"/>
        <w:jc w:val="left"/>
        <w:rPr>
          <w:sz w:val="20"/>
        </w:rPr>
      </w:pPr>
      <w:r>
        <w:rPr>
          <w:sz w:val="20"/>
        </w:rPr>
        <w:t>Tuberías de PVC según normas UNE EN 1329-1:1999, UNE EN 1401-1:1998, UNE EN 1453- 1:2000, UNE EN 1456-1:2002, UNE EN</w:t>
      </w:r>
      <w:r>
        <w:rPr>
          <w:spacing w:val="-3"/>
          <w:sz w:val="20"/>
        </w:rPr>
        <w:t> </w:t>
      </w:r>
      <w:r>
        <w:rPr>
          <w:sz w:val="20"/>
        </w:rPr>
        <w:t>1566-1:1999.</w:t>
      </w:r>
    </w:p>
    <w:p>
      <w:pPr>
        <w:pStyle w:val="ListParagraph"/>
        <w:numPr>
          <w:ilvl w:val="0"/>
          <w:numId w:val="279"/>
        </w:numPr>
        <w:tabs>
          <w:tab w:pos="1125" w:val="left" w:leader="none"/>
          <w:tab w:pos="1126" w:val="left" w:leader="none"/>
        </w:tabs>
        <w:spacing w:line="240" w:lineRule="auto" w:before="60" w:after="0"/>
        <w:ind w:left="1126" w:right="0" w:hanging="454"/>
        <w:jc w:val="left"/>
        <w:rPr>
          <w:sz w:val="20"/>
        </w:rPr>
      </w:pPr>
      <w:r>
        <w:rPr>
          <w:sz w:val="20"/>
        </w:rPr>
        <w:t>Tuberías de polipropileno (PP) según norma UNE EN</w:t>
      </w:r>
      <w:r>
        <w:rPr>
          <w:spacing w:val="-6"/>
          <w:sz w:val="20"/>
        </w:rPr>
        <w:t> </w:t>
      </w:r>
      <w:r>
        <w:rPr>
          <w:sz w:val="20"/>
        </w:rPr>
        <w:t>1852-1:1998.</w:t>
      </w:r>
    </w:p>
    <w:p>
      <w:pPr>
        <w:pStyle w:val="ListParagraph"/>
        <w:numPr>
          <w:ilvl w:val="0"/>
          <w:numId w:val="279"/>
        </w:numPr>
        <w:tabs>
          <w:tab w:pos="1125" w:val="left" w:leader="none"/>
          <w:tab w:pos="1126" w:val="left" w:leader="none"/>
        </w:tabs>
        <w:spacing w:line="240" w:lineRule="auto" w:before="60" w:after="0"/>
        <w:ind w:left="1126" w:right="0" w:hanging="454"/>
        <w:jc w:val="left"/>
        <w:rPr>
          <w:sz w:val="20"/>
        </w:rPr>
      </w:pPr>
      <w:r>
        <w:rPr>
          <w:sz w:val="20"/>
        </w:rPr>
        <w:t>Tuberías de gres según norma UNE EN</w:t>
      </w:r>
      <w:r>
        <w:rPr>
          <w:spacing w:val="-4"/>
          <w:sz w:val="20"/>
        </w:rPr>
        <w:t> </w:t>
      </w:r>
      <w:r>
        <w:rPr>
          <w:sz w:val="20"/>
        </w:rPr>
        <w:t>295-1:1999.</w:t>
      </w:r>
    </w:p>
    <w:p>
      <w:pPr>
        <w:pStyle w:val="ListParagraph"/>
        <w:numPr>
          <w:ilvl w:val="0"/>
          <w:numId w:val="279"/>
        </w:numPr>
        <w:tabs>
          <w:tab w:pos="1125" w:val="left" w:leader="none"/>
          <w:tab w:pos="1126" w:val="left" w:leader="none"/>
        </w:tabs>
        <w:spacing w:line="240" w:lineRule="auto" w:before="60" w:after="0"/>
        <w:ind w:left="1126" w:right="0" w:hanging="454"/>
        <w:jc w:val="left"/>
        <w:rPr>
          <w:sz w:val="20"/>
        </w:rPr>
      </w:pPr>
      <w:r>
        <w:rPr>
          <w:sz w:val="20"/>
        </w:rPr>
        <w:t>Tuberías de hormigón según norma UNE 127010:1995</w:t>
      </w:r>
      <w:r>
        <w:rPr>
          <w:spacing w:val="-4"/>
          <w:sz w:val="20"/>
        </w:rPr>
        <w:t> </w:t>
      </w:r>
      <w:r>
        <w:rPr>
          <w:sz w:val="20"/>
        </w:rPr>
        <w:t>EX.</w:t>
      </w:r>
    </w:p>
    <w:p>
      <w:pPr>
        <w:pStyle w:val="BodyText"/>
        <w:spacing w:before="6"/>
        <w:rPr>
          <w:sz w:val="24"/>
        </w:rPr>
      </w:pPr>
    </w:p>
    <w:p>
      <w:pPr>
        <w:pStyle w:val="Heading3"/>
        <w:numPr>
          <w:ilvl w:val="1"/>
          <w:numId w:val="277"/>
        </w:numPr>
        <w:tabs>
          <w:tab w:pos="786" w:val="left" w:leader="none"/>
          <w:tab w:pos="787" w:val="left" w:leader="none"/>
        </w:tabs>
        <w:spacing w:line="240" w:lineRule="auto" w:before="0" w:after="0"/>
        <w:ind w:left="786" w:right="0" w:hanging="569"/>
        <w:jc w:val="left"/>
      </w:pPr>
      <w:r>
        <w:rPr/>
        <w:t>Materiales de los puntos de</w:t>
      </w:r>
      <w:r>
        <w:rPr>
          <w:spacing w:val="-2"/>
        </w:rPr>
        <w:t> </w:t>
      </w:r>
      <w:r>
        <w:rPr/>
        <w:t>captación</w:t>
      </w:r>
    </w:p>
    <w:p>
      <w:pPr>
        <w:pStyle w:val="Heading5"/>
        <w:numPr>
          <w:ilvl w:val="2"/>
          <w:numId w:val="277"/>
        </w:numPr>
        <w:tabs>
          <w:tab w:pos="787" w:val="left" w:leader="none"/>
        </w:tabs>
        <w:spacing w:line="240" w:lineRule="auto" w:before="201" w:after="0"/>
        <w:ind w:left="786" w:right="0" w:hanging="569"/>
        <w:jc w:val="left"/>
      </w:pPr>
      <w:r>
        <w:rPr/>
        <w:t>Sifones</w:t>
      </w:r>
    </w:p>
    <w:p>
      <w:pPr>
        <w:pStyle w:val="BodyText"/>
        <w:tabs>
          <w:tab w:pos="672" w:val="left" w:leader="none"/>
        </w:tabs>
        <w:spacing w:before="97"/>
        <w:ind w:left="218"/>
      </w:pPr>
      <w:r>
        <w:rPr/>
        <w:t>1</w:t>
        <w:tab/>
        <w:t>Serán lisos y de un material resistente a las aguas evacuadas, con un espesor mínimo de 3</w:t>
      </w:r>
      <w:r>
        <w:rPr>
          <w:spacing w:val="-11"/>
        </w:rPr>
        <w:t> </w:t>
      </w:r>
      <w:r>
        <w:rPr/>
        <w:t>mm.</w:t>
      </w:r>
    </w:p>
    <w:p>
      <w:pPr>
        <w:pStyle w:val="BodyText"/>
        <w:spacing w:before="7"/>
        <w:rPr>
          <w:sz w:val="17"/>
        </w:rPr>
      </w:pPr>
    </w:p>
    <w:p>
      <w:pPr>
        <w:pStyle w:val="Heading5"/>
        <w:numPr>
          <w:ilvl w:val="2"/>
          <w:numId w:val="277"/>
        </w:numPr>
        <w:tabs>
          <w:tab w:pos="787" w:val="left" w:leader="none"/>
        </w:tabs>
        <w:spacing w:line="240" w:lineRule="auto" w:before="0" w:after="0"/>
        <w:ind w:left="786" w:right="0" w:hanging="569"/>
        <w:jc w:val="left"/>
      </w:pPr>
      <w:r>
        <w:rPr/>
        <w:t>Calderetas</w:t>
      </w:r>
    </w:p>
    <w:p>
      <w:pPr>
        <w:pStyle w:val="BodyText"/>
        <w:tabs>
          <w:tab w:pos="672" w:val="left" w:leader="none"/>
        </w:tabs>
        <w:spacing w:before="97"/>
        <w:ind w:left="672" w:right="598" w:hanging="454"/>
      </w:pPr>
      <w:r>
        <w:rPr/>
        <w:t>1</w:t>
        <w:tab/>
        <w:t>Podrán ser de cualquier material que reúna las condiciones de estanquidad, resistencia y perfecto acoplamiento a los materiales de cubierta, terraza o</w:t>
      </w:r>
      <w:r>
        <w:rPr>
          <w:spacing w:val="-6"/>
        </w:rPr>
        <w:t> </w:t>
      </w:r>
      <w:r>
        <w:rPr/>
        <w:t>patio.</w:t>
      </w:r>
    </w:p>
    <w:p>
      <w:pPr>
        <w:pStyle w:val="BodyText"/>
        <w:spacing w:before="6"/>
        <w:rPr>
          <w:sz w:val="24"/>
        </w:rPr>
      </w:pPr>
    </w:p>
    <w:p>
      <w:pPr>
        <w:pStyle w:val="Heading3"/>
        <w:numPr>
          <w:ilvl w:val="1"/>
          <w:numId w:val="277"/>
        </w:numPr>
        <w:tabs>
          <w:tab w:pos="787" w:val="left" w:leader="none"/>
        </w:tabs>
        <w:spacing w:line="240" w:lineRule="auto" w:before="0" w:after="0"/>
        <w:ind w:left="786" w:right="0" w:hanging="569"/>
        <w:jc w:val="both"/>
      </w:pPr>
      <w:r>
        <w:rPr/>
        <w:t>Condiciones de los materiales de los</w:t>
      </w:r>
      <w:r>
        <w:rPr>
          <w:spacing w:val="-1"/>
        </w:rPr>
        <w:t> </w:t>
      </w:r>
      <w:r>
        <w:rPr/>
        <w:t>accesorios</w:t>
      </w:r>
    </w:p>
    <w:p>
      <w:pPr>
        <w:pStyle w:val="BodyText"/>
        <w:spacing w:before="98"/>
        <w:ind w:left="218"/>
        <w:jc w:val="both"/>
      </w:pPr>
      <w:r>
        <w:rPr/>
        <w:t>1 Cumplirán las siguientes condiciones:</w:t>
      </w:r>
    </w:p>
    <w:p>
      <w:pPr>
        <w:pStyle w:val="ListParagraph"/>
        <w:numPr>
          <w:ilvl w:val="0"/>
          <w:numId w:val="280"/>
        </w:numPr>
        <w:tabs>
          <w:tab w:pos="1126" w:val="left" w:leader="none"/>
        </w:tabs>
        <w:spacing w:line="240" w:lineRule="auto" w:before="61" w:after="0"/>
        <w:ind w:left="1126" w:right="457" w:hanging="454"/>
        <w:jc w:val="both"/>
        <w:rPr>
          <w:sz w:val="20"/>
        </w:rPr>
      </w:pPr>
      <w:r>
        <w:rPr>
          <w:sz w:val="20"/>
        </w:rPr>
        <w:t>Cualquier elemento metálico o no que sea necesario para la perfecta ejecución de estas insta- laciones reunirá en cuanto a su material, las mismas condiciones exigidas para la canalización en que se</w:t>
      </w:r>
      <w:r>
        <w:rPr>
          <w:spacing w:val="-2"/>
          <w:sz w:val="20"/>
        </w:rPr>
        <w:t> </w:t>
      </w:r>
      <w:r>
        <w:rPr>
          <w:sz w:val="20"/>
        </w:rPr>
        <w:t>inserte.</w:t>
      </w:r>
    </w:p>
    <w:p>
      <w:pPr>
        <w:pStyle w:val="ListParagraph"/>
        <w:numPr>
          <w:ilvl w:val="0"/>
          <w:numId w:val="280"/>
        </w:numPr>
        <w:tabs>
          <w:tab w:pos="1126" w:val="left" w:leader="none"/>
        </w:tabs>
        <w:spacing w:line="240" w:lineRule="auto" w:before="60" w:after="0"/>
        <w:ind w:left="1126" w:right="567" w:hanging="454"/>
        <w:jc w:val="both"/>
        <w:rPr>
          <w:sz w:val="20"/>
        </w:rPr>
      </w:pPr>
      <w:r>
        <w:rPr>
          <w:sz w:val="20"/>
        </w:rPr>
        <w:t>Las piezas de fundición destinadas a tapas, sumideros, válvulas, etc., cumplirán las condicio- nes exigidas para las tuberías de</w:t>
      </w:r>
      <w:r>
        <w:rPr>
          <w:spacing w:val="-1"/>
          <w:sz w:val="20"/>
        </w:rPr>
        <w:t> </w:t>
      </w:r>
      <w:r>
        <w:rPr>
          <w:sz w:val="20"/>
        </w:rPr>
        <w:t>fundición.</w:t>
      </w:r>
    </w:p>
    <w:p>
      <w:pPr>
        <w:pStyle w:val="ListParagraph"/>
        <w:numPr>
          <w:ilvl w:val="0"/>
          <w:numId w:val="280"/>
        </w:numPr>
        <w:tabs>
          <w:tab w:pos="1125" w:val="left" w:leader="none"/>
          <w:tab w:pos="1126" w:val="left" w:leader="none"/>
        </w:tabs>
        <w:spacing w:line="240" w:lineRule="auto" w:before="60" w:after="0"/>
        <w:ind w:left="1126" w:right="710" w:hanging="454"/>
        <w:jc w:val="left"/>
        <w:rPr>
          <w:sz w:val="20"/>
        </w:rPr>
      </w:pPr>
      <w:r>
        <w:rPr>
          <w:sz w:val="20"/>
        </w:rPr>
        <w:t>Las bridas, presillas y demás elementos destinados a la fijación de </w:t>
      </w:r>
      <w:r>
        <w:rPr>
          <w:i/>
          <w:sz w:val="20"/>
        </w:rPr>
        <w:t>bajantes </w:t>
      </w:r>
      <w:r>
        <w:rPr>
          <w:sz w:val="20"/>
        </w:rPr>
        <w:t>serán de hierro metalizado o</w:t>
      </w:r>
      <w:r>
        <w:rPr>
          <w:spacing w:val="-2"/>
          <w:sz w:val="20"/>
        </w:rPr>
        <w:t> </w:t>
      </w:r>
      <w:r>
        <w:rPr>
          <w:sz w:val="20"/>
        </w:rPr>
        <w:t>galvanizado.</w:t>
      </w:r>
    </w:p>
    <w:p>
      <w:pPr>
        <w:pStyle w:val="ListParagraph"/>
        <w:numPr>
          <w:ilvl w:val="0"/>
          <w:numId w:val="280"/>
        </w:numPr>
        <w:tabs>
          <w:tab w:pos="1125" w:val="left" w:leader="none"/>
          <w:tab w:pos="1126" w:val="left" w:leader="none"/>
        </w:tabs>
        <w:spacing w:line="240" w:lineRule="auto" w:before="59" w:after="0"/>
        <w:ind w:left="1126" w:right="466" w:hanging="454"/>
        <w:jc w:val="left"/>
        <w:rPr>
          <w:sz w:val="20"/>
        </w:rPr>
      </w:pPr>
      <w:r>
        <w:rPr>
          <w:sz w:val="20"/>
        </w:rPr>
        <w:t>Cuando se trate de </w:t>
      </w:r>
      <w:r>
        <w:rPr>
          <w:i/>
          <w:sz w:val="20"/>
        </w:rPr>
        <w:t>bajantes </w:t>
      </w:r>
      <w:r>
        <w:rPr>
          <w:sz w:val="20"/>
        </w:rPr>
        <w:t>de material plástico se intercalará, entre la abrazadera y la </w:t>
      </w:r>
      <w:r>
        <w:rPr>
          <w:i/>
          <w:sz w:val="20"/>
        </w:rPr>
        <w:t>bajan- </w:t>
      </w:r>
      <w:r>
        <w:rPr>
          <w:i/>
          <w:sz w:val="20"/>
        </w:rPr>
        <w:t>te</w:t>
      </w:r>
      <w:r>
        <w:rPr>
          <w:sz w:val="20"/>
        </w:rPr>
        <w:t>, un manguito de</w:t>
      </w:r>
      <w:r>
        <w:rPr>
          <w:spacing w:val="-2"/>
          <w:sz w:val="20"/>
        </w:rPr>
        <w:t> </w:t>
      </w:r>
      <w:r>
        <w:rPr>
          <w:sz w:val="20"/>
        </w:rPr>
        <w:t>plástico.</w:t>
      </w:r>
    </w:p>
    <w:p>
      <w:pPr>
        <w:pStyle w:val="ListParagraph"/>
        <w:numPr>
          <w:ilvl w:val="0"/>
          <w:numId w:val="280"/>
        </w:numPr>
        <w:tabs>
          <w:tab w:pos="1125" w:val="left" w:leader="none"/>
          <w:tab w:pos="1126" w:val="left" w:leader="none"/>
        </w:tabs>
        <w:spacing w:line="240" w:lineRule="auto" w:before="61" w:after="0"/>
        <w:ind w:left="1126" w:right="634" w:hanging="454"/>
        <w:jc w:val="left"/>
        <w:rPr>
          <w:sz w:val="20"/>
        </w:rPr>
      </w:pPr>
      <w:r>
        <w:rPr>
          <w:sz w:val="20"/>
        </w:rPr>
        <w:t>Igualmente cumplirán estas prescripciones todos los herrajes que se utilicen en la ejecución, tales como peldaños de pozos, tuercas y y bridas de presión en las tapas de registro,</w:t>
      </w:r>
      <w:r>
        <w:rPr>
          <w:spacing w:val="-11"/>
          <w:sz w:val="20"/>
        </w:rPr>
        <w:t> </w:t>
      </w:r>
      <w:r>
        <w:rPr>
          <w:sz w:val="20"/>
        </w:rPr>
        <w:t>etc.</w:t>
      </w:r>
    </w:p>
    <w:p>
      <w:pPr>
        <w:pStyle w:val="BodyText"/>
        <w:rPr>
          <w:sz w:val="22"/>
        </w:rPr>
      </w:pPr>
    </w:p>
    <w:p>
      <w:pPr>
        <w:pStyle w:val="BodyText"/>
        <w:spacing w:before="10"/>
        <w:rPr>
          <w:sz w:val="19"/>
        </w:rPr>
      </w:pPr>
    </w:p>
    <w:p>
      <w:pPr>
        <w:pStyle w:val="Heading2"/>
        <w:jc w:val="both"/>
      </w:pPr>
      <w:r>
        <w:rPr/>
        <w:t>7 Mantenimiento y conservación</w:t>
      </w:r>
    </w:p>
    <w:p>
      <w:pPr>
        <w:pStyle w:val="ListParagraph"/>
        <w:numPr>
          <w:ilvl w:val="0"/>
          <w:numId w:val="281"/>
        </w:numPr>
        <w:tabs>
          <w:tab w:pos="672" w:val="left" w:leader="none"/>
          <w:tab w:pos="673" w:val="left" w:leader="none"/>
        </w:tabs>
        <w:spacing w:line="240" w:lineRule="auto" w:before="159" w:after="0"/>
        <w:ind w:left="672" w:right="495" w:hanging="454"/>
        <w:jc w:val="left"/>
        <w:rPr>
          <w:sz w:val="20"/>
        </w:rPr>
      </w:pPr>
      <w:r>
        <w:rPr>
          <w:sz w:val="20"/>
        </w:rPr>
        <w:t>Para un correcto funcionamiento de la instalación de saneamiento, se debe comprobar periódica- mente la estanqueidad general de la red con sus posibles fugas, la existencia de olores y el mante- nimiento del resto de</w:t>
      </w:r>
      <w:r>
        <w:rPr>
          <w:spacing w:val="-4"/>
          <w:sz w:val="20"/>
        </w:rPr>
        <w:t> </w:t>
      </w:r>
      <w:r>
        <w:rPr>
          <w:sz w:val="20"/>
        </w:rPr>
        <w:t>elementos.</w:t>
      </w:r>
    </w:p>
    <w:p>
      <w:pPr>
        <w:pStyle w:val="ListParagraph"/>
        <w:numPr>
          <w:ilvl w:val="0"/>
          <w:numId w:val="281"/>
        </w:numPr>
        <w:tabs>
          <w:tab w:pos="672" w:val="left" w:leader="none"/>
          <w:tab w:pos="673" w:val="left" w:leader="none"/>
        </w:tabs>
        <w:spacing w:line="240" w:lineRule="auto" w:before="60" w:after="0"/>
        <w:ind w:left="672" w:right="878" w:hanging="454"/>
        <w:jc w:val="left"/>
        <w:rPr>
          <w:sz w:val="20"/>
        </w:rPr>
      </w:pPr>
      <w:r>
        <w:rPr>
          <w:sz w:val="20"/>
        </w:rPr>
        <w:t>Se revisarán y desatascarán los sifones y válvulas, cada vez que se produzca una disminución apreciable del caudal de evacuación, o haya</w:t>
      </w:r>
      <w:r>
        <w:rPr>
          <w:spacing w:val="-5"/>
          <w:sz w:val="20"/>
        </w:rPr>
        <w:t> </w:t>
      </w:r>
      <w:r>
        <w:rPr>
          <w:sz w:val="20"/>
        </w:rPr>
        <w:t>obstrucciones.</w:t>
      </w:r>
    </w:p>
    <w:p>
      <w:pPr>
        <w:pStyle w:val="ListParagraph"/>
        <w:numPr>
          <w:ilvl w:val="0"/>
          <w:numId w:val="281"/>
        </w:numPr>
        <w:tabs>
          <w:tab w:pos="673" w:val="left" w:leader="none"/>
        </w:tabs>
        <w:spacing w:line="240" w:lineRule="auto" w:before="60" w:after="0"/>
        <w:ind w:left="672" w:right="579" w:hanging="454"/>
        <w:jc w:val="both"/>
        <w:rPr>
          <w:sz w:val="20"/>
        </w:rPr>
      </w:pPr>
      <w:r>
        <w:rPr>
          <w:sz w:val="20"/>
        </w:rPr>
        <w:t>Cada 6 meses se limpiarán los sumideros de locales húmedos y cubiertas transitables, y los botes sifónicos. Los sumideros y calderetas de cubiertas no transitables se limpiarán, al menos, una vez al año.</w:t>
      </w:r>
    </w:p>
    <w:p>
      <w:pPr>
        <w:pStyle w:val="ListParagraph"/>
        <w:numPr>
          <w:ilvl w:val="0"/>
          <w:numId w:val="281"/>
        </w:numPr>
        <w:tabs>
          <w:tab w:pos="673" w:val="left" w:leader="none"/>
        </w:tabs>
        <w:spacing w:line="240" w:lineRule="auto" w:before="60" w:after="0"/>
        <w:ind w:left="672" w:right="642" w:hanging="454"/>
        <w:jc w:val="both"/>
        <w:rPr>
          <w:sz w:val="20"/>
        </w:rPr>
      </w:pPr>
      <w:r>
        <w:rPr>
          <w:sz w:val="20"/>
        </w:rPr>
        <w:t>Una vez al año se revisarán los </w:t>
      </w:r>
      <w:r>
        <w:rPr>
          <w:i/>
          <w:sz w:val="20"/>
        </w:rPr>
        <w:t>colectores </w:t>
      </w:r>
      <w:r>
        <w:rPr>
          <w:sz w:val="20"/>
        </w:rPr>
        <w:t>suspendidos, se limpiarán las arquetas sumidero y el resto de posibles elementos de la instalación tales como pozos de registro, bombas de</w:t>
      </w:r>
      <w:r>
        <w:rPr>
          <w:spacing w:val="-13"/>
          <w:sz w:val="20"/>
        </w:rPr>
        <w:t> </w:t>
      </w:r>
      <w:r>
        <w:rPr>
          <w:sz w:val="20"/>
        </w:rPr>
        <w:t>elevación.</w:t>
      </w:r>
    </w:p>
    <w:p>
      <w:pPr>
        <w:pStyle w:val="ListParagraph"/>
        <w:numPr>
          <w:ilvl w:val="0"/>
          <w:numId w:val="281"/>
        </w:numPr>
        <w:tabs>
          <w:tab w:pos="673" w:val="left" w:leader="none"/>
        </w:tabs>
        <w:spacing w:line="240" w:lineRule="auto" w:before="59" w:after="0"/>
        <w:ind w:left="672" w:right="430" w:hanging="454"/>
        <w:jc w:val="both"/>
        <w:rPr>
          <w:sz w:val="20"/>
        </w:rPr>
      </w:pPr>
      <w:r>
        <w:rPr>
          <w:sz w:val="20"/>
        </w:rPr>
        <w:t>Cada 10 años se procederá a la limpieza de arquetas de pie de bajante, de paso y sifónicas o antes si se apreciaran</w:t>
      </w:r>
      <w:r>
        <w:rPr>
          <w:spacing w:val="-1"/>
          <w:sz w:val="20"/>
        </w:rPr>
        <w:t> </w:t>
      </w:r>
      <w:r>
        <w:rPr>
          <w:sz w:val="20"/>
        </w:rPr>
        <w:t>olores.</w:t>
      </w:r>
    </w:p>
    <w:p>
      <w:pPr>
        <w:pStyle w:val="ListParagraph"/>
        <w:numPr>
          <w:ilvl w:val="0"/>
          <w:numId w:val="281"/>
        </w:numPr>
        <w:tabs>
          <w:tab w:pos="673" w:val="left" w:leader="none"/>
        </w:tabs>
        <w:spacing w:line="240" w:lineRule="auto" w:before="60" w:after="0"/>
        <w:ind w:left="672" w:right="0" w:hanging="455"/>
        <w:jc w:val="both"/>
        <w:rPr>
          <w:sz w:val="20"/>
        </w:rPr>
      </w:pPr>
      <w:r>
        <w:rPr>
          <w:sz w:val="20"/>
        </w:rPr>
        <w:t>Cada 6 meses se limpiará el separador de grasas y fangos si este</w:t>
      </w:r>
      <w:r>
        <w:rPr>
          <w:spacing w:val="-5"/>
          <w:sz w:val="20"/>
        </w:rPr>
        <w:t> </w:t>
      </w:r>
      <w:r>
        <w:rPr>
          <w:sz w:val="20"/>
        </w:rPr>
        <w:t>existiera.</w:t>
      </w:r>
    </w:p>
    <w:p>
      <w:pPr>
        <w:pStyle w:val="ListParagraph"/>
        <w:numPr>
          <w:ilvl w:val="0"/>
          <w:numId w:val="281"/>
        </w:numPr>
        <w:tabs>
          <w:tab w:pos="673" w:val="left" w:leader="none"/>
        </w:tabs>
        <w:spacing w:line="240" w:lineRule="auto" w:before="61" w:after="0"/>
        <w:ind w:left="672" w:right="698" w:hanging="454"/>
        <w:jc w:val="both"/>
        <w:rPr>
          <w:sz w:val="20"/>
        </w:rPr>
      </w:pPr>
      <w:r>
        <w:rPr>
          <w:sz w:val="20"/>
        </w:rPr>
        <w:t>Se mantendrá el agua permanentemente en los sumideros, botes sifónicos y sifones individuales para evitar malos olores, así como se limpiarán los de terrazas y</w:t>
      </w:r>
      <w:r>
        <w:rPr>
          <w:spacing w:val="-4"/>
          <w:sz w:val="20"/>
        </w:rPr>
        <w:t> </w:t>
      </w:r>
      <w:r>
        <w:rPr>
          <w:sz w:val="20"/>
        </w:rPr>
        <w:t>cubiertas.</w:t>
      </w:r>
    </w:p>
    <w:p>
      <w:pPr>
        <w:spacing w:after="0" w:line="240" w:lineRule="auto"/>
        <w:jc w:val="both"/>
        <w:rPr>
          <w:sz w:val="20"/>
        </w:rPr>
        <w:sectPr>
          <w:pgSz w:w="11910" w:h="16840"/>
          <w:pgMar w:header="714" w:footer="642" w:top="1320" w:bottom="840" w:left="1200" w:right="740"/>
        </w:sectPr>
      </w:pPr>
    </w:p>
    <w:p>
      <w:pPr>
        <w:pStyle w:val="BodyText"/>
      </w:pPr>
    </w:p>
    <w:p>
      <w:pPr>
        <w:pStyle w:val="BodyText"/>
        <w:spacing w:before="8"/>
        <w:rPr>
          <w:sz w:val="16"/>
        </w:rPr>
      </w:pPr>
    </w:p>
    <w:p>
      <w:pPr>
        <w:pStyle w:val="Heading2"/>
        <w:spacing w:before="91"/>
      </w:pPr>
      <w:r>
        <w:rPr/>
        <w:t>Apéndice A. Terminología</w:t>
      </w:r>
    </w:p>
    <w:p>
      <w:pPr>
        <w:pStyle w:val="BodyText"/>
        <w:spacing w:before="157"/>
        <w:ind w:left="218" w:right="549"/>
      </w:pPr>
      <w:r>
        <w:rPr>
          <w:b/>
        </w:rPr>
        <w:t>Acometida: </w:t>
      </w:r>
      <w:r>
        <w:rPr/>
        <w:t>conjunto de conducciones, accesorios y uniones instalados fuera de los límites del edificio, que enlazan la red de evacuación de éste a la red general de saneamiento o al sistema de depuración.</w:t>
      </w:r>
    </w:p>
    <w:p>
      <w:pPr>
        <w:pStyle w:val="BodyText"/>
        <w:spacing w:before="1"/>
      </w:pPr>
    </w:p>
    <w:p>
      <w:pPr>
        <w:pStyle w:val="BodyText"/>
        <w:ind w:left="218"/>
      </w:pPr>
      <w:r>
        <w:rPr>
          <w:b/>
        </w:rPr>
        <w:t>Aguas pluviales: </w:t>
      </w:r>
      <w:r>
        <w:rPr/>
        <w:t>aguas procedentes de precipitación natural, básicamente sin contaminar.</w:t>
      </w:r>
    </w:p>
    <w:p>
      <w:pPr>
        <w:pStyle w:val="BodyText"/>
      </w:pPr>
    </w:p>
    <w:p>
      <w:pPr>
        <w:pStyle w:val="BodyText"/>
        <w:spacing w:before="1"/>
        <w:ind w:left="218" w:right="482"/>
      </w:pPr>
      <w:r>
        <w:rPr>
          <w:b/>
        </w:rPr>
        <w:t>Aguas residuales: </w:t>
      </w:r>
      <w:r>
        <w:rPr/>
        <w:t>las aguas residuales que proceden de la utilización de los aparatos sanitarios comu- nes de los edificios.</w:t>
      </w:r>
    </w:p>
    <w:p>
      <w:pPr>
        <w:pStyle w:val="BodyText"/>
        <w:spacing w:before="11"/>
        <w:rPr>
          <w:sz w:val="19"/>
        </w:rPr>
      </w:pPr>
    </w:p>
    <w:p>
      <w:pPr>
        <w:pStyle w:val="BodyText"/>
        <w:ind w:left="218" w:right="638"/>
      </w:pPr>
      <w:r>
        <w:rPr>
          <w:b/>
        </w:rPr>
        <w:t>Altura de cierre hidráulico: </w:t>
      </w:r>
      <w:r>
        <w:rPr/>
        <w:t>la altura de la columna de agua que habría que evacuar de un sifón com- pletamente lleno antes de que, a la presión atmosférica, los gases y los olores pudiesen salir del sifón hacia el exterior.</w:t>
      </w:r>
    </w:p>
    <w:p>
      <w:pPr>
        <w:pStyle w:val="BodyText"/>
        <w:spacing w:before="11"/>
        <w:rPr>
          <w:sz w:val="19"/>
        </w:rPr>
      </w:pPr>
    </w:p>
    <w:p>
      <w:pPr>
        <w:pStyle w:val="BodyText"/>
        <w:ind w:left="218" w:right="494"/>
      </w:pPr>
      <w:r>
        <w:rPr>
          <w:b/>
        </w:rPr>
        <w:t>Aparato sanitario: </w:t>
      </w:r>
      <w:r>
        <w:rPr/>
        <w:t>dispositivo empleado para el suministro local de agua para uso sanitario en los edifi- cios, así como para su evacuación.</w:t>
      </w:r>
    </w:p>
    <w:p>
      <w:pPr>
        <w:pStyle w:val="BodyText"/>
      </w:pPr>
    </w:p>
    <w:p>
      <w:pPr>
        <w:pStyle w:val="BodyText"/>
        <w:ind w:left="218" w:right="605"/>
      </w:pPr>
      <w:r>
        <w:rPr>
          <w:b/>
        </w:rPr>
        <w:t>Aparatos sanitarios domésticos: </w:t>
      </w:r>
      <w:r>
        <w:rPr/>
        <w:t>elementos pertenecientes al equipamiento higiénico de los edificios que están alimentados por agua y son utilizados para la limpieza o el lavado, tales como bañeras, du- chas, lavabos, bidés, inodoros, urinarios, fregaderos, lavavajillas y lavadoras automáticas.</w:t>
      </w:r>
    </w:p>
    <w:p>
      <w:pPr>
        <w:pStyle w:val="BodyText"/>
      </w:pPr>
    </w:p>
    <w:p>
      <w:pPr>
        <w:spacing w:before="1"/>
        <w:ind w:left="218" w:right="472" w:firstLine="0"/>
        <w:jc w:val="left"/>
        <w:rPr>
          <w:sz w:val="20"/>
        </w:rPr>
      </w:pPr>
      <w:r>
        <w:rPr>
          <w:b/>
          <w:sz w:val="20"/>
        </w:rPr>
        <w:t>Aparatos sanitarios industriales: </w:t>
      </w:r>
      <w:r>
        <w:rPr>
          <w:sz w:val="20"/>
        </w:rPr>
        <w:t>aparatos sanitarios de uso específico en cocinas comerciales, lavan- derías, laboratorios, hospitales, etc.</w:t>
      </w:r>
    </w:p>
    <w:p>
      <w:pPr>
        <w:pStyle w:val="BodyText"/>
        <w:spacing w:before="11"/>
        <w:rPr>
          <w:sz w:val="19"/>
        </w:rPr>
      </w:pPr>
    </w:p>
    <w:p>
      <w:pPr>
        <w:pStyle w:val="BodyText"/>
        <w:ind w:left="218" w:right="438"/>
      </w:pPr>
      <w:r>
        <w:rPr>
          <w:b/>
        </w:rPr>
        <w:t>Bajantes: </w:t>
      </w:r>
      <w:r>
        <w:rPr/>
        <w:t>canalizaciones que conducen verticalmente las </w:t>
      </w:r>
      <w:r>
        <w:rPr>
          <w:i/>
        </w:rPr>
        <w:t>aguas pluviales </w:t>
      </w:r>
      <w:r>
        <w:rPr/>
        <w:t>desde los sumideros sifónicos en cubierta y los canalones y las </w:t>
      </w:r>
      <w:r>
        <w:rPr>
          <w:i/>
        </w:rPr>
        <w:t>aguas residuales </w:t>
      </w:r>
      <w:r>
        <w:rPr/>
        <w:t>desde las redes de pequeña evacuación e inodoros hasta la arqueta a pie de bajante o hasta el </w:t>
      </w:r>
      <w:r>
        <w:rPr>
          <w:i/>
        </w:rPr>
        <w:t>colector </w:t>
      </w:r>
      <w:r>
        <w:rPr/>
        <w:t>suspendido.</w:t>
      </w:r>
    </w:p>
    <w:p>
      <w:pPr>
        <w:pStyle w:val="BodyText"/>
      </w:pPr>
    </w:p>
    <w:p>
      <w:pPr>
        <w:pStyle w:val="BodyText"/>
        <w:ind w:left="218" w:right="750"/>
        <w:jc w:val="both"/>
      </w:pPr>
      <w:r>
        <w:rPr>
          <w:b/>
        </w:rPr>
        <w:t>Cierre hidráulico: </w:t>
      </w:r>
      <w:r>
        <w:rPr/>
        <w:t>o sello hidráulico, es un dispositivo que retiene una determinada cantidad de agua que impide el paso de aire fétido desde la red de evacuación a los locales donde están instalados los aparatos sanitarios, sin afectar el flujo del agua a través de él.</w:t>
      </w:r>
    </w:p>
    <w:p>
      <w:pPr>
        <w:pStyle w:val="BodyText"/>
      </w:pPr>
    </w:p>
    <w:p>
      <w:pPr>
        <w:spacing w:before="0"/>
        <w:ind w:left="218" w:right="560" w:firstLine="0"/>
        <w:jc w:val="left"/>
        <w:rPr>
          <w:sz w:val="20"/>
        </w:rPr>
      </w:pPr>
      <w:r>
        <w:rPr>
          <w:b/>
          <w:sz w:val="20"/>
        </w:rPr>
        <w:t>Coeficiente de rugosidad “n”: </w:t>
      </w:r>
      <w:r>
        <w:rPr>
          <w:sz w:val="20"/>
        </w:rPr>
        <w:t>es un coeficiente adimensional que depende de la rugosidad, grado de suciedad y diámetro de la tubería.</w:t>
      </w:r>
    </w:p>
    <w:p>
      <w:pPr>
        <w:pStyle w:val="BodyText"/>
      </w:pPr>
    </w:p>
    <w:p>
      <w:pPr>
        <w:pStyle w:val="BodyText"/>
        <w:ind w:left="218"/>
      </w:pPr>
      <w:r>
        <w:rPr>
          <w:b/>
        </w:rPr>
        <w:t>Colector: </w:t>
      </w:r>
      <w:r>
        <w:rPr/>
        <w:t>canalización que conduce las aguas desde las </w:t>
      </w:r>
      <w:r>
        <w:rPr>
          <w:i/>
        </w:rPr>
        <w:t>bajantes </w:t>
      </w:r>
      <w:r>
        <w:rPr/>
        <w:t>hasta la red de alcantarillado público.</w:t>
      </w:r>
    </w:p>
    <w:p>
      <w:pPr>
        <w:pStyle w:val="BodyText"/>
      </w:pPr>
    </w:p>
    <w:p>
      <w:pPr>
        <w:pStyle w:val="BodyText"/>
        <w:ind w:left="218" w:right="573"/>
        <w:jc w:val="both"/>
      </w:pPr>
      <w:r>
        <w:rPr>
          <w:b/>
        </w:rPr>
        <w:t>Cota de evacuación</w:t>
      </w:r>
      <w:r>
        <w:rPr/>
        <w:t>: diferencia de altura entre el punto de vertido más bajo en el edificio y el de cone- xión a la red de vertido. En ocasiones será necesaria la colocación de un sistema de bombeo para eva- cuar parte de las </w:t>
      </w:r>
      <w:r>
        <w:rPr>
          <w:i/>
        </w:rPr>
        <w:t>aguas residuales </w:t>
      </w:r>
      <w:r>
        <w:rPr/>
        <w:t>generadas en el edificio.</w:t>
      </w:r>
    </w:p>
    <w:p>
      <w:pPr>
        <w:pStyle w:val="BodyText"/>
      </w:pPr>
    </w:p>
    <w:p>
      <w:pPr>
        <w:spacing w:before="0"/>
        <w:ind w:left="218" w:right="0" w:firstLine="0"/>
        <w:jc w:val="both"/>
        <w:rPr>
          <w:sz w:val="20"/>
        </w:rPr>
      </w:pPr>
      <w:r>
        <w:rPr>
          <w:b/>
          <w:sz w:val="20"/>
        </w:rPr>
        <w:t>Diámetro exterior: </w:t>
      </w:r>
      <w:r>
        <w:rPr>
          <w:sz w:val="20"/>
        </w:rPr>
        <w:t>diámetro exterior medio de la tubería en cualquier sección transversal.</w:t>
      </w:r>
    </w:p>
    <w:p>
      <w:pPr>
        <w:pStyle w:val="BodyText"/>
      </w:pPr>
    </w:p>
    <w:p>
      <w:pPr>
        <w:spacing w:before="0"/>
        <w:ind w:left="218" w:right="0" w:firstLine="0"/>
        <w:jc w:val="both"/>
        <w:rPr>
          <w:sz w:val="20"/>
        </w:rPr>
      </w:pPr>
      <w:r>
        <w:rPr>
          <w:b/>
          <w:sz w:val="20"/>
        </w:rPr>
        <w:t>Diámetro interior: </w:t>
      </w:r>
      <w:r>
        <w:rPr>
          <w:sz w:val="20"/>
        </w:rPr>
        <w:t>diámetro interior medio de la tubería en cualquier sección transversal.</w:t>
      </w:r>
    </w:p>
    <w:p>
      <w:pPr>
        <w:pStyle w:val="BodyText"/>
        <w:spacing w:before="11"/>
        <w:rPr>
          <w:sz w:val="19"/>
        </w:rPr>
      </w:pPr>
    </w:p>
    <w:p>
      <w:pPr>
        <w:pStyle w:val="BodyText"/>
        <w:ind w:left="218" w:right="474"/>
        <w:jc w:val="both"/>
      </w:pPr>
      <w:r>
        <w:rPr>
          <w:b/>
        </w:rPr>
        <w:t>Diámetro nominal: </w:t>
      </w:r>
      <w:r>
        <w:rPr/>
        <w:t>designación numérica de la dimensión que corresponde al número redondeado más aproximado al valor real del diámetro, en mm.</w:t>
      </w:r>
    </w:p>
    <w:p>
      <w:pPr>
        <w:pStyle w:val="BodyText"/>
      </w:pPr>
    </w:p>
    <w:p>
      <w:pPr>
        <w:pStyle w:val="BodyText"/>
        <w:ind w:left="218" w:right="437"/>
      </w:pPr>
      <w:r>
        <w:rPr>
          <w:b/>
        </w:rPr>
        <w:t>Flujo en conducciones horizontales: </w:t>
      </w:r>
      <w:r>
        <w:rPr/>
        <w:t>depende de la fuerza de gravedad que es inducida por la pen- diente de la tubería y la altura del agua en la misma. El flujo uniforme se alcanza cuando el agua ha teni- do tiempo suficiente de llegar a un estado en el que la pendiente de su superficie libre es igual a la de la tubería.</w:t>
      </w:r>
    </w:p>
    <w:p>
      <w:pPr>
        <w:pStyle w:val="BodyText"/>
      </w:pPr>
    </w:p>
    <w:p>
      <w:pPr>
        <w:pStyle w:val="BodyText"/>
        <w:ind w:left="218" w:right="397"/>
      </w:pPr>
      <w:r>
        <w:rPr>
          <w:b/>
        </w:rPr>
        <w:t>Flujo en conducciones verticales: </w:t>
      </w:r>
      <w:r>
        <w:rPr/>
        <w:t>depende esencialmente del caudal, función a su vez del diámetro de la tubería y de la relación entre la superficie transversal de la lámina de agua y la superficie transversal de la tubería.</w:t>
      </w:r>
    </w:p>
    <w:p>
      <w:pPr>
        <w:spacing w:after="0"/>
        <w:sectPr>
          <w:pgSz w:w="11910" w:h="16840"/>
          <w:pgMar w:header="714" w:footer="642" w:top="1320" w:bottom="840" w:left="1200" w:right="740"/>
        </w:sectPr>
      </w:pPr>
    </w:p>
    <w:p>
      <w:pPr>
        <w:pStyle w:val="BodyText"/>
        <w:spacing w:before="91"/>
        <w:ind w:left="218" w:right="782"/>
      </w:pPr>
      <w:r>
        <w:rPr>
          <w:b/>
        </w:rPr>
        <w:t>Longitud efectiva: </w:t>
      </w:r>
      <w:r>
        <w:rPr/>
        <w:t>de una red de ventilación, es igual a la longitud equivalente dividida por 1,5, para incluir sin pormenorizar, las pérdidas localizadas por elementos singulares de la</w:t>
      </w:r>
      <w:r>
        <w:rPr>
          <w:spacing w:val="-4"/>
        </w:rPr>
        <w:t> </w:t>
      </w:r>
      <w:r>
        <w:rPr/>
        <w:t>red..</w:t>
      </w:r>
    </w:p>
    <w:p>
      <w:pPr>
        <w:pStyle w:val="BodyText"/>
      </w:pPr>
    </w:p>
    <w:p>
      <w:pPr>
        <w:pStyle w:val="BodyText"/>
        <w:ind w:left="218" w:right="538"/>
      </w:pPr>
      <w:r>
        <w:rPr>
          <w:b/>
        </w:rPr>
        <w:t>Longitud equivalente: </w:t>
      </w:r>
      <w:r>
        <w:rPr/>
        <w:t>de una red de ventilación, depende del diámetro de la tubería, de su coeficiente de fricción y del caudal de aire (función a su vez del caudal de agua),</w:t>
      </w:r>
      <w:r>
        <w:rPr>
          <w:spacing w:val="-7"/>
        </w:rPr>
        <w:t> </w:t>
      </w:r>
      <w:r>
        <w:rPr/>
        <w:t>expresándose:</w:t>
      </w:r>
    </w:p>
    <w:p>
      <w:pPr>
        <w:pStyle w:val="BodyText"/>
        <w:spacing w:before="60"/>
        <w:ind w:left="218"/>
      </w:pPr>
      <w:r>
        <w:rPr/>
        <w:t>L = 2,58 X 10</w:t>
      </w:r>
      <w:r>
        <w:rPr>
          <w:vertAlign w:val="superscript"/>
        </w:rPr>
        <w:t>-7</w:t>
      </w:r>
      <w:r>
        <w:rPr>
          <w:vertAlign w:val="baseline"/>
        </w:rPr>
        <w:t> x (d</w:t>
      </w:r>
      <w:r>
        <w:rPr>
          <w:vertAlign w:val="superscript"/>
        </w:rPr>
        <w:t>5</w:t>
      </w:r>
      <w:r>
        <w:rPr>
          <w:vertAlign w:val="baseline"/>
        </w:rPr>
        <w:t> / (f x q</w:t>
      </w:r>
      <w:r>
        <w:rPr>
          <w:vertAlign w:val="superscript"/>
        </w:rPr>
        <w:t>2</w:t>
      </w:r>
      <w:r>
        <w:rPr>
          <w:vertAlign w:val="baseline"/>
        </w:rPr>
        <w:t>))</w:t>
      </w:r>
    </w:p>
    <w:p>
      <w:pPr>
        <w:pStyle w:val="BodyText"/>
        <w:spacing w:before="61"/>
        <w:ind w:left="218"/>
      </w:pPr>
      <w:r>
        <w:rPr/>
        <w:t>Siendo:</w:t>
      </w:r>
    </w:p>
    <w:p>
      <w:pPr>
        <w:pStyle w:val="BodyText"/>
        <w:tabs>
          <w:tab w:pos="638" w:val="left" w:leader="none"/>
        </w:tabs>
        <w:spacing w:before="59"/>
        <w:ind w:left="218"/>
      </w:pPr>
      <w:r>
        <w:rPr/>
        <w:t>d</w:t>
        <w:tab/>
        <w:t>diámetro de la tubería, en</w:t>
      </w:r>
      <w:r>
        <w:rPr>
          <w:spacing w:val="-3"/>
        </w:rPr>
        <w:t> </w:t>
      </w:r>
      <w:r>
        <w:rPr/>
        <w:t>mm</w:t>
      </w:r>
    </w:p>
    <w:p>
      <w:pPr>
        <w:pStyle w:val="BodyText"/>
        <w:tabs>
          <w:tab w:pos="624" w:val="left" w:leader="none"/>
        </w:tabs>
        <w:spacing w:line="302" w:lineRule="auto" w:before="60"/>
        <w:ind w:left="218" w:right="6111"/>
      </w:pPr>
      <w:r>
        <w:rPr/>
        <w:t>f</w:t>
        <w:tab/>
        <w:t>coeficiente de fricción, adimensional q</w:t>
        <w:tab/>
        <w:t>caudal de aire, en</w:t>
      </w:r>
      <w:r>
        <w:rPr>
          <w:spacing w:val="-2"/>
        </w:rPr>
        <w:t> </w:t>
      </w:r>
      <w:r>
        <w:rPr/>
        <w:t>dm</w:t>
      </w:r>
      <w:r>
        <w:rPr>
          <w:vertAlign w:val="superscript"/>
        </w:rPr>
        <w:t>3</w:t>
      </w:r>
      <w:r>
        <w:rPr>
          <w:vertAlign w:val="baseline"/>
        </w:rPr>
        <w:t>/s</w:t>
      </w:r>
    </w:p>
    <w:p>
      <w:pPr>
        <w:pStyle w:val="BodyText"/>
        <w:ind w:left="218"/>
      </w:pPr>
      <w:r>
        <w:rPr/>
        <w:t>Para una presión de 250</w:t>
      </w:r>
      <w:r>
        <w:rPr>
          <w:spacing w:val="-2"/>
        </w:rPr>
        <w:t> </w:t>
      </w:r>
      <w:r>
        <w:rPr/>
        <w:t>Pa.</w:t>
      </w:r>
    </w:p>
    <w:p>
      <w:pPr>
        <w:pStyle w:val="BodyText"/>
        <w:spacing w:before="2"/>
        <w:rPr>
          <w:sz w:val="25"/>
        </w:rPr>
      </w:pPr>
    </w:p>
    <w:p>
      <w:pPr>
        <w:pStyle w:val="BodyText"/>
        <w:ind w:left="218" w:right="572"/>
      </w:pPr>
      <w:r>
        <w:rPr>
          <w:b/>
        </w:rPr>
        <w:t>Manguito de dilatación: </w:t>
      </w:r>
      <w:r>
        <w:rPr/>
        <w:t>accesorio con la función de absorber las dilataciones y contracciones lineales de las conducciones provocadas por cambios de temperatura.</w:t>
      </w:r>
    </w:p>
    <w:p>
      <w:pPr>
        <w:pStyle w:val="BodyText"/>
      </w:pPr>
    </w:p>
    <w:p>
      <w:pPr>
        <w:pStyle w:val="BodyText"/>
        <w:ind w:left="218" w:right="583"/>
      </w:pPr>
      <w:r>
        <w:rPr>
          <w:b/>
        </w:rPr>
        <w:t>Manguito intermedio: </w:t>
      </w:r>
      <w:r>
        <w:rPr/>
        <w:t>accesorio destinado a compensar las diferencias de dimensión o de material en las uniones entre tuberías.</w:t>
      </w:r>
    </w:p>
    <w:p>
      <w:pPr>
        <w:pStyle w:val="BodyText"/>
      </w:pPr>
    </w:p>
    <w:p>
      <w:pPr>
        <w:spacing w:before="1"/>
        <w:ind w:left="218" w:right="0" w:firstLine="0"/>
        <w:jc w:val="left"/>
        <w:rPr>
          <w:sz w:val="20"/>
        </w:rPr>
      </w:pPr>
      <w:r>
        <w:rPr>
          <w:b/>
          <w:sz w:val="20"/>
        </w:rPr>
        <w:t>Nivel de llenado: </w:t>
      </w:r>
      <w:r>
        <w:rPr>
          <w:sz w:val="20"/>
        </w:rPr>
        <w:t>Relación entre la altura del agua y el diámetro interior de la tubería.</w:t>
      </w:r>
    </w:p>
    <w:p>
      <w:pPr>
        <w:pStyle w:val="BodyText"/>
      </w:pPr>
    </w:p>
    <w:p>
      <w:pPr>
        <w:pStyle w:val="BodyText"/>
        <w:ind w:left="218" w:right="727"/>
      </w:pPr>
      <w:r>
        <w:rPr>
          <w:b/>
        </w:rPr>
        <w:t>Período de retorno: </w:t>
      </w:r>
      <w:r>
        <w:rPr/>
        <w:t>o frecuencia de la lluvia, es el número de años en que se considera se superará una vez como promedio la intensidad de lluvia máxima adoptada.</w:t>
      </w:r>
    </w:p>
    <w:p>
      <w:pPr>
        <w:pStyle w:val="BodyText"/>
      </w:pPr>
    </w:p>
    <w:p>
      <w:pPr>
        <w:spacing w:line="230" w:lineRule="exact" w:before="0"/>
        <w:ind w:left="218" w:right="0" w:firstLine="0"/>
        <w:jc w:val="left"/>
        <w:rPr>
          <w:sz w:val="20"/>
        </w:rPr>
      </w:pPr>
      <w:r>
        <w:rPr>
          <w:b/>
          <w:sz w:val="20"/>
        </w:rPr>
        <w:t>Pozo general del edificio: </w:t>
      </w:r>
      <w:r>
        <w:rPr>
          <w:sz w:val="20"/>
        </w:rPr>
        <w:t>punto de conexión entre las redes privada y pública, al que acometen los</w:t>
      </w:r>
    </w:p>
    <w:p>
      <w:pPr>
        <w:spacing w:line="230" w:lineRule="exact" w:before="0"/>
        <w:ind w:left="218" w:right="0" w:firstLine="0"/>
        <w:jc w:val="left"/>
        <w:rPr>
          <w:sz w:val="20"/>
        </w:rPr>
      </w:pPr>
      <w:r>
        <w:rPr>
          <w:i/>
          <w:sz w:val="20"/>
        </w:rPr>
        <w:t>colectores </w:t>
      </w:r>
      <w:r>
        <w:rPr>
          <w:sz w:val="20"/>
        </w:rPr>
        <w:t>procedentes del edificio y del que sale la </w:t>
      </w:r>
      <w:r>
        <w:rPr>
          <w:i/>
          <w:sz w:val="20"/>
        </w:rPr>
        <w:t>acometida </w:t>
      </w:r>
      <w:r>
        <w:rPr>
          <w:sz w:val="20"/>
        </w:rPr>
        <w:t>a la red general.</w:t>
      </w:r>
    </w:p>
    <w:p>
      <w:pPr>
        <w:pStyle w:val="BodyText"/>
        <w:spacing w:before="1"/>
      </w:pPr>
    </w:p>
    <w:p>
      <w:pPr>
        <w:pStyle w:val="BodyText"/>
        <w:ind w:left="218" w:right="426"/>
      </w:pPr>
      <w:r>
        <w:rPr>
          <w:b/>
        </w:rPr>
        <w:t>Radio hidráulico: </w:t>
      </w:r>
      <w:r>
        <w:rPr/>
        <w:t>o profundidad hidráulica, es la relación entre la superficie transversal del flujo y el perímetro mojado de la superficie de la tubería. Para tuberías de sección circular y con flujo a sección llena o a mitad de la sección, la profundidad hidráulica media es igual a un cuarto del diámetro de la con- ducción.</w:t>
      </w:r>
    </w:p>
    <w:p>
      <w:pPr>
        <w:pStyle w:val="BodyText"/>
      </w:pPr>
    </w:p>
    <w:p>
      <w:pPr>
        <w:spacing w:before="0"/>
        <w:ind w:left="218" w:right="504" w:firstLine="0"/>
        <w:jc w:val="left"/>
        <w:rPr>
          <w:sz w:val="20"/>
        </w:rPr>
      </w:pPr>
      <w:r>
        <w:rPr>
          <w:b/>
          <w:sz w:val="20"/>
        </w:rPr>
        <w:t>Red de evacuación: </w:t>
      </w:r>
      <w:r>
        <w:rPr>
          <w:sz w:val="20"/>
        </w:rPr>
        <w:t>conjunto de conducciones, accesorios y uniones utilizados para recoger y evacuar las </w:t>
      </w:r>
      <w:r>
        <w:rPr>
          <w:i/>
          <w:sz w:val="20"/>
        </w:rPr>
        <w:t>aguas residuales </w:t>
      </w:r>
      <w:r>
        <w:rPr>
          <w:sz w:val="20"/>
        </w:rPr>
        <w:t>y </w:t>
      </w:r>
      <w:r>
        <w:rPr>
          <w:i/>
          <w:sz w:val="20"/>
        </w:rPr>
        <w:t>pluviales </w:t>
      </w:r>
      <w:r>
        <w:rPr>
          <w:sz w:val="20"/>
        </w:rPr>
        <w:t>de un edificio.</w:t>
      </w:r>
    </w:p>
    <w:p>
      <w:pPr>
        <w:pStyle w:val="BodyText"/>
      </w:pPr>
    </w:p>
    <w:p>
      <w:pPr>
        <w:spacing w:before="0"/>
        <w:ind w:left="218" w:right="393" w:firstLine="0"/>
        <w:jc w:val="left"/>
        <w:rPr>
          <w:i/>
          <w:sz w:val="20"/>
        </w:rPr>
      </w:pPr>
      <w:r>
        <w:rPr>
          <w:b/>
          <w:sz w:val="20"/>
        </w:rPr>
        <w:t>Red de pequeña evacuación: </w:t>
      </w:r>
      <w:r>
        <w:rPr>
          <w:sz w:val="20"/>
        </w:rPr>
        <w:t>parte de la red de evacuación que conduce los residuos desde los </w:t>
      </w:r>
      <w:r>
        <w:rPr>
          <w:i/>
          <w:sz w:val="20"/>
        </w:rPr>
        <w:t>cierres </w:t>
      </w:r>
      <w:r>
        <w:rPr>
          <w:i/>
          <w:sz w:val="20"/>
        </w:rPr>
        <w:t>hidráulicos</w:t>
      </w:r>
      <w:r>
        <w:rPr>
          <w:sz w:val="20"/>
        </w:rPr>
        <w:t>, excepto de los inodoros, hasta las </w:t>
      </w:r>
      <w:r>
        <w:rPr>
          <w:i/>
          <w:sz w:val="20"/>
        </w:rPr>
        <w:t>bajantes</w:t>
      </w:r>
    </w:p>
    <w:p>
      <w:pPr>
        <w:pStyle w:val="BodyText"/>
        <w:rPr>
          <w:i/>
        </w:rPr>
      </w:pPr>
    </w:p>
    <w:p>
      <w:pPr>
        <w:spacing w:before="0"/>
        <w:ind w:left="218" w:right="527" w:firstLine="0"/>
        <w:jc w:val="left"/>
        <w:rPr>
          <w:sz w:val="20"/>
        </w:rPr>
      </w:pPr>
      <w:r>
        <w:rPr>
          <w:b/>
          <w:sz w:val="20"/>
        </w:rPr>
        <w:t>Red general de saneamiento: </w:t>
      </w:r>
      <w:r>
        <w:rPr>
          <w:sz w:val="20"/>
        </w:rPr>
        <w:t>conjunto de conducciones, accesorios y uniones utilizados para recoger y evacuar las </w:t>
      </w:r>
      <w:r>
        <w:rPr>
          <w:i/>
          <w:sz w:val="20"/>
        </w:rPr>
        <w:t>aguas residuales </w:t>
      </w:r>
      <w:r>
        <w:rPr>
          <w:sz w:val="20"/>
        </w:rPr>
        <w:t>y </w:t>
      </w:r>
      <w:r>
        <w:rPr>
          <w:i/>
          <w:sz w:val="20"/>
        </w:rPr>
        <w:t>pluviales </w:t>
      </w:r>
      <w:r>
        <w:rPr>
          <w:sz w:val="20"/>
        </w:rPr>
        <w:t>de los edificios.</w:t>
      </w:r>
    </w:p>
    <w:p>
      <w:pPr>
        <w:pStyle w:val="BodyText"/>
      </w:pPr>
    </w:p>
    <w:p>
      <w:pPr>
        <w:pStyle w:val="BodyText"/>
        <w:spacing w:before="1"/>
        <w:ind w:left="218"/>
      </w:pPr>
      <w:r>
        <w:rPr>
          <w:b/>
        </w:rPr>
        <w:t>Reflujo: </w:t>
      </w:r>
      <w:r>
        <w:rPr/>
        <w:t>Flujo de las aguas en dirección contraria a la prevista para su evacuación.</w:t>
      </w:r>
    </w:p>
    <w:p>
      <w:pPr>
        <w:pStyle w:val="BodyText"/>
        <w:spacing w:before="10"/>
        <w:rPr>
          <w:sz w:val="19"/>
        </w:rPr>
      </w:pPr>
    </w:p>
    <w:p>
      <w:pPr>
        <w:pStyle w:val="BodyText"/>
        <w:spacing w:before="1"/>
        <w:ind w:left="218" w:right="403"/>
      </w:pPr>
      <w:r>
        <w:rPr>
          <w:b/>
        </w:rPr>
        <w:t>Salto hidráulico: </w:t>
      </w:r>
      <w:r>
        <w:rPr/>
        <w:t>diferencia entre el régimen de velocidad en la canalización vertical y la canalización horizontal, que conlleva un considerable incremento de la profundidad de llenado en la segunda. Depen- de de la velocidad de entrada del agua en el </w:t>
      </w:r>
      <w:r>
        <w:rPr>
          <w:i/>
        </w:rPr>
        <w:t>colector </w:t>
      </w:r>
      <w:r>
        <w:rPr/>
        <w:t>horizontal, de la pendiente del mismo, de su diáme- tro, del caudal existente y de la rugosidad del material.</w:t>
      </w:r>
    </w:p>
    <w:p>
      <w:pPr>
        <w:pStyle w:val="BodyText"/>
        <w:spacing w:before="11"/>
        <w:rPr>
          <w:sz w:val="19"/>
        </w:rPr>
      </w:pPr>
    </w:p>
    <w:p>
      <w:pPr>
        <w:pStyle w:val="BodyText"/>
        <w:ind w:left="218" w:right="638"/>
      </w:pPr>
      <w:r>
        <w:rPr>
          <w:b/>
        </w:rPr>
        <w:t>Sifonamiento: </w:t>
      </w:r>
      <w:r>
        <w:rPr/>
        <w:t>fenómeno de expulsión del agua fuera del sello hidráulico por efecto de las variaciones de presión en los sistemas de evacuación y ventilación.</w:t>
      </w:r>
    </w:p>
    <w:p>
      <w:pPr>
        <w:pStyle w:val="BodyText"/>
      </w:pPr>
    </w:p>
    <w:p>
      <w:pPr>
        <w:spacing w:before="0"/>
        <w:ind w:left="218" w:right="0" w:firstLine="0"/>
        <w:jc w:val="left"/>
        <w:rPr>
          <w:i/>
          <w:sz w:val="20"/>
        </w:rPr>
      </w:pPr>
      <w:r>
        <w:rPr>
          <w:b/>
          <w:sz w:val="20"/>
        </w:rPr>
        <w:t>Sistema de depuración: </w:t>
      </w:r>
      <w:r>
        <w:rPr>
          <w:sz w:val="20"/>
        </w:rPr>
        <w:t>instalación destinada a la realización de un tratamiento de las </w:t>
      </w:r>
      <w:r>
        <w:rPr>
          <w:i/>
          <w:sz w:val="20"/>
        </w:rPr>
        <w:t>aguas residuales</w:t>
      </w:r>
    </w:p>
    <w:p>
      <w:pPr>
        <w:pStyle w:val="BodyText"/>
        <w:ind w:left="218"/>
      </w:pPr>
      <w:r>
        <w:rPr/>
        <w:t>previo a su vertido.</w:t>
      </w:r>
    </w:p>
    <w:p>
      <w:pPr>
        <w:pStyle w:val="BodyText"/>
      </w:pPr>
    </w:p>
    <w:p>
      <w:pPr>
        <w:pStyle w:val="BodyText"/>
        <w:ind w:left="218" w:right="482"/>
      </w:pPr>
      <w:r>
        <w:rPr>
          <w:b/>
        </w:rPr>
        <w:t>Sistema de desagüe: </w:t>
      </w:r>
      <w:r>
        <w:rPr/>
        <w:t>es el formado por los equipos y componentes que recogen las aguas a evacuar y las conducen al exterior de los edificios.</w:t>
      </w:r>
    </w:p>
    <w:p>
      <w:pPr>
        <w:pStyle w:val="BodyText"/>
      </w:pPr>
    </w:p>
    <w:p>
      <w:pPr>
        <w:pStyle w:val="BodyText"/>
        <w:ind w:left="218" w:right="537"/>
      </w:pPr>
      <w:r>
        <w:rPr>
          <w:b/>
        </w:rPr>
        <w:t>Sistema de elevación y bombeo: </w:t>
      </w:r>
      <w:r>
        <w:rPr/>
        <w:t>conjunto de dispositivos para la recogida y elevación automática de las aguas procedentes de una red de evacuación o de parte de la misma, hasta la cota correspondiente de salida al alcantarillado.</w:t>
      </w:r>
    </w:p>
    <w:p>
      <w:pPr>
        <w:spacing w:after="0"/>
        <w:sectPr>
          <w:pgSz w:w="11910" w:h="16840"/>
          <w:pgMar w:header="714" w:footer="642" w:top="1320" w:bottom="840" w:left="1200" w:right="740"/>
        </w:sectPr>
      </w:pPr>
    </w:p>
    <w:p>
      <w:pPr>
        <w:spacing w:line="230" w:lineRule="exact" w:before="91"/>
        <w:ind w:left="218" w:right="0" w:firstLine="0"/>
        <w:jc w:val="left"/>
        <w:rPr>
          <w:sz w:val="20"/>
        </w:rPr>
      </w:pPr>
      <w:r>
        <w:rPr>
          <w:b/>
          <w:sz w:val="20"/>
        </w:rPr>
        <w:t>Sistema mixto o semiseparativo: </w:t>
      </w:r>
      <w:r>
        <w:rPr>
          <w:sz w:val="20"/>
        </w:rPr>
        <w:t>aquel en el que las derivaciones y </w:t>
      </w:r>
      <w:r>
        <w:rPr>
          <w:i/>
          <w:sz w:val="20"/>
        </w:rPr>
        <w:t>bajantes </w:t>
      </w:r>
      <w:r>
        <w:rPr>
          <w:sz w:val="20"/>
        </w:rPr>
        <w:t>son independientes para</w:t>
      </w:r>
    </w:p>
    <w:p>
      <w:pPr>
        <w:spacing w:line="230" w:lineRule="exact" w:before="0"/>
        <w:ind w:left="218" w:right="0" w:firstLine="0"/>
        <w:jc w:val="left"/>
        <w:rPr>
          <w:sz w:val="20"/>
        </w:rPr>
      </w:pPr>
      <w:r>
        <w:rPr>
          <w:i/>
          <w:sz w:val="20"/>
        </w:rPr>
        <w:t>aguas residuales </w:t>
      </w:r>
      <w:r>
        <w:rPr>
          <w:sz w:val="20"/>
        </w:rPr>
        <w:t>y </w:t>
      </w:r>
      <w:r>
        <w:rPr>
          <w:i/>
          <w:sz w:val="20"/>
        </w:rPr>
        <w:t>pluviales</w:t>
      </w:r>
      <w:r>
        <w:rPr>
          <w:sz w:val="20"/>
        </w:rPr>
        <w:t>, unificándose ambas redes en los </w:t>
      </w:r>
      <w:r>
        <w:rPr>
          <w:i/>
          <w:sz w:val="20"/>
        </w:rPr>
        <w:t>colectores</w:t>
      </w:r>
      <w:r>
        <w:rPr>
          <w:sz w:val="20"/>
        </w:rPr>
        <w:t>.</w:t>
      </w:r>
    </w:p>
    <w:p>
      <w:pPr>
        <w:pStyle w:val="BodyText"/>
        <w:spacing w:before="1"/>
      </w:pPr>
    </w:p>
    <w:p>
      <w:pPr>
        <w:spacing w:line="230" w:lineRule="exact" w:before="0"/>
        <w:ind w:left="218" w:right="0" w:firstLine="0"/>
        <w:jc w:val="left"/>
        <w:rPr>
          <w:sz w:val="20"/>
        </w:rPr>
      </w:pPr>
      <w:r>
        <w:rPr>
          <w:b/>
          <w:sz w:val="20"/>
        </w:rPr>
        <w:t>Sistema separativo: </w:t>
      </w:r>
      <w:r>
        <w:rPr>
          <w:sz w:val="20"/>
        </w:rPr>
        <w:t>aquel en el que las derivaciones, </w:t>
      </w:r>
      <w:r>
        <w:rPr>
          <w:i/>
          <w:sz w:val="20"/>
        </w:rPr>
        <w:t>bajantes </w:t>
      </w:r>
      <w:r>
        <w:rPr>
          <w:sz w:val="20"/>
        </w:rPr>
        <w:t>y </w:t>
      </w:r>
      <w:r>
        <w:rPr>
          <w:i/>
          <w:sz w:val="20"/>
        </w:rPr>
        <w:t>colectores </w:t>
      </w:r>
      <w:r>
        <w:rPr>
          <w:sz w:val="20"/>
        </w:rPr>
        <w:t>son independientes para</w:t>
      </w:r>
    </w:p>
    <w:p>
      <w:pPr>
        <w:spacing w:line="230" w:lineRule="exact" w:before="0"/>
        <w:ind w:left="218" w:right="0" w:firstLine="0"/>
        <w:jc w:val="left"/>
        <w:rPr>
          <w:sz w:val="20"/>
        </w:rPr>
      </w:pPr>
      <w:r>
        <w:rPr>
          <w:i/>
          <w:sz w:val="20"/>
        </w:rPr>
        <w:t>aguas residuales </w:t>
      </w:r>
      <w:r>
        <w:rPr>
          <w:sz w:val="20"/>
        </w:rPr>
        <w:t>y </w:t>
      </w:r>
      <w:r>
        <w:rPr>
          <w:i/>
          <w:sz w:val="20"/>
        </w:rPr>
        <w:t>pluviales</w:t>
      </w:r>
      <w:r>
        <w:rPr>
          <w:sz w:val="20"/>
        </w:rPr>
        <w:t>.</w:t>
      </w:r>
    </w:p>
    <w:p>
      <w:pPr>
        <w:pStyle w:val="BodyText"/>
        <w:spacing w:before="1"/>
      </w:pPr>
    </w:p>
    <w:p>
      <w:pPr>
        <w:pStyle w:val="BodyText"/>
        <w:ind w:left="218" w:right="449"/>
      </w:pPr>
      <w:r>
        <w:rPr>
          <w:b/>
        </w:rPr>
        <w:t>Tubería de ventilación: </w:t>
      </w:r>
      <w:r>
        <w:rPr/>
        <w:t>tubería destinada a limitar las fluctuaciones de presión en el interior del sistema de tuberías de descarga.</w:t>
      </w:r>
    </w:p>
    <w:p>
      <w:pPr>
        <w:pStyle w:val="BodyText"/>
      </w:pPr>
    </w:p>
    <w:p>
      <w:pPr>
        <w:pStyle w:val="BodyText"/>
        <w:ind w:left="218" w:right="643"/>
      </w:pPr>
      <w:r>
        <w:rPr>
          <w:b/>
        </w:rPr>
        <w:t>Unidad de desagüe: </w:t>
      </w:r>
      <w:r>
        <w:rPr/>
        <w:t>es un caudal que corresponde a 0,47 dm</w:t>
      </w:r>
      <w:r>
        <w:rPr>
          <w:vertAlign w:val="superscript"/>
        </w:rPr>
        <w:t>3</w:t>
      </w:r>
      <w:r>
        <w:rPr>
          <w:vertAlign w:val="baseline"/>
        </w:rPr>
        <w:t>/s y representa el peso que un aparato sanitario tiene en la evaluación de los diámetros de una red de evacuación.</w:t>
      </w:r>
    </w:p>
    <w:p>
      <w:pPr>
        <w:pStyle w:val="BodyText"/>
        <w:spacing w:before="10"/>
        <w:rPr>
          <w:sz w:val="19"/>
        </w:rPr>
      </w:pPr>
    </w:p>
    <w:p>
      <w:pPr>
        <w:spacing w:before="1"/>
        <w:ind w:left="218" w:right="472" w:firstLine="0"/>
        <w:jc w:val="left"/>
        <w:rPr>
          <w:sz w:val="20"/>
        </w:rPr>
      </w:pPr>
      <w:r>
        <w:rPr>
          <w:b/>
          <w:sz w:val="20"/>
        </w:rPr>
        <w:t>Válvula de retención o antirretorno: </w:t>
      </w:r>
      <w:r>
        <w:rPr>
          <w:sz w:val="20"/>
        </w:rPr>
        <w:t>dispositivo que permite el paso del fluido en un solo sentido, impi- diendo los retornos no deseados.</w:t>
      </w:r>
    </w:p>
    <w:p>
      <w:pPr>
        <w:pStyle w:val="BodyText"/>
        <w:spacing w:before="11"/>
        <w:rPr>
          <w:sz w:val="19"/>
        </w:rPr>
      </w:pPr>
    </w:p>
    <w:p>
      <w:pPr>
        <w:pStyle w:val="BodyText"/>
        <w:ind w:left="218" w:right="760"/>
      </w:pPr>
      <w:r>
        <w:rPr>
          <w:b/>
        </w:rPr>
        <w:t>Válvula de aireación: </w:t>
      </w:r>
      <w:r>
        <w:rPr/>
        <w:t>válvula que permite la entrada de aire en el sistema pero no su salida, a fin de limitar las fluctuaciones de presión dentro del sistema de desagüe.</w:t>
      </w:r>
    </w:p>
    <w:p>
      <w:pPr>
        <w:pStyle w:val="BodyText"/>
      </w:pPr>
    </w:p>
    <w:p>
      <w:pPr>
        <w:pStyle w:val="BodyText"/>
        <w:ind w:left="218" w:right="493"/>
      </w:pPr>
      <w:r>
        <w:rPr>
          <w:b/>
        </w:rPr>
        <w:t>Ventilación primaria: </w:t>
      </w:r>
      <w:r>
        <w:rPr/>
        <w:t>subsistema que tiene como función la evacuación del aire en la </w:t>
      </w:r>
      <w:r>
        <w:rPr>
          <w:i/>
        </w:rPr>
        <w:t>bajante </w:t>
      </w:r>
      <w:r>
        <w:rPr/>
        <w:t>para evi- tar sobrepresiones y subpresiones en la misma durante su funcionamiento y consiste en la prolongación de la </w:t>
      </w:r>
      <w:r>
        <w:rPr>
          <w:i/>
        </w:rPr>
        <w:t>bajante </w:t>
      </w:r>
      <w:r>
        <w:rPr/>
        <w:t>por encima de la última planta hasta la cubierta de forma que quede en contacto con la atmósfera exterior y por encima de los recintos habitables.</w:t>
      </w:r>
    </w:p>
    <w:p>
      <w:pPr>
        <w:pStyle w:val="BodyText"/>
        <w:spacing w:before="1"/>
      </w:pPr>
    </w:p>
    <w:p>
      <w:pPr>
        <w:pStyle w:val="BodyText"/>
        <w:ind w:left="218" w:right="537"/>
      </w:pPr>
      <w:r>
        <w:rPr>
          <w:b/>
        </w:rPr>
        <w:t>Ventilación secundaria </w:t>
      </w:r>
      <w:r>
        <w:rPr/>
        <w:t>o paralela o cruzada: subsistema que tiene como función evitar el exceso de presión en la base de la </w:t>
      </w:r>
      <w:r>
        <w:rPr>
          <w:i/>
        </w:rPr>
        <w:t>bajante </w:t>
      </w:r>
      <w:r>
        <w:rPr/>
        <w:t>permitiendo la salida de aire comprimido en esta. Discurre paralela a la </w:t>
      </w:r>
      <w:r>
        <w:rPr>
          <w:i/>
        </w:rPr>
        <w:t>bajante </w:t>
      </w:r>
      <w:r>
        <w:rPr/>
        <w:t>y se conecta a esta.</w:t>
      </w:r>
    </w:p>
    <w:p>
      <w:pPr>
        <w:pStyle w:val="BodyText"/>
        <w:spacing w:before="11"/>
        <w:rPr>
          <w:sz w:val="19"/>
        </w:rPr>
      </w:pPr>
    </w:p>
    <w:p>
      <w:pPr>
        <w:spacing w:before="0"/>
        <w:ind w:left="218" w:right="394" w:firstLine="0"/>
        <w:jc w:val="left"/>
        <w:rPr>
          <w:sz w:val="20"/>
        </w:rPr>
      </w:pPr>
      <w:r>
        <w:rPr>
          <w:b/>
          <w:sz w:val="20"/>
        </w:rPr>
        <w:t>Ventilación terciaria </w:t>
      </w:r>
      <w:r>
        <w:rPr>
          <w:sz w:val="20"/>
        </w:rPr>
        <w:t>o de los </w:t>
      </w:r>
      <w:r>
        <w:rPr>
          <w:i/>
          <w:sz w:val="20"/>
        </w:rPr>
        <w:t>cierres hidráulicos</w:t>
      </w:r>
      <w:r>
        <w:rPr>
          <w:sz w:val="20"/>
        </w:rPr>
        <w:t>: subsistema que tiene como función proteger los </w:t>
      </w:r>
      <w:r>
        <w:rPr>
          <w:i/>
          <w:sz w:val="20"/>
        </w:rPr>
        <w:t>cierres </w:t>
      </w:r>
      <w:r>
        <w:rPr>
          <w:i/>
          <w:sz w:val="20"/>
        </w:rPr>
        <w:t>hidráulicos </w:t>
      </w:r>
      <w:r>
        <w:rPr>
          <w:sz w:val="20"/>
        </w:rPr>
        <w:t>contra el sifonamiento y el autosifonamiento. Lleva implícitas la </w:t>
      </w:r>
      <w:r>
        <w:rPr>
          <w:i/>
          <w:sz w:val="20"/>
        </w:rPr>
        <w:t>ventilación primaria </w:t>
      </w:r>
      <w:r>
        <w:rPr>
          <w:sz w:val="20"/>
        </w:rPr>
        <w:t>y </w:t>
      </w:r>
      <w:r>
        <w:rPr>
          <w:i/>
          <w:sz w:val="20"/>
        </w:rPr>
        <w:t>secun- </w:t>
      </w:r>
      <w:r>
        <w:rPr>
          <w:i/>
          <w:sz w:val="20"/>
        </w:rPr>
        <w:t>daria</w:t>
      </w:r>
      <w:r>
        <w:rPr>
          <w:sz w:val="20"/>
        </w:rPr>
        <w:t>.</w:t>
      </w:r>
    </w:p>
    <w:p>
      <w:pPr>
        <w:pStyle w:val="BodyText"/>
        <w:spacing w:before="1"/>
      </w:pPr>
    </w:p>
    <w:p>
      <w:pPr>
        <w:spacing w:before="0"/>
        <w:ind w:left="218" w:right="427" w:firstLine="0"/>
        <w:jc w:val="left"/>
        <w:rPr>
          <w:sz w:val="20"/>
        </w:rPr>
      </w:pPr>
      <w:r>
        <w:rPr>
          <w:b/>
          <w:sz w:val="20"/>
        </w:rPr>
        <w:t>Ventilación con válvulas de aireación-ventilación: </w:t>
      </w:r>
      <w:r>
        <w:rPr>
          <w:sz w:val="20"/>
        </w:rPr>
        <w:t>subsistema que unifica los componentes de los sistemas de </w:t>
      </w:r>
      <w:r>
        <w:rPr>
          <w:i/>
          <w:sz w:val="20"/>
        </w:rPr>
        <w:t>ventilación primaria</w:t>
      </w:r>
      <w:r>
        <w:rPr>
          <w:sz w:val="20"/>
        </w:rPr>
        <w:t>, </w:t>
      </w:r>
      <w:r>
        <w:rPr>
          <w:i/>
          <w:sz w:val="20"/>
        </w:rPr>
        <w:t>secundaria </w:t>
      </w:r>
      <w:r>
        <w:rPr>
          <w:sz w:val="20"/>
        </w:rPr>
        <w:t>y </w:t>
      </w:r>
      <w:r>
        <w:rPr>
          <w:i/>
          <w:sz w:val="20"/>
        </w:rPr>
        <w:t>terciaria</w:t>
      </w:r>
      <w:r>
        <w:rPr>
          <w:sz w:val="20"/>
        </w:rPr>
        <w:t>, sin necesidad de salir al exterior, pudiendo insta- larse en espacios tales como falsos techos y cámaras. Puede realizarse con sifones combinados.</w:t>
      </w:r>
    </w:p>
    <w:p>
      <w:pPr>
        <w:spacing w:after="0"/>
        <w:jc w:val="left"/>
        <w:rPr>
          <w:sz w:val="20"/>
        </w:rPr>
        <w:sectPr>
          <w:pgSz w:w="11910" w:h="16840"/>
          <w:pgMar w:header="714" w:footer="642" w:top="1320" w:bottom="840" w:left="1200" w:right="740"/>
        </w:sectPr>
      </w:pPr>
    </w:p>
    <w:p>
      <w:pPr>
        <w:pStyle w:val="BodyText"/>
      </w:pPr>
      <w:r>
        <w:rPr/>
        <w:pict>
          <v:group style="position:absolute;margin-left:36.512196pt;margin-top:168.27594pt;width:532.3pt;height:357.75pt;mso-position-horizontal-relative:page;mso-position-vertical-relative:page;z-index:-266964992" coordorigin="730,3366" coordsize="10646,7155">
            <v:shape style="position:absolute;left:1062;top:9438;width:208;height:333" type="#_x0000_t75" stroked="false">
              <v:imagedata r:id="rId154" o:title=""/>
            </v:shape>
            <v:shape style="position:absolute;left:934;top:10239;width:208;height:180" type="#_x0000_t75" stroked="false">
              <v:imagedata r:id="rId155" o:title=""/>
            </v:shape>
            <v:shape style="position:absolute;left:1507;top:9955;width:183;height:167" type="#_x0000_t75" stroked="false">
              <v:imagedata r:id="rId156" o:title=""/>
            </v:shape>
            <v:shape style="position:absolute;left:1516;top:9533;width:857;height:617" type="#_x0000_t75" stroked="false">
              <v:imagedata r:id="rId157" o:title=""/>
            </v:shape>
            <v:shape style="position:absolute;left:4279;top:9129;width:2;height:7" coordorigin="4280,9129" coordsize="0,7" path="m4280,9129l4280,9136,4280,9129e" filled="false" stroked="true" strokeweight=".60892pt" strokecolor="#000000">
              <v:path arrowok="t"/>
              <v:stroke dashstyle="solid"/>
            </v:shape>
            <v:shape style="position:absolute;left:2555;top:3365;width:8812;height:7146" type="#_x0000_t75" stroked="false">
              <v:imagedata r:id="rId158" o:title=""/>
            </v:shape>
            <v:shape style="position:absolute;left:28;top:10988;width:8733;height:5789" coordorigin="29,10988" coordsize="8733,5789" path="m11373,3384l11373,10517,733,10517,733,3384m733,8969l4420,8969,4420,10517m11373,3384l733,3384e" filled="false" stroked="true" strokeweight=".306192pt" strokecolor="#000000">
              <v:path arrowok="t"/>
              <v:stroke dashstyle="solid"/>
            </v:shape>
            <v:shape style="position:absolute;left:3027;top:3448;width:7709;height:6092" type="#_x0000_t75" stroked="false">
              <v:imagedata r:id="rId159" o:title=""/>
            </v:shape>
            <v:shape style="position:absolute;left:1023;top:9385;width:305;height:376" type="#_x0000_t75" stroked="false">
              <v:imagedata r:id="rId160" o:title=""/>
            </v:shape>
            <v:shape style="position:absolute;left:1797;top:9613;width:616;height:592" type="#_x0000_t75" stroked="false">
              <v:imagedata r:id="rId161" o:title=""/>
            </v:shape>
            <v:shape style="position:absolute;left:2552;top:9958;width:427;height:488" type="#_x0000_t75" stroked="false">
              <v:imagedata r:id="rId162" o:title=""/>
            </v:shape>
            <v:shape style="position:absolute;left:10912;top:6216;width:330;height:309" type="#_x0000_t75" stroked="false">
              <v:imagedata r:id="rId163" o:title=""/>
            </v:shape>
            <w10:wrap type="none"/>
          </v:group>
        </w:pict>
      </w:r>
    </w:p>
    <w:p>
      <w:pPr>
        <w:pStyle w:val="BodyText"/>
        <w:spacing w:before="11"/>
        <w:rPr>
          <w:sz w:val="21"/>
        </w:rPr>
      </w:pPr>
    </w:p>
    <w:p>
      <w:pPr>
        <w:pStyle w:val="Heading2"/>
        <w:spacing w:before="90"/>
      </w:pPr>
      <w:r>
        <w:rPr/>
        <w:t>Apéndice B. Obtención de la intensidad pluviométrica</w:t>
      </w:r>
    </w:p>
    <w:p>
      <w:pPr>
        <w:pStyle w:val="BodyText"/>
        <w:tabs>
          <w:tab w:pos="672" w:val="left" w:leader="none"/>
        </w:tabs>
        <w:spacing w:before="158"/>
        <w:ind w:left="672" w:right="641" w:hanging="454"/>
      </w:pPr>
      <w:r>
        <w:rPr/>
        <w:t>1</w:t>
        <w:tab/>
        <w:t>La intensidad pluviométrica i se obtendrá en la tabla B.1 en función de la isoyeta y de la zona plu- viométrica correspondientes a la localidad determinadas mediante el mapa de la figura</w:t>
      </w:r>
      <w:r>
        <w:rPr>
          <w:spacing w:val="-8"/>
        </w:rPr>
        <w:t> </w:t>
      </w:r>
      <w:r>
        <w:rPr/>
        <w:t>B.1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6"/>
        </w:rPr>
      </w:pPr>
    </w:p>
    <w:p>
      <w:pPr>
        <w:spacing w:line="645" w:lineRule="auto" w:before="1"/>
        <w:ind w:left="4496" w:right="2423" w:hanging="1851"/>
        <w:jc w:val="left"/>
        <w:rPr>
          <w:b/>
          <w:sz w:val="18"/>
        </w:rPr>
      </w:pPr>
      <w:r>
        <w:rPr/>
        <w:pict>
          <v:shape style="position:absolute;margin-left:65.070000pt;margin-top:38.661068pt;width:454.6pt;height:47.25pt;mso-position-horizontal-relative:page;mso-position-vertical-relative:paragraph;z-index:2520084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5"/>
                    <w:gridCol w:w="1332"/>
                    <w:gridCol w:w="501"/>
                    <w:gridCol w:w="502"/>
                    <w:gridCol w:w="582"/>
                    <w:gridCol w:w="551"/>
                    <w:gridCol w:w="551"/>
                    <w:gridCol w:w="550"/>
                    <w:gridCol w:w="551"/>
                    <w:gridCol w:w="551"/>
                    <w:gridCol w:w="550"/>
                    <w:gridCol w:w="551"/>
                    <w:gridCol w:w="550"/>
                  </w:tblGrid>
                  <w:tr>
                    <w:trPr>
                      <w:trHeight w:val="224" w:hRule="atLeast"/>
                    </w:trPr>
                    <w:tc>
                      <w:tcPr>
                        <w:tcW w:w="9097" w:type="dxa"/>
                        <w:gridSpan w:val="13"/>
                        <w:tcBorders>
                          <w:bottom w:val="single" w:sz="4" w:space="0" w:color="000000"/>
                        </w:tcBorders>
                      </w:tcPr>
                      <w:p>
                        <w:pPr>
                          <w:pStyle w:val="TableParagraph"/>
                          <w:spacing w:line="204" w:lineRule="exact"/>
                          <w:ind w:left="2928" w:right="2927"/>
                          <w:rPr>
                            <w:b/>
                            <w:sz w:val="20"/>
                          </w:rPr>
                        </w:pPr>
                        <w:r>
                          <w:rPr>
                            <w:b/>
                            <w:sz w:val="20"/>
                          </w:rPr>
                          <w:t>Intensidad Pluviométrica i (mm/h)</w:t>
                        </w:r>
                      </w:p>
                    </w:tc>
                  </w:tr>
                  <w:tr>
                    <w:trPr>
                      <w:trHeight w:val="230" w:hRule="atLeast"/>
                    </w:trPr>
                    <w:tc>
                      <w:tcPr>
                        <w:tcW w:w="1775" w:type="dxa"/>
                        <w:tcBorders>
                          <w:top w:val="single" w:sz="4" w:space="0" w:color="000000"/>
                          <w:bottom w:val="single" w:sz="4" w:space="0" w:color="000000"/>
                        </w:tcBorders>
                      </w:tcPr>
                      <w:p>
                        <w:pPr>
                          <w:pStyle w:val="TableParagraph"/>
                          <w:spacing w:line="210" w:lineRule="exact"/>
                          <w:ind w:left="117"/>
                          <w:jc w:val="left"/>
                          <w:rPr>
                            <w:b/>
                            <w:sz w:val="20"/>
                          </w:rPr>
                        </w:pPr>
                        <w:r>
                          <w:rPr>
                            <w:b/>
                            <w:sz w:val="20"/>
                          </w:rPr>
                          <w:t>Isoyeta</w:t>
                        </w:r>
                      </w:p>
                    </w:tc>
                    <w:tc>
                      <w:tcPr>
                        <w:tcW w:w="1332" w:type="dxa"/>
                        <w:tcBorders>
                          <w:top w:val="single" w:sz="4" w:space="0" w:color="000000"/>
                          <w:bottom w:val="single" w:sz="4" w:space="0" w:color="000000"/>
                        </w:tcBorders>
                      </w:tcPr>
                      <w:p>
                        <w:pPr>
                          <w:pStyle w:val="TableParagraph"/>
                          <w:spacing w:line="210" w:lineRule="exact"/>
                          <w:ind w:right="136"/>
                          <w:jc w:val="right"/>
                          <w:rPr>
                            <w:sz w:val="20"/>
                          </w:rPr>
                        </w:pPr>
                        <w:r>
                          <w:rPr>
                            <w:sz w:val="20"/>
                          </w:rPr>
                          <w:t>10</w:t>
                        </w:r>
                      </w:p>
                    </w:tc>
                    <w:tc>
                      <w:tcPr>
                        <w:tcW w:w="501" w:type="dxa"/>
                        <w:tcBorders>
                          <w:top w:val="single" w:sz="4" w:space="0" w:color="000000"/>
                          <w:bottom w:val="single" w:sz="4" w:space="0" w:color="000000"/>
                        </w:tcBorders>
                      </w:tcPr>
                      <w:p>
                        <w:pPr>
                          <w:pStyle w:val="TableParagraph"/>
                          <w:spacing w:line="210" w:lineRule="exact"/>
                          <w:ind w:right="138"/>
                          <w:jc w:val="right"/>
                          <w:rPr>
                            <w:sz w:val="20"/>
                          </w:rPr>
                        </w:pPr>
                        <w:r>
                          <w:rPr>
                            <w:sz w:val="20"/>
                          </w:rPr>
                          <w:t>20</w:t>
                        </w:r>
                      </w:p>
                    </w:tc>
                    <w:tc>
                      <w:tcPr>
                        <w:tcW w:w="502" w:type="dxa"/>
                        <w:tcBorders>
                          <w:top w:val="single" w:sz="4" w:space="0" w:color="000000"/>
                          <w:bottom w:val="single" w:sz="4" w:space="0" w:color="000000"/>
                        </w:tcBorders>
                      </w:tcPr>
                      <w:p>
                        <w:pPr>
                          <w:pStyle w:val="TableParagraph"/>
                          <w:spacing w:line="210" w:lineRule="exact"/>
                          <w:ind w:left="119" w:right="119"/>
                          <w:rPr>
                            <w:sz w:val="20"/>
                          </w:rPr>
                        </w:pPr>
                        <w:r>
                          <w:rPr>
                            <w:sz w:val="20"/>
                          </w:rPr>
                          <w:t>30</w:t>
                        </w:r>
                      </w:p>
                    </w:tc>
                    <w:tc>
                      <w:tcPr>
                        <w:tcW w:w="582" w:type="dxa"/>
                        <w:tcBorders>
                          <w:top w:val="single" w:sz="4" w:space="0" w:color="000000"/>
                          <w:bottom w:val="single" w:sz="4" w:space="0" w:color="000000"/>
                        </w:tcBorders>
                      </w:tcPr>
                      <w:p>
                        <w:pPr>
                          <w:pStyle w:val="TableParagraph"/>
                          <w:spacing w:line="210" w:lineRule="exact"/>
                          <w:ind w:left="9" w:right="88"/>
                          <w:rPr>
                            <w:sz w:val="20"/>
                          </w:rPr>
                        </w:pPr>
                        <w:r>
                          <w:rPr>
                            <w:sz w:val="20"/>
                          </w:rPr>
                          <w:t>40</w:t>
                        </w:r>
                      </w:p>
                    </w:tc>
                    <w:tc>
                      <w:tcPr>
                        <w:tcW w:w="551" w:type="dxa"/>
                        <w:tcBorders>
                          <w:top w:val="single" w:sz="4" w:space="0" w:color="000000"/>
                          <w:bottom w:val="single" w:sz="4" w:space="0" w:color="000000"/>
                        </w:tcBorders>
                      </w:tcPr>
                      <w:p>
                        <w:pPr>
                          <w:pStyle w:val="TableParagraph"/>
                          <w:spacing w:line="210" w:lineRule="exact"/>
                          <w:ind w:left="106"/>
                          <w:jc w:val="left"/>
                          <w:rPr>
                            <w:sz w:val="20"/>
                          </w:rPr>
                        </w:pPr>
                        <w:r>
                          <w:rPr>
                            <w:sz w:val="20"/>
                          </w:rPr>
                          <w:t>50</w:t>
                        </w:r>
                      </w:p>
                    </w:tc>
                    <w:tc>
                      <w:tcPr>
                        <w:tcW w:w="551" w:type="dxa"/>
                        <w:tcBorders>
                          <w:top w:val="single" w:sz="4" w:space="0" w:color="000000"/>
                          <w:bottom w:val="single" w:sz="4" w:space="0" w:color="000000"/>
                        </w:tcBorders>
                      </w:tcPr>
                      <w:p>
                        <w:pPr>
                          <w:pStyle w:val="TableParagraph"/>
                          <w:spacing w:line="210" w:lineRule="exact"/>
                          <w:ind w:left="106"/>
                          <w:jc w:val="left"/>
                          <w:rPr>
                            <w:sz w:val="20"/>
                          </w:rPr>
                        </w:pPr>
                        <w:r>
                          <w:rPr>
                            <w:sz w:val="20"/>
                          </w:rPr>
                          <w:t>60</w:t>
                        </w:r>
                      </w:p>
                    </w:tc>
                    <w:tc>
                      <w:tcPr>
                        <w:tcW w:w="550" w:type="dxa"/>
                        <w:tcBorders>
                          <w:top w:val="single" w:sz="4" w:space="0" w:color="000000"/>
                          <w:bottom w:val="single" w:sz="4" w:space="0" w:color="000000"/>
                        </w:tcBorders>
                      </w:tcPr>
                      <w:p>
                        <w:pPr>
                          <w:pStyle w:val="TableParagraph"/>
                          <w:spacing w:line="210" w:lineRule="exact"/>
                          <w:ind w:left="105"/>
                          <w:jc w:val="left"/>
                          <w:rPr>
                            <w:sz w:val="20"/>
                          </w:rPr>
                        </w:pPr>
                        <w:r>
                          <w:rPr>
                            <w:sz w:val="20"/>
                          </w:rPr>
                          <w:t>70</w:t>
                        </w:r>
                      </w:p>
                    </w:tc>
                    <w:tc>
                      <w:tcPr>
                        <w:tcW w:w="551" w:type="dxa"/>
                        <w:tcBorders>
                          <w:top w:val="single" w:sz="4" w:space="0" w:color="000000"/>
                          <w:bottom w:val="single" w:sz="4" w:space="0" w:color="000000"/>
                        </w:tcBorders>
                      </w:tcPr>
                      <w:p>
                        <w:pPr>
                          <w:pStyle w:val="TableParagraph"/>
                          <w:spacing w:line="210" w:lineRule="exact"/>
                          <w:ind w:left="86" w:right="201"/>
                          <w:rPr>
                            <w:sz w:val="20"/>
                          </w:rPr>
                        </w:pPr>
                        <w:r>
                          <w:rPr>
                            <w:sz w:val="20"/>
                          </w:rPr>
                          <w:t>80</w:t>
                        </w:r>
                      </w:p>
                    </w:tc>
                    <w:tc>
                      <w:tcPr>
                        <w:tcW w:w="551" w:type="dxa"/>
                        <w:tcBorders>
                          <w:top w:val="single" w:sz="4" w:space="0" w:color="000000"/>
                          <w:bottom w:val="single" w:sz="4" w:space="0" w:color="000000"/>
                        </w:tcBorders>
                      </w:tcPr>
                      <w:p>
                        <w:pPr>
                          <w:pStyle w:val="TableParagraph"/>
                          <w:spacing w:line="210" w:lineRule="exact"/>
                          <w:ind w:left="105"/>
                          <w:jc w:val="left"/>
                          <w:rPr>
                            <w:sz w:val="20"/>
                          </w:rPr>
                        </w:pPr>
                        <w:r>
                          <w:rPr>
                            <w:sz w:val="20"/>
                          </w:rPr>
                          <w:t>90</w:t>
                        </w:r>
                      </w:p>
                    </w:tc>
                    <w:tc>
                      <w:tcPr>
                        <w:tcW w:w="550" w:type="dxa"/>
                        <w:tcBorders>
                          <w:top w:val="single" w:sz="4" w:space="0" w:color="000000"/>
                          <w:bottom w:val="single" w:sz="4" w:space="0" w:color="000000"/>
                        </w:tcBorders>
                      </w:tcPr>
                      <w:p>
                        <w:pPr>
                          <w:pStyle w:val="TableParagraph"/>
                          <w:spacing w:line="210" w:lineRule="exact"/>
                          <w:ind w:right="109"/>
                          <w:jc w:val="right"/>
                          <w:rPr>
                            <w:sz w:val="20"/>
                          </w:rPr>
                        </w:pPr>
                        <w:r>
                          <w:rPr>
                            <w:sz w:val="20"/>
                          </w:rPr>
                          <w:t>100</w:t>
                        </w:r>
                      </w:p>
                    </w:tc>
                    <w:tc>
                      <w:tcPr>
                        <w:tcW w:w="551" w:type="dxa"/>
                        <w:tcBorders>
                          <w:top w:val="single" w:sz="4" w:space="0" w:color="000000"/>
                          <w:bottom w:val="single" w:sz="4" w:space="0" w:color="000000"/>
                        </w:tcBorders>
                      </w:tcPr>
                      <w:p>
                        <w:pPr>
                          <w:pStyle w:val="TableParagraph"/>
                          <w:spacing w:line="210" w:lineRule="exact"/>
                          <w:ind w:right="110"/>
                          <w:jc w:val="right"/>
                          <w:rPr>
                            <w:sz w:val="20"/>
                          </w:rPr>
                        </w:pPr>
                        <w:r>
                          <w:rPr>
                            <w:sz w:val="20"/>
                          </w:rPr>
                          <w:t>110</w:t>
                        </w:r>
                      </w:p>
                    </w:tc>
                    <w:tc>
                      <w:tcPr>
                        <w:tcW w:w="550" w:type="dxa"/>
                        <w:tcBorders>
                          <w:top w:val="single" w:sz="4" w:space="0" w:color="000000"/>
                          <w:bottom w:val="single" w:sz="4" w:space="0" w:color="000000"/>
                        </w:tcBorders>
                      </w:tcPr>
                      <w:p>
                        <w:pPr>
                          <w:pStyle w:val="TableParagraph"/>
                          <w:spacing w:line="210" w:lineRule="exact"/>
                          <w:ind w:left="85" w:right="91"/>
                          <w:rPr>
                            <w:sz w:val="20"/>
                          </w:rPr>
                        </w:pPr>
                        <w:r>
                          <w:rPr>
                            <w:sz w:val="20"/>
                          </w:rPr>
                          <w:t>120</w:t>
                        </w:r>
                      </w:p>
                    </w:tc>
                  </w:tr>
                  <w:tr>
                    <w:trPr>
                      <w:trHeight w:val="231" w:hRule="atLeast"/>
                    </w:trPr>
                    <w:tc>
                      <w:tcPr>
                        <w:tcW w:w="1775" w:type="dxa"/>
                        <w:tcBorders>
                          <w:top w:val="single" w:sz="4" w:space="0" w:color="000000"/>
                        </w:tcBorders>
                      </w:tcPr>
                      <w:p>
                        <w:pPr>
                          <w:pStyle w:val="TableParagraph"/>
                          <w:spacing w:line="212" w:lineRule="exact"/>
                          <w:ind w:left="117"/>
                          <w:jc w:val="left"/>
                          <w:rPr>
                            <w:b/>
                            <w:sz w:val="20"/>
                          </w:rPr>
                        </w:pPr>
                        <w:r>
                          <w:rPr>
                            <w:b/>
                            <w:sz w:val="20"/>
                          </w:rPr>
                          <w:t>Zona A</w:t>
                        </w:r>
                      </w:p>
                    </w:tc>
                    <w:tc>
                      <w:tcPr>
                        <w:tcW w:w="1332" w:type="dxa"/>
                        <w:tcBorders>
                          <w:top w:val="single" w:sz="4" w:space="0" w:color="000000"/>
                        </w:tcBorders>
                      </w:tcPr>
                      <w:p>
                        <w:pPr>
                          <w:pStyle w:val="TableParagraph"/>
                          <w:spacing w:line="212" w:lineRule="exact"/>
                          <w:ind w:right="136"/>
                          <w:jc w:val="right"/>
                          <w:rPr>
                            <w:sz w:val="20"/>
                          </w:rPr>
                        </w:pPr>
                        <w:r>
                          <w:rPr>
                            <w:sz w:val="20"/>
                          </w:rPr>
                          <w:t>30</w:t>
                        </w:r>
                      </w:p>
                    </w:tc>
                    <w:tc>
                      <w:tcPr>
                        <w:tcW w:w="501" w:type="dxa"/>
                        <w:tcBorders>
                          <w:top w:val="single" w:sz="4" w:space="0" w:color="000000"/>
                        </w:tcBorders>
                      </w:tcPr>
                      <w:p>
                        <w:pPr>
                          <w:pStyle w:val="TableParagraph"/>
                          <w:spacing w:line="212" w:lineRule="exact"/>
                          <w:ind w:right="138"/>
                          <w:jc w:val="right"/>
                          <w:rPr>
                            <w:sz w:val="20"/>
                          </w:rPr>
                        </w:pPr>
                        <w:r>
                          <w:rPr>
                            <w:sz w:val="20"/>
                          </w:rPr>
                          <w:t>65</w:t>
                        </w:r>
                      </w:p>
                    </w:tc>
                    <w:tc>
                      <w:tcPr>
                        <w:tcW w:w="502" w:type="dxa"/>
                        <w:tcBorders>
                          <w:top w:val="single" w:sz="4" w:space="0" w:color="000000"/>
                        </w:tcBorders>
                      </w:tcPr>
                      <w:p>
                        <w:pPr>
                          <w:pStyle w:val="TableParagraph"/>
                          <w:spacing w:line="212" w:lineRule="exact"/>
                          <w:ind w:left="119" w:right="119"/>
                          <w:rPr>
                            <w:sz w:val="20"/>
                          </w:rPr>
                        </w:pPr>
                        <w:r>
                          <w:rPr>
                            <w:sz w:val="20"/>
                          </w:rPr>
                          <w:t>90</w:t>
                        </w:r>
                      </w:p>
                    </w:tc>
                    <w:tc>
                      <w:tcPr>
                        <w:tcW w:w="582" w:type="dxa"/>
                        <w:tcBorders>
                          <w:top w:val="single" w:sz="4" w:space="0" w:color="000000"/>
                        </w:tcBorders>
                      </w:tcPr>
                      <w:p>
                        <w:pPr>
                          <w:pStyle w:val="TableParagraph"/>
                          <w:spacing w:line="212" w:lineRule="exact"/>
                          <w:ind w:left="119" w:right="88"/>
                          <w:rPr>
                            <w:sz w:val="20"/>
                          </w:rPr>
                        </w:pPr>
                        <w:r>
                          <w:rPr>
                            <w:sz w:val="20"/>
                          </w:rPr>
                          <w:t>125</w:t>
                        </w:r>
                      </w:p>
                    </w:tc>
                    <w:tc>
                      <w:tcPr>
                        <w:tcW w:w="551" w:type="dxa"/>
                        <w:tcBorders>
                          <w:top w:val="single" w:sz="4" w:space="0" w:color="000000"/>
                        </w:tcBorders>
                      </w:tcPr>
                      <w:p>
                        <w:pPr>
                          <w:pStyle w:val="TableParagraph"/>
                          <w:spacing w:line="212" w:lineRule="exact"/>
                          <w:ind w:left="106"/>
                          <w:jc w:val="left"/>
                          <w:rPr>
                            <w:sz w:val="20"/>
                          </w:rPr>
                        </w:pPr>
                        <w:r>
                          <w:rPr>
                            <w:sz w:val="20"/>
                          </w:rPr>
                          <w:t>155</w:t>
                        </w:r>
                      </w:p>
                    </w:tc>
                    <w:tc>
                      <w:tcPr>
                        <w:tcW w:w="551" w:type="dxa"/>
                        <w:tcBorders>
                          <w:top w:val="single" w:sz="4" w:space="0" w:color="000000"/>
                        </w:tcBorders>
                      </w:tcPr>
                      <w:p>
                        <w:pPr>
                          <w:pStyle w:val="TableParagraph"/>
                          <w:spacing w:line="212" w:lineRule="exact"/>
                          <w:ind w:left="106"/>
                          <w:jc w:val="left"/>
                          <w:rPr>
                            <w:sz w:val="20"/>
                          </w:rPr>
                        </w:pPr>
                        <w:r>
                          <w:rPr>
                            <w:sz w:val="20"/>
                          </w:rPr>
                          <w:t>180</w:t>
                        </w:r>
                      </w:p>
                    </w:tc>
                    <w:tc>
                      <w:tcPr>
                        <w:tcW w:w="550" w:type="dxa"/>
                        <w:tcBorders>
                          <w:top w:val="single" w:sz="4" w:space="0" w:color="000000"/>
                        </w:tcBorders>
                      </w:tcPr>
                      <w:p>
                        <w:pPr>
                          <w:pStyle w:val="TableParagraph"/>
                          <w:spacing w:line="212" w:lineRule="exact"/>
                          <w:ind w:left="105"/>
                          <w:jc w:val="left"/>
                          <w:rPr>
                            <w:sz w:val="20"/>
                          </w:rPr>
                        </w:pPr>
                        <w:r>
                          <w:rPr>
                            <w:sz w:val="20"/>
                          </w:rPr>
                          <w:t>210</w:t>
                        </w:r>
                      </w:p>
                    </w:tc>
                    <w:tc>
                      <w:tcPr>
                        <w:tcW w:w="551" w:type="dxa"/>
                        <w:tcBorders>
                          <w:top w:val="single" w:sz="4" w:space="0" w:color="000000"/>
                        </w:tcBorders>
                      </w:tcPr>
                      <w:p>
                        <w:pPr>
                          <w:pStyle w:val="TableParagraph"/>
                          <w:spacing w:line="212" w:lineRule="exact"/>
                          <w:ind w:left="86" w:right="90"/>
                          <w:rPr>
                            <w:sz w:val="20"/>
                          </w:rPr>
                        </w:pPr>
                        <w:r>
                          <w:rPr>
                            <w:sz w:val="20"/>
                          </w:rPr>
                          <w:t>240</w:t>
                        </w:r>
                      </w:p>
                    </w:tc>
                    <w:tc>
                      <w:tcPr>
                        <w:tcW w:w="551" w:type="dxa"/>
                        <w:tcBorders>
                          <w:top w:val="single" w:sz="4" w:space="0" w:color="000000"/>
                        </w:tcBorders>
                      </w:tcPr>
                      <w:p>
                        <w:pPr>
                          <w:pStyle w:val="TableParagraph"/>
                          <w:spacing w:line="212" w:lineRule="exact"/>
                          <w:ind w:left="105"/>
                          <w:jc w:val="left"/>
                          <w:rPr>
                            <w:sz w:val="20"/>
                          </w:rPr>
                        </w:pPr>
                        <w:r>
                          <w:rPr>
                            <w:sz w:val="20"/>
                          </w:rPr>
                          <w:t>275</w:t>
                        </w:r>
                      </w:p>
                    </w:tc>
                    <w:tc>
                      <w:tcPr>
                        <w:tcW w:w="550" w:type="dxa"/>
                        <w:tcBorders>
                          <w:top w:val="single" w:sz="4" w:space="0" w:color="000000"/>
                        </w:tcBorders>
                      </w:tcPr>
                      <w:p>
                        <w:pPr>
                          <w:pStyle w:val="TableParagraph"/>
                          <w:spacing w:line="212" w:lineRule="exact"/>
                          <w:ind w:right="109"/>
                          <w:jc w:val="right"/>
                          <w:rPr>
                            <w:sz w:val="20"/>
                          </w:rPr>
                        </w:pPr>
                        <w:r>
                          <w:rPr>
                            <w:sz w:val="20"/>
                          </w:rPr>
                          <w:t>300</w:t>
                        </w:r>
                      </w:p>
                    </w:tc>
                    <w:tc>
                      <w:tcPr>
                        <w:tcW w:w="551" w:type="dxa"/>
                        <w:tcBorders>
                          <w:top w:val="single" w:sz="4" w:space="0" w:color="000000"/>
                        </w:tcBorders>
                      </w:tcPr>
                      <w:p>
                        <w:pPr>
                          <w:pStyle w:val="TableParagraph"/>
                          <w:spacing w:line="212" w:lineRule="exact"/>
                          <w:ind w:right="110"/>
                          <w:jc w:val="right"/>
                          <w:rPr>
                            <w:sz w:val="20"/>
                          </w:rPr>
                        </w:pPr>
                        <w:r>
                          <w:rPr>
                            <w:sz w:val="20"/>
                          </w:rPr>
                          <w:t>330</w:t>
                        </w:r>
                      </w:p>
                    </w:tc>
                    <w:tc>
                      <w:tcPr>
                        <w:tcW w:w="550" w:type="dxa"/>
                        <w:tcBorders>
                          <w:top w:val="single" w:sz="4" w:space="0" w:color="000000"/>
                        </w:tcBorders>
                      </w:tcPr>
                      <w:p>
                        <w:pPr>
                          <w:pStyle w:val="TableParagraph"/>
                          <w:spacing w:line="212" w:lineRule="exact"/>
                          <w:ind w:left="85" w:right="91"/>
                          <w:rPr>
                            <w:sz w:val="20"/>
                          </w:rPr>
                        </w:pPr>
                        <w:r>
                          <w:rPr>
                            <w:sz w:val="20"/>
                          </w:rPr>
                          <w:t>365</w:t>
                        </w:r>
                      </w:p>
                    </w:tc>
                  </w:tr>
                  <w:tr>
                    <w:trPr>
                      <w:trHeight w:val="228" w:hRule="atLeast"/>
                    </w:trPr>
                    <w:tc>
                      <w:tcPr>
                        <w:tcW w:w="1775" w:type="dxa"/>
                        <w:tcBorders>
                          <w:bottom w:val="single" w:sz="4" w:space="0" w:color="000000"/>
                        </w:tcBorders>
                      </w:tcPr>
                      <w:p>
                        <w:pPr>
                          <w:pStyle w:val="TableParagraph"/>
                          <w:spacing w:line="209" w:lineRule="exact"/>
                          <w:ind w:left="117"/>
                          <w:jc w:val="left"/>
                          <w:rPr>
                            <w:b/>
                            <w:sz w:val="20"/>
                          </w:rPr>
                        </w:pPr>
                        <w:r>
                          <w:rPr>
                            <w:b/>
                            <w:sz w:val="20"/>
                          </w:rPr>
                          <w:t>Zona B</w:t>
                        </w:r>
                      </w:p>
                    </w:tc>
                    <w:tc>
                      <w:tcPr>
                        <w:tcW w:w="1332" w:type="dxa"/>
                        <w:tcBorders>
                          <w:bottom w:val="single" w:sz="4" w:space="0" w:color="000000"/>
                        </w:tcBorders>
                      </w:tcPr>
                      <w:p>
                        <w:pPr>
                          <w:pStyle w:val="TableParagraph"/>
                          <w:spacing w:line="209" w:lineRule="exact"/>
                          <w:ind w:right="136"/>
                          <w:jc w:val="right"/>
                          <w:rPr>
                            <w:sz w:val="20"/>
                          </w:rPr>
                        </w:pPr>
                        <w:r>
                          <w:rPr>
                            <w:sz w:val="20"/>
                          </w:rPr>
                          <w:t>30</w:t>
                        </w:r>
                      </w:p>
                    </w:tc>
                    <w:tc>
                      <w:tcPr>
                        <w:tcW w:w="501" w:type="dxa"/>
                        <w:tcBorders>
                          <w:bottom w:val="single" w:sz="4" w:space="0" w:color="000000"/>
                        </w:tcBorders>
                      </w:tcPr>
                      <w:p>
                        <w:pPr>
                          <w:pStyle w:val="TableParagraph"/>
                          <w:spacing w:line="209" w:lineRule="exact"/>
                          <w:ind w:right="138"/>
                          <w:jc w:val="right"/>
                          <w:rPr>
                            <w:sz w:val="20"/>
                          </w:rPr>
                        </w:pPr>
                        <w:r>
                          <w:rPr>
                            <w:sz w:val="20"/>
                          </w:rPr>
                          <w:t>50</w:t>
                        </w:r>
                      </w:p>
                    </w:tc>
                    <w:tc>
                      <w:tcPr>
                        <w:tcW w:w="502" w:type="dxa"/>
                        <w:tcBorders>
                          <w:bottom w:val="single" w:sz="4" w:space="0" w:color="000000"/>
                        </w:tcBorders>
                      </w:tcPr>
                      <w:p>
                        <w:pPr>
                          <w:pStyle w:val="TableParagraph"/>
                          <w:spacing w:line="209" w:lineRule="exact"/>
                          <w:ind w:left="119" w:right="119"/>
                          <w:rPr>
                            <w:sz w:val="20"/>
                          </w:rPr>
                        </w:pPr>
                        <w:r>
                          <w:rPr>
                            <w:sz w:val="20"/>
                          </w:rPr>
                          <w:t>70</w:t>
                        </w:r>
                      </w:p>
                    </w:tc>
                    <w:tc>
                      <w:tcPr>
                        <w:tcW w:w="582" w:type="dxa"/>
                        <w:tcBorders>
                          <w:bottom w:val="single" w:sz="4" w:space="0" w:color="000000"/>
                        </w:tcBorders>
                      </w:tcPr>
                      <w:p>
                        <w:pPr>
                          <w:pStyle w:val="TableParagraph"/>
                          <w:spacing w:line="209" w:lineRule="exact"/>
                          <w:ind w:left="9" w:right="88"/>
                          <w:rPr>
                            <w:sz w:val="20"/>
                          </w:rPr>
                        </w:pPr>
                        <w:r>
                          <w:rPr>
                            <w:sz w:val="20"/>
                          </w:rPr>
                          <w:t>90</w:t>
                        </w:r>
                      </w:p>
                    </w:tc>
                    <w:tc>
                      <w:tcPr>
                        <w:tcW w:w="551" w:type="dxa"/>
                        <w:tcBorders>
                          <w:bottom w:val="single" w:sz="4" w:space="0" w:color="000000"/>
                        </w:tcBorders>
                      </w:tcPr>
                      <w:p>
                        <w:pPr>
                          <w:pStyle w:val="TableParagraph"/>
                          <w:spacing w:line="209" w:lineRule="exact"/>
                          <w:ind w:left="106"/>
                          <w:jc w:val="left"/>
                          <w:rPr>
                            <w:sz w:val="20"/>
                          </w:rPr>
                        </w:pPr>
                        <w:r>
                          <w:rPr>
                            <w:sz w:val="20"/>
                          </w:rPr>
                          <w:t>110</w:t>
                        </w:r>
                      </w:p>
                    </w:tc>
                    <w:tc>
                      <w:tcPr>
                        <w:tcW w:w="551" w:type="dxa"/>
                        <w:tcBorders>
                          <w:bottom w:val="single" w:sz="4" w:space="0" w:color="000000"/>
                        </w:tcBorders>
                      </w:tcPr>
                      <w:p>
                        <w:pPr>
                          <w:pStyle w:val="TableParagraph"/>
                          <w:spacing w:line="209" w:lineRule="exact"/>
                          <w:ind w:left="106"/>
                          <w:jc w:val="left"/>
                          <w:rPr>
                            <w:sz w:val="20"/>
                          </w:rPr>
                        </w:pPr>
                        <w:r>
                          <w:rPr>
                            <w:sz w:val="20"/>
                          </w:rPr>
                          <w:t>135</w:t>
                        </w:r>
                      </w:p>
                    </w:tc>
                    <w:tc>
                      <w:tcPr>
                        <w:tcW w:w="550" w:type="dxa"/>
                        <w:tcBorders>
                          <w:bottom w:val="single" w:sz="4" w:space="0" w:color="000000"/>
                        </w:tcBorders>
                      </w:tcPr>
                      <w:p>
                        <w:pPr>
                          <w:pStyle w:val="TableParagraph"/>
                          <w:spacing w:line="209" w:lineRule="exact"/>
                          <w:ind w:left="105"/>
                          <w:jc w:val="left"/>
                          <w:rPr>
                            <w:sz w:val="20"/>
                          </w:rPr>
                        </w:pPr>
                        <w:r>
                          <w:rPr>
                            <w:sz w:val="20"/>
                          </w:rPr>
                          <w:t>150</w:t>
                        </w:r>
                      </w:p>
                    </w:tc>
                    <w:tc>
                      <w:tcPr>
                        <w:tcW w:w="551" w:type="dxa"/>
                        <w:tcBorders>
                          <w:bottom w:val="single" w:sz="4" w:space="0" w:color="000000"/>
                        </w:tcBorders>
                      </w:tcPr>
                      <w:p>
                        <w:pPr>
                          <w:pStyle w:val="TableParagraph"/>
                          <w:spacing w:line="209" w:lineRule="exact"/>
                          <w:ind w:left="86" w:right="90"/>
                          <w:rPr>
                            <w:sz w:val="20"/>
                          </w:rPr>
                        </w:pPr>
                        <w:r>
                          <w:rPr>
                            <w:sz w:val="20"/>
                          </w:rPr>
                          <w:t>170</w:t>
                        </w:r>
                      </w:p>
                    </w:tc>
                    <w:tc>
                      <w:tcPr>
                        <w:tcW w:w="551" w:type="dxa"/>
                        <w:tcBorders>
                          <w:bottom w:val="single" w:sz="4" w:space="0" w:color="000000"/>
                        </w:tcBorders>
                      </w:tcPr>
                      <w:p>
                        <w:pPr>
                          <w:pStyle w:val="TableParagraph"/>
                          <w:spacing w:line="209" w:lineRule="exact"/>
                          <w:ind w:left="105"/>
                          <w:jc w:val="left"/>
                          <w:rPr>
                            <w:sz w:val="20"/>
                          </w:rPr>
                        </w:pPr>
                        <w:r>
                          <w:rPr>
                            <w:sz w:val="20"/>
                          </w:rPr>
                          <w:t>195</w:t>
                        </w:r>
                      </w:p>
                    </w:tc>
                    <w:tc>
                      <w:tcPr>
                        <w:tcW w:w="550" w:type="dxa"/>
                        <w:tcBorders>
                          <w:bottom w:val="single" w:sz="4" w:space="0" w:color="000000"/>
                        </w:tcBorders>
                      </w:tcPr>
                      <w:p>
                        <w:pPr>
                          <w:pStyle w:val="TableParagraph"/>
                          <w:spacing w:line="209" w:lineRule="exact"/>
                          <w:ind w:right="109"/>
                          <w:jc w:val="right"/>
                          <w:rPr>
                            <w:sz w:val="20"/>
                          </w:rPr>
                        </w:pPr>
                        <w:r>
                          <w:rPr>
                            <w:sz w:val="20"/>
                          </w:rPr>
                          <w:t>220</w:t>
                        </w:r>
                      </w:p>
                    </w:tc>
                    <w:tc>
                      <w:tcPr>
                        <w:tcW w:w="551" w:type="dxa"/>
                        <w:tcBorders>
                          <w:bottom w:val="single" w:sz="4" w:space="0" w:color="000000"/>
                        </w:tcBorders>
                      </w:tcPr>
                      <w:p>
                        <w:pPr>
                          <w:pStyle w:val="TableParagraph"/>
                          <w:spacing w:line="209" w:lineRule="exact"/>
                          <w:ind w:right="110"/>
                          <w:jc w:val="right"/>
                          <w:rPr>
                            <w:sz w:val="20"/>
                          </w:rPr>
                        </w:pPr>
                        <w:r>
                          <w:rPr>
                            <w:sz w:val="20"/>
                          </w:rPr>
                          <w:t>240</w:t>
                        </w:r>
                      </w:p>
                    </w:tc>
                    <w:tc>
                      <w:tcPr>
                        <w:tcW w:w="550" w:type="dxa"/>
                        <w:tcBorders>
                          <w:bottom w:val="single" w:sz="4" w:space="0" w:color="000000"/>
                        </w:tcBorders>
                      </w:tcPr>
                      <w:p>
                        <w:pPr>
                          <w:pStyle w:val="TableParagraph"/>
                          <w:spacing w:line="209" w:lineRule="exact"/>
                          <w:ind w:left="85" w:right="91"/>
                          <w:rPr>
                            <w:sz w:val="20"/>
                          </w:rPr>
                        </w:pPr>
                        <w:r>
                          <w:rPr>
                            <w:sz w:val="20"/>
                          </w:rPr>
                          <w:t>265</w:t>
                        </w:r>
                      </w:p>
                    </w:tc>
                  </w:tr>
                </w:tbl>
                <w:p>
                  <w:pPr>
                    <w:pStyle w:val="BodyText"/>
                  </w:pPr>
                </w:p>
              </w:txbxContent>
            </v:textbox>
            <w10:wrap type="none"/>
          </v:shape>
        </w:pict>
      </w:r>
      <w:r>
        <w:rPr>
          <w:b/>
          <w:sz w:val="18"/>
        </w:rPr>
        <w:t>Figura B.1 Mapa de isoyetas y zonas pluviométricas Tabla B.1</w:t>
      </w:r>
    </w:p>
    <w:p>
      <w:pPr>
        <w:pStyle w:val="BodyText"/>
        <w:rPr>
          <w:b/>
        </w:rPr>
      </w:pPr>
    </w:p>
    <w:p>
      <w:pPr>
        <w:pStyle w:val="BodyText"/>
        <w:rPr>
          <w:b/>
        </w:rPr>
      </w:pPr>
    </w:p>
    <w:p>
      <w:pPr>
        <w:pStyle w:val="BodyText"/>
        <w:rPr>
          <w:b/>
        </w:rPr>
      </w:pPr>
    </w:p>
    <w:p>
      <w:pPr>
        <w:pStyle w:val="BodyText"/>
        <w:spacing w:before="5"/>
        <w:rPr>
          <w:b/>
          <w:sz w:val="17"/>
        </w:rPr>
      </w:pPr>
    </w:p>
    <w:p>
      <w:pPr>
        <w:spacing w:before="0"/>
        <w:ind w:left="1778" w:right="0" w:firstLine="0"/>
        <w:jc w:val="left"/>
        <w:rPr>
          <w:b/>
          <w:sz w:val="16"/>
        </w:rPr>
      </w:pPr>
      <w:r>
        <w:rPr/>
        <w:pict>
          <v:group style="position:absolute;margin-left:143pt;margin-top:-2.876097pt;width:.5pt;height:36.6pt;mso-position-horizontal-relative:page;mso-position-vertical-relative:paragraph;z-index:252006400" coordorigin="2860,-58" coordsize="10,732">
            <v:line style="position:absolute" from="2865,-58" to="2865,246" stroked="true" strokeweight=".48pt" strokecolor="#000000">
              <v:stroke dashstyle="solid"/>
            </v:line>
            <v:line style="position:absolute" from="2865,246" to="2865,431" stroked="true" strokeweight=".48pt" strokecolor="#000000">
              <v:stroke dashstyle="solid"/>
            </v:line>
            <v:line style="position:absolute" from="2865,431" to="2865,674" stroked="true" strokeweight=".48pt" strokecolor="#000000">
              <v:stroke dashstyle="solid"/>
            </v:line>
            <w10:wrap type="none"/>
          </v:group>
        </w:pict>
      </w:r>
      <w:r>
        <w:rPr>
          <w:b/>
          <w:sz w:val="16"/>
        </w:rPr>
        <w:t>Intensidad pluviométrica</w:t>
      </w:r>
    </w:p>
    <w:p>
      <w:pPr>
        <w:spacing w:before="60"/>
        <w:ind w:left="1778" w:right="559" w:firstLine="0"/>
        <w:jc w:val="left"/>
        <w:rPr>
          <w:sz w:val="16"/>
        </w:rPr>
      </w:pPr>
      <w:r>
        <w:rPr>
          <w:sz w:val="16"/>
        </w:rPr>
        <w:t>Pueden emplearse valores mayores si se considera necesario por la experiencia previa o por la disposición de datos facilitados por entidades oficiales.</w:t>
      </w:r>
    </w:p>
    <w:p>
      <w:pPr>
        <w:spacing w:after="0"/>
        <w:jc w:val="left"/>
        <w:rPr>
          <w:sz w:val="16"/>
        </w:rPr>
        <w:sectPr>
          <w:pgSz w:w="11910" w:h="16840"/>
          <w:pgMar w:header="714" w:footer="642" w:top="1320" w:bottom="840" w:left="1200" w:right="740"/>
        </w:sectPr>
      </w:pPr>
    </w:p>
    <w:p>
      <w:pPr>
        <w:pStyle w:val="BodyText"/>
      </w:pPr>
    </w:p>
    <w:p>
      <w:pPr>
        <w:pStyle w:val="BodyText"/>
        <w:spacing w:before="11"/>
        <w:rPr>
          <w:sz w:val="21"/>
        </w:rPr>
      </w:pPr>
    </w:p>
    <w:p>
      <w:pPr>
        <w:pStyle w:val="Heading2"/>
        <w:spacing w:before="90"/>
      </w:pPr>
      <w:r>
        <w:rPr/>
        <w:t>Apéndice C. Normas de referencia</w:t>
      </w:r>
    </w:p>
    <w:p>
      <w:pPr>
        <w:pStyle w:val="BodyText"/>
        <w:spacing w:before="9"/>
        <w:rPr>
          <w:b/>
          <w:sz w:val="33"/>
        </w:rPr>
      </w:pPr>
    </w:p>
    <w:p>
      <w:pPr>
        <w:pStyle w:val="BodyText"/>
        <w:tabs>
          <w:tab w:pos="2486" w:val="left" w:leader="none"/>
        </w:tabs>
        <w:ind w:left="218"/>
      </w:pPr>
      <w:r>
        <w:rPr>
          <w:b/>
        </w:rPr>
        <w:t>UNE</w:t>
      </w:r>
      <w:r>
        <w:rPr>
          <w:b/>
          <w:spacing w:val="-2"/>
        </w:rPr>
        <w:t> </w:t>
      </w:r>
      <w:r>
        <w:rPr>
          <w:b/>
        </w:rPr>
        <w:t>EN 295-1:1999</w:t>
        <w:tab/>
      </w:r>
      <w:r>
        <w:rPr/>
        <w:t>“Tuberías de gres, accesorios y juntas para saneamiento. Parte 1:</w:t>
      </w:r>
      <w:r>
        <w:rPr>
          <w:spacing w:val="-21"/>
        </w:rPr>
        <w:t> </w:t>
      </w:r>
      <w:r>
        <w:rPr/>
        <w:t>Requisitos”.</w:t>
      </w:r>
    </w:p>
    <w:p>
      <w:pPr>
        <w:pStyle w:val="BodyText"/>
      </w:pPr>
    </w:p>
    <w:p>
      <w:pPr>
        <w:pStyle w:val="BodyText"/>
        <w:tabs>
          <w:tab w:pos="2484" w:val="left" w:leader="none"/>
        </w:tabs>
        <w:ind w:left="2484" w:right="644" w:hanging="2266"/>
      </w:pPr>
      <w:r>
        <w:rPr>
          <w:b/>
        </w:rPr>
        <w:t>UNE</w:t>
      </w:r>
      <w:r>
        <w:rPr>
          <w:b/>
          <w:spacing w:val="-2"/>
        </w:rPr>
        <w:t> </w:t>
      </w:r>
      <w:r>
        <w:rPr>
          <w:b/>
        </w:rPr>
        <w:t>EN 295-2:2000</w:t>
        <w:tab/>
      </w:r>
      <w:r>
        <w:rPr/>
        <w:t>“Tuberías de gres, accesorios y juntas para saneamiento. Parte 2: Control de calidad y</w:t>
      </w:r>
      <w:r>
        <w:rPr>
          <w:spacing w:val="-2"/>
        </w:rPr>
        <w:t> </w:t>
      </w:r>
      <w:r>
        <w:rPr/>
        <w:t>muestreo”.</w:t>
      </w:r>
    </w:p>
    <w:p>
      <w:pPr>
        <w:pStyle w:val="BodyText"/>
      </w:pPr>
    </w:p>
    <w:p>
      <w:pPr>
        <w:pStyle w:val="BodyText"/>
        <w:ind w:left="2484" w:right="398" w:hanging="2266"/>
      </w:pPr>
      <w:r>
        <w:rPr>
          <w:b/>
        </w:rPr>
        <w:t>UNE EN 295-4/AC:1998 </w:t>
      </w:r>
      <w:r>
        <w:rPr/>
        <w:t>"Tuberías de gres, accesorios y juntas para saneamiento. Parte 4: Requisitos para accesorios especiales, adaptadores y accesorios compatibles”.</w:t>
      </w:r>
    </w:p>
    <w:p>
      <w:pPr>
        <w:pStyle w:val="BodyText"/>
      </w:pPr>
    </w:p>
    <w:p>
      <w:pPr>
        <w:pStyle w:val="BodyText"/>
        <w:ind w:left="2484" w:right="398" w:hanging="2266"/>
      </w:pPr>
      <w:r>
        <w:rPr>
          <w:b/>
        </w:rPr>
        <w:t>UNE EN 295-5/AI:1999 </w:t>
      </w:r>
      <w:r>
        <w:rPr/>
        <w:t>“Tuberías de gres, accesorios y juntas para saneamiento. Parte 4: Requisitos para tuberías de gres perforadas y sus accesorios”.</w:t>
      </w:r>
    </w:p>
    <w:p>
      <w:pPr>
        <w:pStyle w:val="BodyText"/>
      </w:pPr>
    </w:p>
    <w:p>
      <w:pPr>
        <w:pStyle w:val="BodyText"/>
        <w:tabs>
          <w:tab w:pos="2484" w:val="left" w:leader="none"/>
        </w:tabs>
        <w:ind w:left="2484" w:right="633" w:hanging="2266"/>
      </w:pPr>
      <w:r>
        <w:rPr>
          <w:b/>
        </w:rPr>
        <w:t>UNE</w:t>
      </w:r>
      <w:r>
        <w:rPr>
          <w:b/>
          <w:spacing w:val="-2"/>
        </w:rPr>
        <w:t> </w:t>
      </w:r>
      <w:r>
        <w:rPr>
          <w:b/>
        </w:rPr>
        <w:t>EN 295-6:1996</w:t>
        <w:tab/>
      </w:r>
      <w:r>
        <w:rPr/>
        <w:t>“Tuberías de gres, accesorios y juntas para saneamiento. Parte 4: Requisitos para pozos de registro de</w:t>
      </w:r>
      <w:r>
        <w:rPr>
          <w:spacing w:val="-1"/>
        </w:rPr>
        <w:t> </w:t>
      </w:r>
      <w:r>
        <w:rPr/>
        <w:t>gres”.</w:t>
      </w:r>
    </w:p>
    <w:p>
      <w:pPr>
        <w:pStyle w:val="BodyText"/>
      </w:pPr>
    </w:p>
    <w:p>
      <w:pPr>
        <w:pStyle w:val="BodyText"/>
        <w:tabs>
          <w:tab w:pos="2484" w:val="left" w:leader="none"/>
        </w:tabs>
        <w:ind w:left="2484" w:right="634" w:hanging="2266"/>
      </w:pPr>
      <w:r>
        <w:rPr>
          <w:b/>
        </w:rPr>
        <w:t>UNE</w:t>
      </w:r>
      <w:r>
        <w:rPr>
          <w:b/>
          <w:spacing w:val="-2"/>
        </w:rPr>
        <w:t> </w:t>
      </w:r>
      <w:r>
        <w:rPr>
          <w:b/>
        </w:rPr>
        <w:t>EN 295-7:1996</w:t>
        <w:tab/>
      </w:r>
      <w:r>
        <w:rPr/>
        <w:t>“Tuberías de gres, accesorios y juntas para saneamiento. Parte 4: Requisitos para tuberías de gres y juntas para</w:t>
      </w:r>
      <w:r>
        <w:rPr>
          <w:spacing w:val="-4"/>
        </w:rPr>
        <w:t> </w:t>
      </w:r>
      <w:r>
        <w:rPr/>
        <w:t>hinca”.</w:t>
      </w:r>
    </w:p>
    <w:p>
      <w:pPr>
        <w:pStyle w:val="BodyText"/>
      </w:pPr>
    </w:p>
    <w:p>
      <w:pPr>
        <w:pStyle w:val="BodyText"/>
        <w:tabs>
          <w:tab w:pos="2486" w:val="left" w:leader="none"/>
        </w:tabs>
        <w:ind w:left="2484" w:right="659" w:hanging="2266"/>
      </w:pPr>
      <w:r>
        <w:rPr>
          <w:b/>
        </w:rPr>
        <w:t>UNE</w:t>
      </w:r>
      <w:r>
        <w:rPr>
          <w:b/>
          <w:spacing w:val="-1"/>
        </w:rPr>
        <w:t> </w:t>
      </w:r>
      <w:r>
        <w:rPr>
          <w:b/>
        </w:rPr>
        <w:t>EN 545:2002</w:t>
        <w:tab/>
        <w:tab/>
      </w:r>
      <w:r>
        <w:rPr/>
        <w:t>“Tubos, racores y accesorios de fundición dúctil y sus uniones para canaliza- ciones de agua. Requisitos y métodos de</w:t>
      </w:r>
      <w:r>
        <w:rPr>
          <w:spacing w:val="-3"/>
        </w:rPr>
        <w:t> </w:t>
      </w:r>
      <w:r>
        <w:rPr/>
        <w:t>ensayo”.</w:t>
      </w:r>
    </w:p>
    <w:p>
      <w:pPr>
        <w:pStyle w:val="BodyText"/>
      </w:pPr>
    </w:p>
    <w:p>
      <w:pPr>
        <w:pStyle w:val="BodyText"/>
        <w:tabs>
          <w:tab w:pos="2486" w:val="left" w:leader="none"/>
        </w:tabs>
        <w:ind w:left="2484" w:right="399" w:hanging="2266"/>
      </w:pPr>
      <w:r>
        <w:rPr>
          <w:b/>
        </w:rPr>
        <w:t>UNE</w:t>
      </w:r>
      <w:r>
        <w:rPr>
          <w:b/>
          <w:spacing w:val="-1"/>
        </w:rPr>
        <w:t> </w:t>
      </w:r>
      <w:r>
        <w:rPr>
          <w:b/>
        </w:rPr>
        <w:t>EN 598:1996</w:t>
        <w:tab/>
        <w:tab/>
      </w:r>
      <w:r>
        <w:rPr/>
        <w:t>“Tubos, accesorios y piezas especiales de fundición dúctil y sus uniones para el saneamiento. Prescripciones y métodos de</w:t>
      </w:r>
      <w:r>
        <w:rPr>
          <w:spacing w:val="-5"/>
        </w:rPr>
        <w:t> </w:t>
      </w:r>
      <w:r>
        <w:rPr/>
        <w:t>ensayo”.</w:t>
      </w:r>
    </w:p>
    <w:p>
      <w:pPr>
        <w:pStyle w:val="BodyText"/>
      </w:pPr>
    </w:p>
    <w:p>
      <w:pPr>
        <w:pStyle w:val="BodyText"/>
        <w:tabs>
          <w:tab w:pos="2484" w:val="left" w:leader="none"/>
        </w:tabs>
        <w:ind w:left="2484" w:right="586" w:hanging="2266"/>
      </w:pPr>
      <w:r>
        <w:rPr>
          <w:b/>
        </w:rPr>
        <w:t>UNE-EN</w:t>
      </w:r>
      <w:r>
        <w:rPr>
          <w:b/>
          <w:spacing w:val="-1"/>
        </w:rPr>
        <w:t> </w:t>
      </w:r>
      <w:r>
        <w:rPr>
          <w:b/>
        </w:rPr>
        <w:t>607:1996</w:t>
        <w:tab/>
      </w:r>
      <w:r>
        <w:rPr/>
        <w:t>“Canalones suspendidos y sus accesorios de PVC. Definiciones, exigencias y métodos de</w:t>
      </w:r>
      <w:r>
        <w:rPr>
          <w:spacing w:val="-1"/>
        </w:rPr>
        <w:t> </w:t>
      </w:r>
      <w:r>
        <w:rPr/>
        <w:t>ensayo”.</w:t>
      </w:r>
    </w:p>
    <w:p>
      <w:pPr>
        <w:pStyle w:val="BodyText"/>
      </w:pPr>
    </w:p>
    <w:p>
      <w:pPr>
        <w:pStyle w:val="BodyText"/>
        <w:tabs>
          <w:tab w:pos="2484" w:val="left" w:leader="none"/>
        </w:tabs>
        <w:spacing w:before="1"/>
        <w:ind w:left="2484" w:right="631" w:hanging="2266"/>
      </w:pPr>
      <w:r>
        <w:rPr>
          <w:b/>
        </w:rPr>
        <w:t>UNE</w:t>
      </w:r>
      <w:r>
        <w:rPr>
          <w:b/>
          <w:spacing w:val="-2"/>
        </w:rPr>
        <w:t> </w:t>
      </w:r>
      <w:r>
        <w:rPr>
          <w:b/>
        </w:rPr>
        <w:t>EN 612/AC:1996</w:t>
        <w:tab/>
      </w:r>
      <w:r>
        <w:rPr/>
        <w:t>“Canalones de alero y bajantes de aguas pluviales de chapa metálica. Defini- ciones, clasificación y</w:t>
      </w:r>
      <w:r>
        <w:rPr>
          <w:spacing w:val="-3"/>
        </w:rPr>
        <w:t> </w:t>
      </w:r>
      <w:r>
        <w:rPr/>
        <w:t>especificaciones”.</w:t>
      </w:r>
    </w:p>
    <w:p>
      <w:pPr>
        <w:pStyle w:val="BodyText"/>
      </w:pPr>
    </w:p>
    <w:p>
      <w:pPr>
        <w:pStyle w:val="BodyText"/>
        <w:tabs>
          <w:tab w:pos="2486" w:val="left" w:leader="none"/>
        </w:tabs>
        <w:ind w:left="2484" w:right="396" w:hanging="2266"/>
      </w:pPr>
      <w:r>
        <w:rPr>
          <w:b/>
        </w:rPr>
        <w:t>UNE</w:t>
      </w:r>
      <w:r>
        <w:rPr>
          <w:b/>
          <w:spacing w:val="-1"/>
        </w:rPr>
        <w:t> </w:t>
      </w:r>
      <w:r>
        <w:rPr>
          <w:b/>
        </w:rPr>
        <w:t>EN 877:2000</w:t>
        <w:tab/>
        <w:tab/>
      </w:r>
      <w:r>
        <w:rPr/>
        <w:t>“Tubos y accesorios de fundición, sus uniones y piezas especiales destinados a la evacuación de aguas de los edificios. Requisitos, métodos de ensayo y ase- guramiento de la</w:t>
      </w:r>
      <w:r>
        <w:rPr>
          <w:spacing w:val="-2"/>
        </w:rPr>
        <w:t> </w:t>
      </w:r>
      <w:r>
        <w:rPr/>
        <w:t>calidad”.</w:t>
      </w:r>
    </w:p>
    <w:p>
      <w:pPr>
        <w:pStyle w:val="BodyText"/>
        <w:spacing w:before="10"/>
        <w:rPr>
          <w:sz w:val="19"/>
        </w:rPr>
      </w:pPr>
    </w:p>
    <w:p>
      <w:pPr>
        <w:pStyle w:val="BodyText"/>
        <w:tabs>
          <w:tab w:pos="2484" w:val="left" w:leader="none"/>
        </w:tabs>
        <w:spacing w:before="1"/>
        <w:ind w:left="2484" w:right="487" w:hanging="2266"/>
      </w:pPr>
      <w:r>
        <w:rPr>
          <w:b/>
        </w:rPr>
        <w:t>UNE EN</w:t>
      </w:r>
      <w:r>
        <w:rPr>
          <w:b/>
          <w:spacing w:val="-2"/>
        </w:rPr>
        <w:t> </w:t>
      </w:r>
      <w:r>
        <w:rPr>
          <w:b/>
        </w:rPr>
        <w:t>1</w:t>
      </w:r>
      <w:r>
        <w:rPr>
          <w:b/>
          <w:spacing w:val="-1"/>
        </w:rPr>
        <w:t> </w:t>
      </w:r>
      <w:r>
        <w:rPr>
          <w:b/>
        </w:rPr>
        <w:t>053:1996</w:t>
        <w:tab/>
      </w:r>
      <w:r>
        <w:rPr/>
        <w:t>“Sistemas de canalización en materiales plásticos. Sistemas de canalizaciones termoplásticas para aplicaciones sin presión. Método de ensayo de estanqui- dad al agua”.</w:t>
      </w:r>
    </w:p>
    <w:p>
      <w:pPr>
        <w:pStyle w:val="BodyText"/>
      </w:pPr>
    </w:p>
    <w:p>
      <w:pPr>
        <w:pStyle w:val="BodyText"/>
        <w:tabs>
          <w:tab w:pos="2484" w:val="left" w:leader="none"/>
        </w:tabs>
        <w:ind w:left="2484" w:right="487" w:hanging="2266"/>
      </w:pPr>
      <w:r>
        <w:rPr>
          <w:b/>
        </w:rPr>
        <w:t>UNE EN</w:t>
      </w:r>
      <w:r>
        <w:rPr>
          <w:b/>
          <w:spacing w:val="-2"/>
        </w:rPr>
        <w:t> </w:t>
      </w:r>
      <w:r>
        <w:rPr>
          <w:b/>
        </w:rPr>
        <w:t>1</w:t>
      </w:r>
      <w:r>
        <w:rPr>
          <w:b/>
          <w:spacing w:val="-1"/>
        </w:rPr>
        <w:t> </w:t>
      </w:r>
      <w:r>
        <w:rPr>
          <w:b/>
        </w:rPr>
        <w:t>054:1996</w:t>
        <w:tab/>
      </w:r>
      <w:r>
        <w:rPr/>
        <w:t>“Sistemas de canalización en materiales plásticos. Sistemas de canalizaciones termoplásticas para la evacuación de aguas residuales. Método de ensayo de estanquidad al aire de las</w:t>
      </w:r>
      <w:r>
        <w:rPr>
          <w:spacing w:val="-6"/>
        </w:rPr>
        <w:t> </w:t>
      </w:r>
      <w:r>
        <w:rPr/>
        <w:t>uniones”.</w:t>
      </w:r>
    </w:p>
    <w:p>
      <w:pPr>
        <w:pStyle w:val="BodyText"/>
      </w:pPr>
    </w:p>
    <w:p>
      <w:pPr>
        <w:pStyle w:val="BodyText"/>
        <w:tabs>
          <w:tab w:pos="2484" w:val="left" w:leader="none"/>
        </w:tabs>
        <w:ind w:left="2484" w:right="789" w:hanging="2266"/>
      </w:pPr>
      <w:r>
        <w:rPr>
          <w:b/>
        </w:rPr>
        <w:t>UNE EN</w:t>
      </w:r>
      <w:r>
        <w:rPr>
          <w:b/>
          <w:spacing w:val="-2"/>
        </w:rPr>
        <w:t> </w:t>
      </w:r>
      <w:r>
        <w:rPr>
          <w:b/>
        </w:rPr>
        <w:t>1</w:t>
      </w:r>
      <w:r>
        <w:rPr>
          <w:b/>
          <w:spacing w:val="-1"/>
        </w:rPr>
        <w:t> </w:t>
      </w:r>
      <w:r>
        <w:rPr>
          <w:b/>
        </w:rPr>
        <w:t>092-1:2002</w:t>
        <w:tab/>
      </w:r>
      <w:r>
        <w:rPr/>
        <w:t>“Bridas y sus uniones. Bridas circulares para tuberías, grifería, accesorios y piezas especiales, designación PN. Parte 1: Bridas de</w:t>
      </w:r>
      <w:r>
        <w:rPr>
          <w:spacing w:val="-4"/>
        </w:rPr>
        <w:t> </w:t>
      </w:r>
      <w:r>
        <w:rPr/>
        <w:t>acero”.</w:t>
      </w:r>
    </w:p>
    <w:p>
      <w:pPr>
        <w:pStyle w:val="BodyText"/>
      </w:pPr>
    </w:p>
    <w:p>
      <w:pPr>
        <w:pStyle w:val="BodyText"/>
        <w:tabs>
          <w:tab w:pos="2484" w:val="left" w:leader="none"/>
        </w:tabs>
        <w:spacing w:before="1"/>
        <w:ind w:left="2484" w:right="732" w:hanging="2266"/>
      </w:pPr>
      <w:r>
        <w:rPr>
          <w:b/>
        </w:rPr>
        <w:t>UNE EN</w:t>
      </w:r>
      <w:r>
        <w:rPr>
          <w:b/>
          <w:spacing w:val="-2"/>
        </w:rPr>
        <w:t> </w:t>
      </w:r>
      <w:r>
        <w:rPr>
          <w:b/>
        </w:rPr>
        <w:t>1</w:t>
      </w:r>
      <w:r>
        <w:rPr>
          <w:b/>
          <w:spacing w:val="-1"/>
        </w:rPr>
        <w:t> </w:t>
      </w:r>
      <w:r>
        <w:rPr>
          <w:b/>
        </w:rPr>
        <w:t>092-2:1998</w:t>
        <w:tab/>
      </w:r>
      <w:r>
        <w:rPr/>
        <w:t>“Bridas y sus uniones. Bridas circulares para tuberías, grifería, accesorios y piezas especiales, designación PN. Parte 2: Bridas de</w:t>
      </w:r>
      <w:r>
        <w:rPr>
          <w:spacing w:val="-10"/>
        </w:rPr>
        <w:t> </w:t>
      </w:r>
      <w:r>
        <w:rPr/>
        <w:t>fundición”.</w:t>
      </w:r>
    </w:p>
    <w:p>
      <w:pPr>
        <w:pStyle w:val="BodyText"/>
        <w:spacing w:before="11"/>
        <w:rPr>
          <w:sz w:val="19"/>
        </w:rPr>
      </w:pPr>
    </w:p>
    <w:p>
      <w:pPr>
        <w:pStyle w:val="BodyText"/>
        <w:ind w:left="2484" w:right="475" w:hanging="2266"/>
        <w:jc w:val="both"/>
      </w:pPr>
      <w:r>
        <w:rPr>
          <w:b/>
        </w:rPr>
        <w:t>UNE EN 1 115-1:1998   </w:t>
      </w:r>
      <w:r>
        <w:rPr/>
        <w:t>“Sistemas de canalización enterrados de materiales plásticos, para evacuación y saneamiento con presión. Plásticos termoestables reforzados con fibra de vi- drio (PRFV) basados en resinas de poliéster insaturado (UP). Parte 1: Genera- lidades”.</w:t>
      </w:r>
    </w:p>
    <w:p>
      <w:pPr>
        <w:spacing w:after="0"/>
        <w:jc w:val="both"/>
        <w:sectPr>
          <w:pgSz w:w="11910" w:h="16840"/>
          <w:pgMar w:header="714" w:footer="642" w:top="1320" w:bottom="840" w:left="1200" w:right="740"/>
        </w:sectPr>
      </w:pPr>
    </w:p>
    <w:p>
      <w:pPr>
        <w:pStyle w:val="BodyText"/>
        <w:spacing w:before="91"/>
        <w:ind w:left="2484" w:right="475" w:hanging="2266"/>
        <w:jc w:val="both"/>
      </w:pPr>
      <w:r>
        <w:rPr>
          <w:b/>
        </w:rPr>
        <w:t>UNE EN 1 115-3:1997   </w:t>
      </w:r>
      <w:r>
        <w:rPr/>
        <w:t>“Sistemas de canalización enterrados de materiales plásticos, para evacuación y saneamiento con presión. Plásticos termoestables reforzados con fibra de vi- drio (PRFV) basados en resinas de poliéster insaturado (UP). Parte 3: Acceso- rios”.</w:t>
      </w:r>
    </w:p>
    <w:p>
      <w:pPr>
        <w:pStyle w:val="BodyText"/>
      </w:pPr>
    </w:p>
    <w:p>
      <w:pPr>
        <w:pStyle w:val="BodyText"/>
        <w:ind w:left="2484" w:right="529" w:hanging="2266"/>
        <w:jc w:val="both"/>
      </w:pPr>
      <w:r>
        <w:rPr>
          <w:b/>
        </w:rPr>
        <w:t>UNE EN 1 293:2000 </w:t>
      </w:r>
      <w:r>
        <w:rPr/>
        <w:t>“Requisitos generales para los componentes utilizados en tuberías de evacua- ción, sumideros y alcantarillado presurizadas neumáticamente”.</w:t>
      </w:r>
    </w:p>
    <w:p>
      <w:pPr>
        <w:pStyle w:val="BodyText"/>
      </w:pPr>
    </w:p>
    <w:p>
      <w:pPr>
        <w:pStyle w:val="BodyText"/>
        <w:ind w:left="2484" w:right="452" w:hanging="2266"/>
        <w:jc w:val="both"/>
      </w:pPr>
      <w:r>
        <w:rPr>
          <w:b/>
        </w:rPr>
        <w:t>UNE EN 1 295-1:1998 </w:t>
      </w:r>
      <w:r>
        <w:rPr/>
        <w:t>“Cálculo de la resistencia mecánica de tuberías enterradas bajo diferentes con- diciones de carga. Parte 1: Requisitos generales”.</w:t>
      </w:r>
    </w:p>
    <w:p>
      <w:pPr>
        <w:pStyle w:val="BodyText"/>
      </w:pPr>
    </w:p>
    <w:p>
      <w:pPr>
        <w:pStyle w:val="BodyText"/>
        <w:tabs>
          <w:tab w:pos="2484" w:val="left" w:leader="none"/>
        </w:tabs>
        <w:ind w:left="2484" w:right="586" w:hanging="2266"/>
      </w:pPr>
      <w:r>
        <w:rPr>
          <w:b/>
        </w:rPr>
        <w:t>UNE EN</w:t>
      </w:r>
      <w:r>
        <w:rPr>
          <w:b/>
          <w:spacing w:val="-2"/>
        </w:rPr>
        <w:t> </w:t>
      </w:r>
      <w:r>
        <w:rPr>
          <w:b/>
        </w:rPr>
        <w:t>1</w:t>
      </w:r>
      <w:r>
        <w:rPr>
          <w:b/>
          <w:spacing w:val="-1"/>
        </w:rPr>
        <w:t> </w:t>
      </w:r>
      <w:r>
        <w:rPr>
          <w:b/>
        </w:rPr>
        <w:t>329-1:1999</w:t>
        <w:tab/>
      </w:r>
      <w:r>
        <w:rPr/>
        <w:t>“Sistemas de canalización en materiales plásticos para evacuación de aguas residuales (baja y alta temperatura) en el interior de la estructura de los edifi- cios. Poli (cloruro de vinilo) no plastificado (PVC-U). Parte 1: Especificaciones para tubos, accesorios y el</w:t>
      </w:r>
      <w:r>
        <w:rPr>
          <w:spacing w:val="-3"/>
        </w:rPr>
        <w:t> </w:t>
      </w:r>
      <w:r>
        <w:rPr/>
        <w:t>sistema”.</w:t>
      </w:r>
    </w:p>
    <w:p>
      <w:pPr>
        <w:pStyle w:val="BodyText"/>
      </w:pPr>
    </w:p>
    <w:p>
      <w:pPr>
        <w:pStyle w:val="BodyText"/>
        <w:ind w:left="2484" w:right="518" w:hanging="2266"/>
      </w:pPr>
      <w:r>
        <w:rPr>
          <w:b/>
        </w:rPr>
        <w:t>UNE ENV 1 329-2:2002 </w:t>
      </w:r>
      <w:r>
        <w:rPr/>
        <w:t>“Sistemas de canalización en materiales plásticos para evacuación de aguas residuales (baja y alta temperatura) en el interior de la estructura de los edifi- cios. Poli (cloruro de vinilo) no plastificado (PVC-C). Parte 2: Guía para la eva- luación de la conformidad”.</w:t>
      </w:r>
    </w:p>
    <w:p>
      <w:pPr>
        <w:pStyle w:val="BodyText"/>
        <w:spacing w:before="11"/>
        <w:rPr>
          <w:sz w:val="19"/>
        </w:rPr>
      </w:pPr>
    </w:p>
    <w:p>
      <w:pPr>
        <w:pStyle w:val="BodyText"/>
        <w:ind w:left="2484" w:right="484" w:hanging="2266"/>
        <w:jc w:val="both"/>
      </w:pPr>
      <w:r>
        <w:rPr>
          <w:b/>
        </w:rPr>
        <w:t>UNE EN 1 401-1:1998 </w:t>
      </w:r>
      <w:r>
        <w:rPr/>
        <w:t>“Sistemas de canalización en materiales plásticos para saneamiento enterrado sin presión. Poli (cloruro de vinilo) no plastificado (PVC-U). Parte 1: Especifica- ciones para tubos, accesorios y el sistema”.</w:t>
      </w:r>
    </w:p>
    <w:p>
      <w:pPr>
        <w:pStyle w:val="BodyText"/>
      </w:pPr>
    </w:p>
    <w:p>
      <w:pPr>
        <w:pStyle w:val="BodyText"/>
        <w:spacing w:before="1"/>
        <w:ind w:left="2484" w:right="515" w:hanging="2266"/>
      </w:pPr>
      <w:r>
        <w:rPr>
          <w:b/>
        </w:rPr>
        <w:t>UNE ENV 1 401-2:2001 </w:t>
      </w:r>
      <w:r>
        <w:rPr/>
        <w:t>“Sistemas de canalización en materiales plásticos para saneamiento enterrado sin presión. Poli (cloruro de vinilo) no plastificado (PVC-U). Parte 2: Guía para la evaluación de la conformidad”.</w:t>
      </w:r>
    </w:p>
    <w:p>
      <w:pPr>
        <w:pStyle w:val="BodyText"/>
      </w:pPr>
    </w:p>
    <w:p>
      <w:pPr>
        <w:pStyle w:val="BodyText"/>
        <w:spacing w:before="1"/>
        <w:ind w:left="2484" w:right="485" w:hanging="2266"/>
        <w:jc w:val="both"/>
      </w:pPr>
      <w:r>
        <w:rPr>
          <w:b/>
        </w:rPr>
        <w:t>UNE ENV 1 401-3:2002 </w:t>
      </w:r>
      <w:r>
        <w:rPr/>
        <w:t>“Sistemas de canalización en materiales plásticos para saneamiento enterrado sin presión. Poli (cloruro de vinilo) no plastificado (PVC-U). parte 3: práctica re- comendada para la instalación”.</w:t>
      </w:r>
    </w:p>
    <w:p>
      <w:pPr>
        <w:pStyle w:val="BodyText"/>
        <w:spacing w:before="10"/>
        <w:rPr>
          <w:sz w:val="19"/>
        </w:rPr>
      </w:pPr>
    </w:p>
    <w:p>
      <w:pPr>
        <w:pStyle w:val="BodyText"/>
        <w:ind w:left="2484" w:right="610" w:hanging="2266"/>
        <w:jc w:val="both"/>
      </w:pPr>
      <w:r>
        <w:rPr>
          <w:b/>
        </w:rPr>
        <w:t>UNE EN 1 451-1:1999 </w:t>
      </w:r>
      <w:r>
        <w:rPr/>
        <w:t>“Sistemas de canalización en materiales plásticos para evacuación de aguas residuales (baja y alta temperatura) en el interior de la estructura de los edifi- cios. Polipropileno (PP). Parte 1: Especificaciones para tubos, accesorios y el sistema”.</w:t>
      </w:r>
    </w:p>
    <w:p>
      <w:pPr>
        <w:pStyle w:val="BodyText"/>
      </w:pPr>
    </w:p>
    <w:p>
      <w:pPr>
        <w:pStyle w:val="BodyText"/>
        <w:ind w:left="2484" w:right="653" w:hanging="2266"/>
        <w:jc w:val="both"/>
      </w:pPr>
      <w:r>
        <w:rPr>
          <w:b/>
        </w:rPr>
        <w:t>UNE ENV 1 451-2:2002 </w:t>
      </w:r>
      <w:r>
        <w:rPr/>
        <w:t>“Sistemas de canalización en materiales plásticos para evacuación de aguas residuales (baja y alta temperatura) en el interior de la estructura de los edifi- cios. Polipropileno (PP). Parte 2: Guía para la evaluación de la conformidad”.</w:t>
      </w:r>
    </w:p>
    <w:p>
      <w:pPr>
        <w:pStyle w:val="BodyText"/>
      </w:pPr>
    </w:p>
    <w:p>
      <w:pPr>
        <w:pStyle w:val="BodyText"/>
        <w:tabs>
          <w:tab w:pos="2484" w:val="left" w:leader="none"/>
        </w:tabs>
        <w:ind w:left="2484" w:right="418" w:hanging="2266"/>
      </w:pPr>
      <w:r>
        <w:rPr>
          <w:b/>
        </w:rPr>
        <w:t>UNE EN</w:t>
      </w:r>
      <w:r>
        <w:rPr>
          <w:b/>
          <w:spacing w:val="-2"/>
        </w:rPr>
        <w:t> </w:t>
      </w:r>
      <w:r>
        <w:rPr>
          <w:b/>
        </w:rPr>
        <w:t>1</w:t>
      </w:r>
      <w:r>
        <w:rPr>
          <w:b/>
          <w:spacing w:val="-1"/>
        </w:rPr>
        <w:t> </w:t>
      </w:r>
      <w:r>
        <w:rPr>
          <w:b/>
        </w:rPr>
        <w:t>453-1:2000</w:t>
        <w:tab/>
      </w:r>
      <w:r>
        <w:rPr/>
        <w:t>“Sistemas de canalización en materiales plásticos con tubos de pared estructu- rada para evacuación de aguas residuales (baja y alta temperatura) en el inte- rior de la estructura de los edificios. Poli (cloruro de vinilo) no plastificado (PVC- U). Parte 1: Especificaciones para los tubos y el</w:t>
      </w:r>
      <w:r>
        <w:rPr>
          <w:spacing w:val="-8"/>
        </w:rPr>
        <w:t> </w:t>
      </w:r>
      <w:r>
        <w:rPr/>
        <w:t>sistema”.</w:t>
      </w:r>
    </w:p>
    <w:p>
      <w:pPr>
        <w:pStyle w:val="BodyText"/>
      </w:pPr>
    </w:p>
    <w:p>
      <w:pPr>
        <w:pStyle w:val="BodyText"/>
        <w:ind w:left="2486" w:right="405" w:hanging="2266"/>
      </w:pPr>
      <w:r>
        <w:rPr>
          <w:b/>
        </w:rPr>
        <w:t>UNE ENV 1 453-2:2001 </w:t>
      </w:r>
      <w:r>
        <w:rPr/>
        <w:t>“Sistemas de canalización en materiales plásticos con tubos de pared estructu- rada para evacuación de aguas residuales (baja y alta temperatura) en el inte- rior de la estructura de los edificios. Poli (cloruro de vinilo) no plastificado (PVC- U). Parte 2: Guía para la evaluación de la conformidad”.</w:t>
      </w:r>
    </w:p>
    <w:p>
      <w:pPr>
        <w:pStyle w:val="BodyText"/>
      </w:pPr>
    </w:p>
    <w:p>
      <w:pPr>
        <w:pStyle w:val="BodyText"/>
        <w:tabs>
          <w:tab w:pos="2484" w:val="left" w:leader="none"/>
        </w:tabs>
        <w:ind w:left="2484" w:right="454" w:hanging="2266"/>
      </w:pPr>
      <w:r>
        <w:rPr>
          <w:b/>
        </w:rPr>
        <w:t>UNE</w:t>
      </w:r>
      <w:r>
        <w:rPr>
          <w:b/>
          <w:spacing w:val="-2"/>
        </w:rPr>
        <w:t> </w:t>
      </w:r>
      <w:r>
        <w:rPr>
          <w:b/>
        </w:rPr>
        <w:t>EN 1455-1:2000</w:t>
        <w:tab/>
      </w:r>
      <w:r>
        <w:rPr/>
        <w:t>“Sistemas de canalización en materiales plásticos para la evacuación de aguas residuales (baja y alta temperatura) en el interior de la estructura de los edifi- cios. Acrilonitrilo-butadieno-estireno (ABS). Parte 1: Especificaciones para tu- bos, accesorios y el</w:t>
      </w:r>
      <w:r>
        <w:rPr>
          <w:spacing w:val="-5"/>
        </w:rPr>
        <w:t> </w:t>
      </w:r>
      <w:r>
        <w:rPr/>
        <w:t>sistema”.</w:t>
      </w:r>
    </w:p>
    <w:p>
      <w:pPr>
        <w:spacing w:after="0"/>
        <w:sectPr>
          <w:footerReference w:type="default" r:id="rId164"/>
          <w:pgSz w:w="11910" w:h="16840"/>
          <w:pgMar w:footer="642" w:header="714" w:top="1320" w:bottom="840" w:left="1200" w:right="740"/>
        </w:sectPr>
      </w:pPr>
    </w:p>
    <w:p>
      <w:pPr>
        <w:pStyle w:val="BodyText"/>
        <w:spacing w:before="91"/>
        <w:ind w:left="2484" w:right="451" w:hanging="2266"/>
      </w:pPr>
      <w:r>
        <w:rPr>
          <w:b/>
        </w:rPr>
        <w:t>UNE ENV 1 455-2:2002 </w:t>
      </w:r>
      <w:r>
        <w:rPr/>
        <w:t>“Sistemas de canalización en materiales plásticos para la evacuación de aguas residuales (baja y alta temperatura) en el interior de la estructura de los edifi- cios. Acrilonitrilo-butadieno-estireno (ABS). Parte 2: Guía para la evaluación de la conformidad”.</w:t>
      </w:r>
    </w:p>
    <w:p>
      <w:pPr>
        <w:pStyle w:val="BodyText"/>
      </w:pPr>
    </w:p>
    <w:p>
      <w:pPr>
        <w:pStyle w:val="BodyText"/>
        <w:tabs>
          <w:tab w:pos="2484" w:val="left" w:leader="none"/>
        </w:tabs>
        <w:ind w:left="2484" w:right="496" w:hanging="2266"/>
      </w:pPr>
      <w:r>
        <w:rPr>
          <w:b/>
        </w:rPr>
        <w:t>UNE EN</w:t>
      </w:r>
      <w:r>
        <w:rPr>
          <w:b/>
          <w:spacing w:val="-2"/>
        </w:rPr>
        <w:t> </w:t>
      </w:r>
      <w:r>
        <w:rPr>
          <w:b/>
        </w:rPr>
        <w:t>1</w:t>
      </w:r>
      <w:r>
        <w:rPr>
          <w:b/>
          <w:spacing w:val="-1"/>
        </w:rPr>
        <w:t> </w:t>
      </w:r>
      <w:r>
        <w:rPr>
          <w:b/>
        </w:rPr>
        <w:t>456-1:2002</w:t>
        <w:tab/>
      </w:r>
      <w:r>
        <w:rPr/>
        <w:t>“Sistemas de canalización en materiales plásticos para saneamiento enterrado o aéreo con presión. Poli (cloruro de vinilo) no plastificado (PVC-U). Parte 1: Especificaciones para tubos, accesorios y el</w:t>
      </w:r>
      <w:r>
        <w:rPr>
          <w:spacing w:val="-5"/>
        </w:rPr>
        <w:t> </w:t>
      </w:r>
      <w:r>
        <w:rPr/>
        <w:t>sistema”.</w:t>
      </w:r>
    </w:p>
    <w:p>
      <w:pPr>
        <w:pStyle w:val="BodyText"/>
      </w:pPr>
    </w:p>
    <w:p>
      <w:pPr>
        <w:pStyle w:val="BodyText"/>
        <w:spacing w:before="1"/>
        <w:ind w:left="2484" w:right="462" w:hanging="2266"/>
      </w:pPr>
      <w:r>
        <w:rPr>
          <w:b/>
        </w:rPr>
        <w:t>UNE ENV 1 519-1:2000 </w:t>
      </w:r>
      <w:r>
        <w:rPr/>
        <w:t>“Sistemas de canalización en materiales plásticos para evacuación de aguas residuales (baja y alta temperatura) en el interior de la estructura de los edifi- cios. Polietileno (PE). Parte 1: Especificaciones para tubos, accesorios y el sis- tema”.</w:t>
      </w:r>
    </w:p>
    <w:p>
      <w:pPr>
        <w:pStyle w:val="BodyText"/>
        <w:spacing w:before="11"/>
        <w:rPr>
          <w:sz w:val="19"/>
        </w:rPr>
      </w:pPr>
    </w:p>
    <w:p>
      <w:pPr>
        <w:pStyle w:val="BodyText"/>
        <w:ind w:left="2484" w:right="663" w:hanging="2266"/>
        <w:jc w:val="both"/>
      </w:pPr>
      <w:r>
        <w:rPr>
          <w:b/>
        </w:rPr>
        <w:t>UNE ENV 1 519-2:2002 </w:t>
      </w:r>
      <w:r>
        <w:rPr/>
        <w:t>“Sistemas de canalización en materiales plásticos para evacuación de aguas residuales (baja y alta temperatura) en el interior de la estructura de los edifi- cios. Polietileno (PE). Parte 2: Guía para la evaluación de la conformidad”.</w:t>
      </w:r>
    </w:p>
    <w:p>
      <w:pPr>
        <w:pStyle w:val="BodyText"/>
        <w:spacing w:before="10"/>
        <w:rPr>
          <w:sz w:val="19"/>
        </w:rPr>
      </w:pPr>
    </w:p>
    <w:p>
      <w:pPr>
        <w:pStyle w:val="BodyText"/>
        <w:tabs>
          <w:tab w:pos="2486" w:val="left" w:leader="none"/>
        </w:tabs>
        <w:spacing w:before="1"/>
        <w:ind w:left="2486" w:right="467" w:hanging="2266"/>
      </w:pPr>
      <w:r>
        <w:rPr>
          <w:b/>
        </w:rPr>
        <w:t>UNE EN</w:t>
      </w:r>
      <w:r>
        <w:rPr>
          <w:b/>
          <w:spacing w:val="-2"/>
        </w:rPr>
        <w:t> </w:t>
      </w:r>
      <w:r>
        <w:rPr>
          <w:b/>
        </w:rPr>
        <w:t>1</w:t>
      </w:r>
      <w:r>
        <w:rPr>
          <w:b/>
          <w:spacing w:val="-1"/>
        </w:rPr>
        <w:t> </w:t>
      </w:r>
      <w:r>
        <w:rPr>
          <w:b/>
        </w:rPr>
        <w:t>565-1:1999</w:t>
        <w:tab/>
      </w:r>
      <w:r>
        <w:rPr/>
        <w:t>“Sistemas de canalización en materiales plásticos para evacuación de aguas residuales (baja y alta temperatura) en el interior de la estructura de los edifi- cios. Mezclas de copolímeros de estireno (SAN + PVC). Parte 1: Especificacio- nes para tubos, accesorios y el</w:t>
      </w:r>
      <w:r>
        <w:rPr>
          <w:spacing w:val="-4"/>
        </w:rPr>
        <w:t> </w:t>
      </w:r>
      <w:r>
        <w:rPr/>
        <w:t>sistema”.</w:t>
      </w:r>
    </w:p>
    <w:p>
      <w:pPr>
        <w:pStyle w:val="BodyText"/>
      </w:pPr>
    </w:p>
    <w:p>
      <w:pPr>
        <w:pStyle w:val="BodyText"/>
        <w:spacing w:before="1"/>
        <w:ind w:left="2484" w:right="590" w:hanging="2266"/>
      </w:pPr>
      <w:r>
        <w:rPr>
          <w:b/>
        </w:rPr>
        <w:t>UNE ENV 1 565-2:2002 </w:t>
      </w:r>
      <w:r>
        <w:rPr/>
        <w:t>“Sistemas de canalización en materiales plásticos para evacuación de aguas residuales (baja y alta temperatura) en el interior de la estructura de los edifi- cios. Mezclas de copolímeros de estireno (SAN + PVC). Parte 2: Guía para la evaluación de la conformidad”.</w:t>
      </w:r>
    </w:p>
    <w:p>
      <w:pPr>
        <w:pStyle w:val="BodyText"/>
        <w:spacing w:before="11"/>
        <w:rPr>
          <w:sz w:val="19"/>
        </w:rPr>
      </w:pPr>
    </w:p>
    <w:p>
      <w:pPr>
        <w:pStyle w:val="BodyText"/>
        <w:tabs>
          <w:tab w:pos="2484" w:val="left" w:leader="none"/>
        </w:tabs>
        <w:ind w:left="2484" w:right="463" w:hanging="2266"/>
      </w:pPr>
      <w:r>
        <w:rPr>
          <w:b/>
        </w:rPr>
        <w:t>UNE EN</w:t>
      </w:r>
      <w:r>
        <w:rPr>
          <w:b/>
          <w:spacing w:val="-2"/>
        </w:rPr>
        <w:t> </w:t>
      </w:r>
      <w:r>
        <w:rPr>
          <w:b/>
        </w:rPr>
        <w:t>1</w:t>
      </w:r>
      <w:r>
        <w:rPr>
          <w:b/>
          <w:spacing w:val="-1"/>
        </w:rPr>
        <w:t> </w:t>
      </w:r>
      <w:r>
        <w:rPr>
          <w:b/>
        </w:rPr>
        <w:t>566-1:1999</w:t>
        <w:tab/>
      </w:r>
      <w:r>
        <w:rPr/>
        <w:t>“Sistemas de canalización en materiales plásticos para evacuación de aguas residuales (baja y alta temperatura) en el interior de la estructura de los edifi- cios. Poli (cloruro de vinilo) clorado (PVC-C). Parte 1: Especificaciones para tu- bos, accesorios y el</w:t>
      </w:r>
      <w:r>
        <w:rPr>
          <w:spacing w:val="-5"/>
        </w:rPr>
        <w:t> </w:t>
      </w:r>
      <w:r>
        <w:rPr/>
        <w:t>sistema”.</w:t>
      </w:r>
    </w:p>
    <w:p>
      <w:pPr>
        <w:pStyle w:val="BodyText"/>
      </w:pPr>
    </w:p>
    <w:p>
      <w:pPr>
        <w:pStyle w:val="BodyText"/>
        <w:ind w:left="2484" w:right="574" w:hanging="2266"/>
      </w:pPr>
      <w:r>
        <w:rPr>
          <w:b/>
        </w:rPr>
        <w:t>UNE ENV 1 566-2:2002 </w:t>
      </w:r>
      <w:r>
        <w:rPr/>
        <w:t>“Sistemas de canalización en materiales plásticos para evacuación de aguas residuales (baja y alta temperatura) en el interior de la estructura de los edifi- cios. Poli (cloruro de vinilo) clorado (PVC-C). Parte 2: Guía para la evaluación de la conformidad”.</w:t>
      </w:r>
    </w:p>
    <w:p>
      <w:pPr>
        <w:pStyle w:val="BodyText"/>
        <w:spacing w:before="11"/>
        <w:rPr>
          <w:sz w:val="19"/>
        </w:rPr>
      </w:pPr>
    </w:p>
    <w:p>
      <w:pPr>
        <w:pStyle w:val="BodyText"/>
        <w:tabs>
          <w:tab w:pos="2484" w:val="left" w:leader="none"/>
        </w:tabs>
        <w:ind w:left="2484" w:right="476" w:hanging="2266"/>
      </w:pPr>
      <w:r>
        <w:rPr>
          <w:b/>
        </w:rPr>
        <w:t>UNE</w:t>
      </w:r>
      <w:r>
        <w:rPr>
          <w:b/>
          <w:spacing w:val="-2"/>
        </w:rPr>
        <w:t> </w:t>
      </w:r>
      <w:r>
        <w:rPr>
          <w:b/>
        </w:rPr>
        <w:t>EN 1636-3:1998</w:t>
        <w:tab/>
      </w:r>
      <w:r>
        <w:rPr/>
        <w:t>“Sistemas de canalización enterrados de materiales plásticos, para evacuación y saneamiento sin presión. Plásticos termoestables reforzados con fibra de vi- drio (PRFV) basados en resinas de poliéster insaturado (UP). Parte 3: Acceso- rios”.</w:t>
      </w:r>
    </w:p>
    <w:p>
      <w:pPr>
        <w:pStyle w:val="BodyText"/>
        <w:spacing w:before="1"/>
      </w:pPr>
    </w:p>
    <w:p>
      <w:pPr>
        <w:pStyle w:val="BodyText"/>
        <w:tabs>
          <w:tab w:pos="2484" w:val="left" w:leader="none"/>
        </w:tabs>
        <w:ind w:left="2484" w:right="444" w:hanging="2266"/>
      </w:pPr>
      <w:r>
        <w:rPr>
          <w:b/>
        </w:rPr>
        <w:t>UNE EN</w:t>
      </w:r>
      <w:r>
        <w:rPr>
          <w:b/>
          <w:spacing w:val="-2"/>
        </w:rPr>
        <w:t> </w:t>
      </w:r>
      <w:r>
        <w:rPr>
          <w:b/>
        </w:rPr>
        <w:t>1</w:t>
      </w:r>
      <w:r>
        <w:rPr>
          <w:b/>
          <w:spacing w:val="-1"/>
        </w:rPr>
        <w:t> </w:t>
      </w:r>
      <w:r>
        <w:rPr>
          <w:b/>
        </w:rPr>
        <w:t>636-5:1998</w:t>
        <w:tab/>
        <w:t>“</w:t>
      </w:r>
      <w:r>
        <w:rPr/>
        <w:t>Sistemas de canalización enterrados de materiales plásticos, para evacuación y saneamiento sin presión. Plásticos termoestables reforzados con fibra de vi- drio (PRFV) basados en resinas de poliéster insaturado (UP). Parte 5: Aptitud de las juntas para su</w:t>
      </w:r>
      <w:r>
        <w:rPr>
          <w:spacing w:val="-4"/>
        </w:rPr>
        <w:t> </w:t>
      </w:r>
      <w:r>
        <w:rPr/>
        <w:t>utilización”.</w:t>
      </w:r>
    </w:p>
    <w:p>
      <w:pPr>
        <w:pStyle w:val="BodyText"/>
        <w:spacing w:before="11"/>
        <w:rPr>
          <w:sz w:val="19"/>
        </w:rPr>
      </w:pPr>
    </w:p>
    <w:p>
      <w:pPr>
        <w:pStyle w:val="BodyText"/>
        <w:tabs>
          <w:tab w:pos="2484" w:val="left" w:leader="none"/>
        </w:tabs>
        <w:ind w:left="2484" w:right="398" w:hanging="2266"/>
      </w:pPr>
      <w:r>
        <w:rPr>
          <w:b/>
        </w:rPr>
        <w:t>UNE EN</w:t>
      </w:r>
      <w:r>
        <w:rPr>
          <w:b/>
          <w:spacing w:val="-2"/>
        </w:rPr>
        <w:t> </w:t>
      </w:r>
      <w:r>
        <w:rPr>
          <w:b/>
        </w:rPr>
        <w:t>1</w:t>
      </w:r>
      <w:r>
        <w:rPr>
          <w:b/>
          <w:spacing w:val="-1"/>
        </w:rPr>
        <w:t> </w:t>
      </w:r>
      <w:r>
        <w:rPr>
          <w:b/>
        </w:rPr>
        <w:t>636-6:1998</w:t>
        <w:tab/>
      </w:r>
      <w:r>
        <w:rPr/>
        <w:t>“Sistemas de canalización enterrados de materiales plásticos, para evacuación y saneamiento sin presión. Plásticos termoestables reforzados con fibra de vi- drio (PRFV) basados en resinas de poliéster insaturado (UP). Parte 6: Prácticas de</w:t>
      </w:r>
      <w:r>
        <w:rPr>
          <w:spacing w:val="-1"/>
        </w:rPr>
        <w:t> </w:t>
      </w:r>
      <w:r>
        <w:rPr/>
        <w:t>instalación”.</w:t>
      </w:r>
    </w:p>
    <w:p>
      <w:pPr>
        <w:pStyle w:val="BodyText"/>
      </w:pPr>
    </w:p>
    <w:p>
      <w:pPr>
        <w:pStyle w:val="BodyText"/>
        <w:tabs>
          <w:tab w:pos="2484" w:val="left" w:leader="none"/>
        </w:tabs>
        <w:ind w:left="2484" w:right="498" w:hanging="2266"/>
      </w:pPr>
      <w:r>
        <w:rPr>
          <w:b/>
        </w:rPr>
        <w:t>UNE EN</w:t>
      </w:r>
      <w:r>
        <w:rPr>
          <w:b/>
          <w:spacing w:val="-2"/>
        </w:rPr>
        <w:t> </w:t>
      </w:r>
      <w:r>
        <w:rPr>
          <w:b/>
        </w:rPr>
        <w:t>1</w:t>
      </w:r>
      <w:r>
        <w:rPr>
          <w:b/>
          <w:spacing w:val="-1"/>
        </w:rPr>
        <w:t> </w:t>
      </w:r>
      <w:r>
        <w:rPr>
          <w:b/>
        </w:rPr>
        <w:t>852-1:1998</w:t>
        <w:tab/>
      </w:r>
      <w:r>
        <w:rPr/>
        <w:t>“Sistemas de canalización en materiales plásticos para saneamiento enterrado sin presión. Polipropileno (PP). Parte 1: Especificaciones para tubos, acceso- rios y el</w:t>
      </w:r>
      <w:r>
        <w:rPr>
          <w:spacing w:val="-2"/>
        </w:rPr>
        <w:t> </w:t>
      </w:r>
      <w:r>
        <w:rPr/>
        <w:t>sistema”.</w:t>
      </w:r>
    </w:p>
    <w:p>
      <w:pPr>
        <w:spacing w:after="0"/>
        <w:sectPr>
          <w:footerReference w:type="default" r:id="rId165"/>
          <w:pgSz w:w="11910" w:h="16840"/>
          <w:pgMar w:footer="642" w:header="714" w:top="1320" w:bottom="840" w:left="1200" w:right="740"/>
          <w:pgNumType w:start="151"/>
        </w:sectPr>
      </w:pPr>
    </w:p>
    <w:p>
      <w:pPr>
        <w:pStyle w:val="BodyText"/>
        <w:spacing w:before="91"/>
        <w:ind w:left="2484" w:right="398" w:hanging="2266"/>
      </w:pPr>
      <w:r>
        <w:rPr>
          <w:b/>
        </w:rPr>
        <w:t>UNE ENV 1 852-2:2001 </w:t>
      </w:r>
      <w:r>
        <w:rPr/>
        <w:t>“Sistemas de canalización en materiales plásticos para saneamiento enterrado sin presión. Polipropileno (PP). Parte 2: Guía para la evaluación de la confor- midad”.</w:t>
      </w:r>
    </w:p>
    <w:p>
      <w:pPr>
        <w:pStyle w:val="BodyText"/>
        <w:spacing w:before="11"/>
        <w:rPr>
          <w:sz w:val="19"/>
        </w:rPr>
      </w:pPr>
    </w:p>
    <w:p>
      <w:pPr>
        <w:pStyle w:val="BodyText"/>
        <w:tabs>
          <w:tab w:pos="2484" w:val="left" w:leader="none"/>
        </w:tabs>
        <w:ind w:left="2484" w:right="521" w:hanging="2266"/>
      </w:pPr>
      <w:r>
        <w:rPr>
          <w:b/>
        </w:rPr>
        <w:t>UNE EN</w:t>
      </w:r>
      <w:r>
        <w:rPr>
          <w:b/>
          <w:spacing w:val="-2"/>
        </w:rPr>
        <w:t> </w:t>
      </w:r>
      <w:r>
        <w:rPr>
          <w:b/>
        </w:rPr>
        <w:t>12</w:t>
      </w:r>
      <w:r>
        <w:rPr>
          <w:b/>
          <w:spacing w:val="-1"/>
        </w:rPr>
        <w:t> </w:t>
      </w:r>
      <w:r>
        <w:rPr>
          <w:b/>
        </w:rPr>
        <w:t>095:1997</w:t>
        <w:tab/>
      </w:r>
      <w:r>
        <w:rPr/>
        <w:t>“Sistemas de canalización en materiales plásticos. Abrazaderas para sistemas de evacuación de aguas pluviales. Método de ensayo de resistencia de la abrazadera”.</w:t>
      </w:r>
    </w:p>
    <w:p>
      <w:pPr>
        <w:pStyle w:val="BodyText"/>
        <w:spacing w:before="1"/>
      </w:pPr>
    </w:p>
    <w:p>
      <w:pPr>
        <w:pStyle w:val="BodyText"/>
        <w:ind w:left="2484" w:right="417" w:hanging="2266"/>
      </w:pPr>
      <w:r>
        <w:rPr>
          <w:b/>
        </w:rPr>
        <w:t>UNE ENV 13 801:2002 </w:t>
      </w:r>
      <w:r>
        <w:rPr/>
        <w:t>Sistemas de canalización en materiales plásticos para la evacuación de aguas residuales (a baja y a alta temperatura) en el interior de la estructura de los edi- ficios. Termoplásticos. Práctica recomendada para la instalación.</w:t>
      </w:r>
    </w:p>
    <w:p>
      <w:pPr>
        <w:pStyle w:val="BodyText"/>
        <w:spacing w:before="10"/>
        <w:rPr>
          <w:sz w:val="19"/>
        </w:rPr>
      </w:pPr>
    </w:p>
    <w:p>
      <w:pPr>
        <w:tabs>
          <w:tab w:pos="2486" w:val="left" w:leader="none"/>
        </w:tabs>
        <w:spacing w:before="1"/>
        <w:ind w:left="218" w:right="0" w:firstLine="0"/>
        <w:jc w:val="left"/>
        <w:rPr>
          <w:sz w:val="20"/>
        </w:rPr>
      </w:pPr>
      <w:r>
        <w:rPr>
          <w:b/>
          <w:sz w:val="20"/>
        </w:rPr>
        <w:t>UNE</w:t>
      </w:r>
      <w:r>
        <w:rPr>
          <w:b/>
          <w:spacing w:val="-2"/>
          <w:sz w:val="20"/>
        </w:rPr>
        <w:t> </w:t>
      </w:r>
      <w:r>
        <w:rPr>
          <w:b/>
          <w:sz w:val="20"/>
        </w:rPr>
        <w:t>37 206:1978</w:t>
        <w:tab/>
      </w:r>
      <w:r>
        <w:rPr>
          <w:sz w:val="20"/>
        </w:rPr>
        <w:t>“Manguetones de plomo</w:t>
      </w:r>
      <w:r>
        <w:rPr>
          <w:b/>
          <w:sz w:val="20"/>
        </w:rPr>
        <w:t>”</w:t>
      </w:r>
      <w:r>
        <w:rPr>
          <w:sz w:val="20"/>
        </w:rPr>
        <w:t>.</w:t>
      </w:r>
    </w:p>
    <w:p>
      <w:pPr>
        <w:pStyle w:val="BodyText"/>
      </w:pPr>
    </w:p>
    <w:p>
      <w:pPr>
        <w:pStyle w:val="BodyText"/>
        <w:ind w:left="2484" w:right="399" w:hanging="2266"/>
        <w:jc w:val="both"/>
      </w:pPr>
      <w:r>
        <w:rPr>
          <w:b/>
        </w:rPr>
        <w:t>UNE 53 323:2001 EX </w:t>
      </w:r>
      <w:r>
        <w:rPr/>
        <w:t>“Sistemas de canalización enterrados de materiales plásticos para aplicaciones con y sin presión. Plásticos termoestables reforzados con fibra de vidrio (PRFV) basados en resinas de poliéster insaturado (UP)</w:t>
      </w:r>
      <w:r>
        <w:rPr>
          <w:spacing w:val="-4"/>
        </w:rPr>
        <w:t> </w:t>
      </w:r>
      <w:r>
        <w:rPr/>
        <w:t>”.</w:t>
      </w:r>
    </w:p>
    <w:p>
      <w:pPr>
        <w:pStyle w:val="BodyText"/>
        <w:spacing w:before="11"/>
        <w:rPr>
          <w:sz w:val="19"/>
        </w:rPr>
      </w:pPr>
    </w:p>
    <w:p>
      <w:pPr>
        <w:pStyle w:val="BodyText"/>
        <w:tabs>
          <w:tab w:pos="2484" w:val="left" w:leader="none"/>
        </w:tabs>
        <w:ind w:left="2484" w:right="453" w:hanging="2266"/>
      </w:pPr>
      <w:r>
        <w:rPr>
          <w:b/>
        </w:rPr>
        <w:t>UNE</w:t>
      </w:r>
      <w:r>
        <w:rPr>
          <w:b/>
          <w:spacing w:val="-2"/>
        </w:rPr>
        <w:t> </w:t>
      </w:r>
      <w:r>
        <w:rPr>
          <w:b/>
        </w:rPr>
        <w:t>53 365:1990</w:t>
        <w:tab/>
      </w:r>
      <w:r>
        <w:rPr/>
        <w:t>“Plásticos. Tubos de PE de alta densidad para uniones soldadas, usados para canalizaciones subterráneas, enterradas o no, empleadas para la evacuación y desagües. Características y métodos de</w:t>
      </w:r>
      <w:r>
        <w:rPr>
          <w:spacing w:val="-4"/>
        </w:rPr>
        <w:t> </w:t>
      </w:r>
      <w:r>
        <w:rPr/>
        <w:t>ensayo</w:t>
      </w:r>
      <w:r>
        <w:rPr>
          <w:b/>
        </w:rPr>
        <w:t>”</w:t>
      </w:r>
      <w:r>
        <w:rPr/>
        <w:t>.</w:t>
      </w:r>
    </w:p>
    <w:p>
      <w:pPr>
        <w:pStyle w:val="BodyText"/>
      </w:pPr>
    </w:p>
    <w:p>
      <w:pPr>
        <w:pStyle w:val="BodyText"/>
        <w:spacing w:before="1"/>
        <w:ind w:left="2484" w:right="498" w:hanging="2266"/>
        <w:jc w:val="both"/>
      </w:pPr>
      <w:r>
        <w:rPr>
          <w:b/>
        </w:rPr>
        <w:t>UNE 127 010:1995 EX </w:t>
      </w:r>
      <w:r>
        <w:rPr/>
        <w:t>“Tubos prefabricados de hormigón en masa, hormigón armado y hormigón con fibra de acero, para conducciones sin presión”.</w:t>
      </w:r>
    </w:p>
    <w:sectPr>
      <w:pgSz w:w="11910" w:h="16840"/>
      <w:pgMar w:header="714" w:footer="642" w:top="1320" w:bottom="840" w:left="12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12128" from="83.599998pt,796.079956pt" to="509.639998pt,796.079956pt" stroked="true" strokeweight=".48004pt" strokecolor="#000000">
          <v:stroke dashstyle="solid"/>
          <w10:wrap type="none"/>
        </v:line>
      </w:pict>
    </w:r>
    <w:r>
      <w:rPr/>
      <w:pict>
        <v:shape style="position:absolute;margin-left:292.399994pt;margin-top:796.495911pt;width:8.450pt;height:10.95pt;mso-position-horizontal-relative:page;mso-position-vertical-relative:page;z-index:-267311104" type="#_x0000_t202" filled="false" stroked="false">
          <v:textbox inset="0,0,0,0">
            <w:txbxContent>
              <w:p>
                <w:pPr>
                  <w:spacing w:before="14"/>
                  <w:ind w:left="40" w:right="0" w:firstLine="0"/>
                  <w:jc w:val="left"/>
                  <w:rPr>
                    <w:sz w:val="16"/>
                  </w:rPr>
                </w:pPr>
                <w:r>
                  <w:rPr/>
                  <w:fldChar w:fldCharType="begin"/>
                </w:r>
                <w:r>
                  <w:rPr>
                    <w:w w:val="99"/>
                    <w:sz w:val="16"/>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87552" from="69.419998pt,796.079956pt" to="540.179998pt,796.079956pt" stroked="true" strokeweight=".48004pt" strokecolor="#000000">
          <v:stroke dashstyle="solid"/>
          <w10:wrap type="none"/>
        </v:line>
      </w:pict>
    </w:r>
    <w:r>
      <w:rPr/>
      <w:pict>
        <v:shape style="position:absolute;margin-left:296.119995pt;margin-top:796.495911pt;width:17.350pt;height:10.95pt;mso-position-horizontal-relative:page;mso-position-vertical-relative:page;z-index:-267286528" type="#_x0000_t202" filled="false" stroked="false">
          <v:textbox inset="0,0,0,0">
            <w:txbxContent>
              <w:p>
                <w:pPr>
                  <w:spacing w:before="14"/>
                  <w:ind w:left="40" w:right="0" w:firstLine="0"/>
                  <w:jc w:val="left"/>
                  <w:rPr>
                    <w:sz w:val="16"/>
                  </w:rPr>
                </w:pPr>
                <w:r>
                  <w:rPr/>
                  <w:fldChar w:fldCharType="begin"/>
                </w:r>
                <w:r>
                  <w:rPr>
                    <w:sz w:val="16"/>
                  </w:rPr>
                  <w:instrText> PAGE </w:instrText>
                </w:r>
                <w:r>
                  <w:rPr/>
                  <w:fldChar w:fldCharType="separate"/>
                </w:r>
                <w:r>
                  <w:rPr/>
                  <w:t>141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85504" from="69.419998pt,796.079956pt" to="540.179998pt,796.079956pt" stroked="true" strokeweight=".48004pt" strokecolor="#000000">
          <v:stroke dashstyle="solid"/>
          <w10:wrap type="none"/>
        </v:line>
      </w:pict>
    </w:r>
    <w:r>
      <w:rPr/>
      <w:pict>
        <v:shape style="position:absolute;margin-left:297.119995pt;margin-top:796.495911pt;width:15.35pt;height:10.95pt;mso-position-horizontal-relative:page;mso-position-vertical-relative:page;z-index:-267284480" type="#_x0000_t202" filled="false" stroked="false">
          <v:textbox inset="0,0,0,0">
            <w:txbxContent>
              <w:p>
                <w:pPr>
                  <w:spacing w:before="14"/>
                  <w:ind w:left="20" w:right="0" w:firstLine="0"/>
                  <w:jc w:val="left"/>
                  <w:rPr>
                    <w:sz w:val="16"/>
                  </w:rPr>
                </w:pPr>
                <w:r>
                  <w:rPr>
                    <w:sz w:val="16"/>
                  </w:rPr>
                  <w:t>150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83456" from="69.419998pt,796.079956pt" to="540.179998pt,796.079956pt" stroked="true" strokeweight=".48004pt" strokecolor="#000000">
          <v:stroke dashstyle="solid"/>
          <w10:wrap type="none"/>
        </v:line>
      </w:pict>
    </w:r>
    <w:r>
      <w:rPr/>
      <w:pict>
        <v:shape style="position:absolute;margin-left:296.119995pt;margin-top:796.495911pt;width:17.350pt;height:10.95pt;mso-position-horizontal-relative:page;mso-position-vertical-relative:page;z-index:-267282432" type="#_x0000_t202" filled="false" stroked="false">
          <v:textbox inset="0,0,0,0">
            <w:txbxContent>
              <w:p>
                <w:pPr>
                  <w:spacing w:before="14"/>
                  <w:ind w:left="40" w:right="0" w:firstLine="0"/>
                  <w:jc w:val="left"/>
                  <w:rPr>
                    <w:sz w:val="16"/>
                  </w:rPr>
                </w:pPr>
                <w:r>
                  <w:rPr/>
                  <w:fldChar w:fldCharType="begin"/>
                </w:r>
                <w:r>
                  <w:rPr>
                    <w:sz w:val="16"/>
                  </w:rPr>
                  <w:instrText> PAGE </w:instrText>
                </w:r>
                <w:r>
                  <w:rPr/>
                  <w:fldChar w:fldCharType="separate"/>
                </w:r>
                <w:r>
                  <w:rPr/>
                  <w:t>151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67308032" from="69.419998pt,794.460022pt" to="539.819998pt,794.460022pt" stroked="true" strokeweight=".48001pt" strokecolor="#000000">
          <v:stroke dashstyle="solid"/>
          <w10:wrap type="none"/>
        </v:line>
      </w:pict>
    </w:r>
    <w:r>
      <w:rPr/>
      <w:pict>
        <v:shape style="position:absolute;margin-left:296.299988pt;margin-top:795.835632pt;width:17.350pt;height:11.1pt;mso-position-horizontal-relative:page;mso-position-vertical-relative:page;z-index:-267307008" type="#_x0000_t202" filled="false" stroked="false">
          <v:textbox inset="0,0,0,0">
            <w:txbxContent>
              <w:p>
                <w:pPr>
                  <w:spacing w:before="17"/>
                  <w:ind w:left="40" w:right="0" w:firstLine="0"/>
                  <w:jc w:val="left"/>
                  <w:rPr>
                    <w:sz w:val="16"/>
                  </w:rPr>
                </w:pPr>
                <w:r>
                  <w:rPr/>
                  <w:fldChar w:fldCharType="begin"/>
                </w:r>
                <w:r>
                  <w:rPr>
                    <w:sz w:val="16"/>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03936" from="69.419998pt,795.47998pt" to="540.479998pt,795.47998pt" stroked="true" strokeweight=".47998pt" strokecolor="#000000">
          <v:stroke dashstyle="solid"/>
          <w10:wrap type="none"/>
        </v:line>
      </w:pict>
    </w:r>
    <w:r>
      <w:rPr/>
      <w:pict>
        <v:shape style="position:absolute;margin-left:297.299988pt;margin-top:795.895874pt;width:15.35pt;height:10.95pt;mso-position-horizontal-relative:page;mso-position-vertical-relative:page;z-index:-267302912" type="#_x0000_t202" filled="false" stroked="false">
          <v:textbox inset="0,0,0,0">
            <w:txbxContent>
              <w:p>
                <w:pPr>
                  <w:spacing w:before="14"/>
                  <w:ind w:left="20" w:right="0" w:firstLine="0"/>
                  <w:jc w:val="left"/>
                  <w:rPr>
                    <w:sz w:val="16"/>
                  </w:rPr>
                </w:pPr>
                <w:r>
                  <w:rPr>
                    <w:sz w:val="16"/>
                  </w:rPr>
                  <w:t>110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01888" from="69.419998pt,795.47998pt" to="540.479998pt,795.47998pt" stroked="true" strokeweight=".47998pt" strokecolor="#000000">
          <v:stroke dashstyle="solid"/>
          <w10:wrap type="none"/>
        </v:line>
      </w:pict>
    </w:r>
    <w:r>
      <w:rPr/>
      <w:pict>
        <v:shape style="position:absolute;margin-left:296.299988pt;margin-top:795.895874pt;width:17.350pt;height:10.95pt;mso-position-horizontal-relative:page;mso-position-vertical-relative:page;z-index:-267300864" type="#_x0000_t202" filled="false" stroked="false">
          <v:textbox inset="0,0,0,0">
            <w:txbxContent>
              <w:p>
                <w:pPr>
                  <w:spacing w:before="14"/>
                  <w:ind w:left="40" w:right="0" w:firstLine="0"/>
                  <w:jc w:val="left"/>
                  <w:rPr>
                    <w:sz w:val="16"/>
                  </w:rPr>
                </w:pPr>
                <w:r>
                  <w:rPr/>
                  <w:fldChar w:fldCharType="begin"/>
                </w:r>
                <w:r>
                  <w:rPr>
                    <w:sz w:val="16"/>
                  </w:rPr>
                  <w:instrText> PAGE </w:instrText>
                </w:r>
                <w:r>
                  <w:rPr/>
                  <w:fldChar w:fldCharType="separate"/>
                </w:r>
                <w:r>
                  <w:rPr/>
                  <w:t>111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99840" from="69.419998pt,795.47998pt" to="540.479998pt,795.47998pt" stroked="true" strokeweight=".47998pt" strokecolor="#000000">
          <v:stroke dashstyle="solid"/>
          <w10:wrap type="none"/>
        </v:line>
      </w:pict>
    </w:r>
    <w:r>
      <w:rPr/>
      <w:pict>
        <v:shape style="position:absolute;margin-left:297.299988pt;margin-top:795.895874pt;width:15.35pt;height:10.95pt;mso-position-horizontal-relative:page;mso-position-vertical-relative:page;z-index:-267298816" type="#_x0000_t202" filled="false" stroked="false">
          <v:textbox inset="0,0,0,0">
            <w:txbxContent>
              <w:p>
                <w:pPr>
                  <w:spacing w:before="14"/>
                  <w:ind w:left="20" w:right="0" w:firstLine="0"/>
                  <w:jc w:val="left"/>
                  <w:rPr>
                    <w:sz w:val="16"/>
                  </w:rPr>
                </w:pPr>
                <w:r>
                  <w:rPr>
                    <w:sz w:val="16"/>
                  </w:rPr>
                  <w:t>120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line style="position:absolute;mso-position-horizontal-relative:page;mso-position-vertical-relative:page;z-index:-267297792" from="69.419998pt,795.47998pt" to="540.479998pt,795.47998pt" stroked="true" strokeweight=".47998pt" strokecolor="#000000">
          <v:stroke dashstyle="solid"/>
          <w10:wrap type="none"/>
        </v:line>
      </w:pict>
    </w:r>
    <w:r>
      <w:rPr/>
      <w:pict>
        <v:shape style="position:absolute;margin-left:296.119995pt;margin-top:795.895874pt;width:17.5pt;height:11.55pt;mso-position-horizontal-relative:page;mso-position-vertical-relative:page;z-index:-267296768" type="#_x0000_t202" filled="false" stroked="false">
          <v:textbox inset="0,0,0,0">
            <w:txbxContent>
              <w:p>
                <w:pPr>
                  <w:spacing w:before="26"/>
                  <w:ind w:left="40" w:right="0" w:firstLine="0"/>
                  <w:jc w:val="left"/>
                  <w:rPr>
                    <w:sz w:val="16"/>
                  </w:rPr>
                </w:pPr>
                <w:r>
                  <w:rPr/>
                  <w:fldChar w:fldCharType="begin"/>
                </w:r>
                <w:r>
                  <w:rPr>
                    <w:sz w:val="16"/>
                  </w:rPr>
                  <w:instrText> PAGE </w:instrText>
                </w:r>
                <w:r>
                  <w:rPr/>
                  <w:fldChar w:fldCharType="separate"/>
                </w:r>
                <w:r>
                  <w:rPr/>
                  <w:t>124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93696" from="69.419998pt,796.079956pt" to="540.179998pt,796.079956pt" stroked="true" strokeweight=".48004pt" strokecolor="#000000">
          <v:stroke dashstyle="solid"/>
          <w10:wrap type="none"/>
        </v:line>
      </w:pict>
    </w:r>
    <w:r>
      <w:rPr/>
      <w:pict>
        <v:shape style="position:absolute;margin-left:297.119995pt;margin-top:796.495911pt;width:15.35pt;height:10.95pt;mso-position-horizontal-relative:page;mso-position-vertical-relative:page;z-index:-267292672" type="#_x0000_t202" filled="false" stroked="false">
          <v:textbox inset="0,0,0,0">
            <w:txbxContent>
              <w:p>
                <w:pPr>
                  <w:spacing w:before="14"/>
                  <w:ind w:left="20" w:right="0" w:firstLine="0"/>
                  <w:jc w:val="left"/>
                  <w:rPr>
                    <w:sz w:val="16"/>
                  </w:rPr>
                </w:pPr>
                <w:r>
                  <w:rPr>
                    <w:sz w:val="16"/>
                  </w:rPr>
                  <w:t>130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91648" from="69.419998pt,796.079956pt" to="540.179998pt,796.079956pt" stroked="true" strokeweight=".48004pt" strokecolor="#000000">
          <v:stroke dashstyle="solid"/>
          <w10:wrap type="none"/>
        </v:line>
      </w:pict>
    </w:r>
    <w:r>
      <w:rPr/>
      <w:pict>
        <v:shape style="position:absolute;margin-left:296.119995pt;margin-top:796.495911pt;width:17.350pt;height:10.95pt;mso-position-horizontal-relative:page;mso-position-vertical-relative:page;z-index:-267290624" type="#_x0000_t202" filled="false" stroked="false">
          <v:textbox inset="0,0,0,0">
            <w:txbxContent>
              <w:p>
                <w:pPr>
                  <w:spacing w:before="14"/>
                  <w:ind w:left="40" w:right="0" w:firstLine="0"/>
                  <w:jc w:val="left"/>
                  <w:rPr>
                    <w:sz w:val="16"/>
                  </w:rPr>
                </w:pPr>
                <w:r>
                  <w:rPr/>
                  <w:fldChar w:fldCharType="begin"/>
                </w:r>
                <w:r>
                  <w:rPr>
                    <w:sz w:val="16"/>
                  </w:rPr>
                  <w:instrText> PAGE </w:instrText>
                </w:r>
                <w:r>
                  <w:rPr/>
                  <w:fldChar w:fldCharType="separate"/>
                </w:r>
                <w:r>
                  <w:rPr/>
                  <w:t>131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89600" from="69.419998pt,796.079956pt" to="540.179998pt,796.079956pt" stroked="true" strokeweight=".48004pt" strokecolor="#000000">
          <v:stroke dashstyle="solid"/>
          <w10:wrap type="none"/>
        </v:line>
      </w:pict>
    </w:r>
    <w:r>
      <w:rPr/>
      <w:pict>
        <v:shape style="position:absolute;margin-left:297.119995pt;margin-top:796.495911pt;width:15.35pt;height:10.95pt;mso-position-horizontal-relative:page;mso-position-vertical-relative:page;z-index:-267288576" type="#_x0000_t202" filled="false" stroked="false">
          <v:textbox inset="0,0,0,0">
            <w:txbxContent>
              <w:p>
                <w:pPr>
                  <w:spacing w:before="14"/>
                  <w:ind w:left="20" w:right="0" w:firstLine="0"/>
                  <w:jc w:val="left"/>
                  <w:rPr>
                    <w:sz w:val="16"/>
                  </w:rPr>
                </w:pPr>
                <w:r>
                  <w:rPr>
                    <w:sz w:val="16"/>
                  </w:rPr>
                  <w:t>140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14176" from="83.599998pt,45.899982pt" to="511.859998pt,45.899982pt" stroked="true" strokeweight=".48pt" strokecolor="#000000">
          <v:stroke dashstyle="solid"/>
          <w10:wrap type="none"/>
        </v:line>
      </w:pict>
    </w:r>
    <w:r>
      <w:rPr/>
      <w:pict>
        <v:shape style="position:absolute;margin-left:205.539993pt;margin-top:34.6759pt;width:184.3pt;height:10.95pt;mso-position-horizontal-relative:page;mso-position-vertical-relative:page;z-index:-267313152" type="#_x0000_t202" filled="false" stroked="false">
          <v:textbox inset="0,0,0,0">
            <w:txbxContent>
              <w:p>
                <w:pPr>
                  <w:spacing w:before="14"/>
                  <w:ind w:left="20" w:right="0" w:firstLine="0"/>
                  <w:jc w:val="left"/>
                  <w:rPr>
                    <w:sz w:val="16"/>
                  </w:rPr>
                </w:pPr>
                <w:r>
                  <w:rPr>
                    <w:b/>
                    <w:color w:val="808080"/>
                    <w:sz w:val="16"/>
                  </w:rPr>
                  <w:t>D</w:t>
                </w:r>
                <w:r>
                  <w:rPr>
                    <w:color w:val="808080"/>
                    <w:sz w:val="16"/>
                  </w:rPr>
                  <w:t>ocumento </w:t>
                </w:r>
                <w:r>
                  <w:rPr>
                    <w:b/>
                    <w:color w:val="808080"/>
                    <w:sz w:val="16"/>
                  </w:rPr>
                  <w:t>B</w:t>
                </w:r>
                <w:r>
                  <w:rPr>
                    <w:color w:val="808080"/>
                    <w:sz w:val="16"/>
                  </w:rPr>
                  <w:t>ásico </w:t>
                </w:r>
                <w:r>
                  <w:rPr>
                    <w:b/>
                    <w:color w:val="808080"/>
                    <w:sz w:val="16"/>
                  </w:rPr>
                  <w:t>HS </w:t>
                </w:r>
                <w:r>
                  <w:rPr>
                    <w:color w:val="808080"/>
                    <w:sz w:val="16"/>
                  </w:rPr>
                  <w:t>Salubridad con comentarios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10080" from="69.419998pt,49.44001pt" to="540.119998pt,49.44001pt" stroked="true" strokeweight=".47998pt" strokecolor="#000000">
          <v:stroke dashstyle="solid"/>
          <w10:wrap type="none"/>
        </v:line>
      </w:pict>
    </w:r>
    <w:r>
      <w:rPr/>
      <w:pict>
        <v:shape style="position:absolute;margin-left:212.600006pt;margin-top:35.215618pt;width:184.3pt;height:10.95pt;mso-position-horizontal-relative:page;mso-position-vertical-relative:page;z-index:-267309056" type="#_x0000_t202" filled="false" stroked="false">
          <v:textbox inset="0,0,0,0">
            <w:txbxContent>
              <w:p>
                <w:pPr>
                  <w:spacing w:before="14"/>
                  <w:ind w:left="20" w:right="0" w:firstLine="0"/>
                  <w:jc w:val="left"/>
                  <w:rPr>
                    <w:sz w:val="16"/>
                  </w:rPr>
                </w:pPr>
                <w:r>
                  <w:rPr>
                    <w:b/>
                    <w:color w:val="7F7F7F"/>
                    <w:sz w:val="16"/>
                  </w:rPr>
                  <w:t>D</w:t>
                </w:r>
                <w:r>
                  <w:rPr>
                    <w:color w:val="7F7F7F"/>
                    <w:sz w:val="16"/>
                  </w:rPr>
                  <w:t>ocumento </w:t>
                </w:r>
                <w:r>
                  <w:rPr>
                    <w:b/>
                    <w:color w:val="7F7F7F"/>
                    <w:sz w:val="16"/>
                  </w:rPr>
                  <w:t>B</w:t>
                </w:r>
                <w:r>
                  <w:rPr>
                    <w:color w:val="7F7F7F"/>
                    <w:sz w:val="16"/>
                  </w:rPr>
                  <w:t>ásico </w:t>
                </w:r>
                <w:r>
                  <w:rPr>
                    <w:b/>
                    <w:color w:val="7F7F7F"/>
                    <w:sz w:val="16"/>
                  </w:rPr>
                  <w:t>HS </w:t>
                </w:r>
                <w:r>
                  <w:rPr>
                    <w:color w:val="7F7F7F"/>
                    <w:sz w:val="16"/>
                  </w:rPr>
                  <w:t>Salubridad con comentarios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05984" from="69.419998pt,55.679981pt" to="540.179998pt,55.679981pt" stroked="true" strokeweight=".48pt" strokecolor="#000000">
          <v:stroke dashstyle="solid"/>
          <w10:wrap type="none"/>
        </v:line>
      </w:pict>
    </w:r>
    <w:r>
      <w:rPr/>
      <w:pict>
        <v:shape style="position:absolute;margin-left:210.399994pt;margin-top:44.395901pt;width:188.75pt;height:10.95pt;mso-position-horizontal-relative:page;mso-position-vertical-relative:page;z-index:-267304960" type="#_x0000_t202" filled="false" stroked="false">
          <v:textbox inset="0,0,0,0">
            <w:txbxContent>
              <w:p>
                <w:pPr>
                  <w:spacing w:before="14"/>
                  <w:ind w:left="20" w:right="0" w:firstLine="0"/>
                  <w:jc w:val="left"/>
                  <w:rPr>
                    <w:sz w:val="16"/>
                  </w:rPr>
                </w:pPr>
                <w:r>
                  <w:rPr>
                    <w:b/>
                    <w:color w:val="808080"/>
                    <w:sz w:val="16"/>
                  </w:rPr>
                  <w:t>D</w:t>
                </w:r>
                <w:r>
                  <w:rPr>
                    <w:color w:val="808080"/>
                    <w:sz w:val="16"/>
                  </w:rPr>
                  <w:t>ocumento </w:t>
                </w:r>
                <w:r>
                  <w:rPr>
                    <w:b/>
                    <w:color w:val="808080"/>
                    <w:sz w:val="16"/>
                  </w:rPr>
                  <w:t>B</w:t>
                </w:r>
                <w:r>
                  <w:rPr>
                    <w:color w:val="808080"/>
                    <w:sz w:val="16"/>
                  </w:rPr>
                  <w:t>ásico </w:t>
                </w:r>
                <w:r>
                  <w:rPr>
                    <w:b/>
                    <w:color w:val="808080"/>
                    <w:sz w:val="16"/>
                  </w:rPr>
                  <w:t>HS </w:t>
                </w:r>
                <w:r>
                  <w:rPr>
                    <w:color w:val="808080"/>
                    <w:sz w:val="16"/>
                  </w:rPr>
                  <w:t>Salubridad con comentarios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95744" from="69.419998pt,45.899982pt" to="540.179998pt,45.899982pt" stroked="true" strokeweight=".48pt" strokecolor="#000000">
          <v:stroke dashstyle="solid"/>
          <w10:wrap type="none"/>
        </v:line>
      </w:pict>
    </w:r>
    <w:r>
      <w:rPr/>
      <w:pict>
        <v:shape style="position:absolute;margin-left:191.380005pt;margin-top:34.6759pt;width:184.3pt;height:10.95pt;mso-position-horizontal-relative:page;mso-position-vertical-relative:page;z-index:-267294720" type="#_x0000_t202" filled="false" stroked="false">
          <v:textbox inset="0,0,0,0">
            <w:txbxContent>
              <w:p>
                <w:pPr>
                  <w:spacing w:before="14"/>
                  <w:ind w:left="20" w:right="0" w:firstLine="0"/>
                  <w:jc w:val="left"/>
                  <w:rPr>
                    <w:sz w:val="16"/>
                  </w:rPr>
                </w:pPr>
                <w:r>
                  <w:rPr>
                    <w:b/>
                    <w:color w:val="808080"/>
                    <w:sz w:val="16"/>
                  </w:rPr>
                  <w:t>D</w:t>
                </w:r>
                <w:r>
                  <w:rPr>
                    <w:color w:val="808080"/>
                    <w:sz w:val="16"/>
                  </w:rPr>
                  <w:t>ocumento </w:t>
                </w:r>
                <w:r>
                  <w:rPr>
                    <w:b/>
                    <w:color w:val="808080"/>
                    <w:sz w:val="16"/>
                  </w:rPr>
                  <w:t>B</w:t>
                </w:r>
                <w:r>
                  <w:rPr>
                    <w:color w:val="808080"/>
                    <w:sz w:val="16"/>
                  </w:rPr>
                  <w:t>ásico </w:t>
                </w:r>
                <w:r>
                  <w:rPr>
                    <w:b/>
                    <w:color w:val="808080"/>
                    <w:sz w:val="16"/>
                  </w:rPr>
                  <w:t>HS </w:t>
                </w:r>
                <w:r>
                  <w:rPr>
                    <w:color w:val="808080"/>
                    <w:sz w:val="16"/>
                  </w:rPr>
                  <w:t>Salubridad con comentarios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9">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278">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277">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231">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1"/>
      <w:numFmt w:val="lowerRoman"/>
      <w:lvlText w:val="%2)"/>
      <w:lvlJc w:val="left"/>
      <w:pPr>
        <w:ind w:left="1579" w:hanging="454"/>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511" w:hanging="454"/>
      </w:pPr>
      <w:rPr>
        <w:rFonts w:hint="default"/>
        <w:lang w:val="es-ES" w:eastAsia="es-ES" w:bidi="es-ES"/>
      </w:rPr>
    </w:lvl>
    <w:lvl w:ilvl="3">
      <w:start w:val="0"/>
      <w:numFmt w:val="bullet"/>
      <w:lvlText w:val="•"/>
      <w:lvlJc w:val="left"/>
      <w:pPr>
        <w:ind w:left="3443" w:hanging="454"/>
      </w:pPr>
      <w:rPr>
        <w:rFonts w:hint="default"/>
        <w:lang w:val="es-ES" w:eastAsia="es-ES" w:bidi="es-ES"/>
      </w:rPr>
    </w:lvl>
    <w:lvl w:ilvl="4">
      <w:start w:val="0"/>
      <w:numFmt w:val="bullet"/>
      <w:lvlText w:val="•"/>
      <w:lvlJc w:val="left"/>
      <w:pPr>
        <w:ind w:left="4375" w:hanging="454"/>
      </w:pPr>
      <w:rPr>
        <w:rFonts w:hint="default"/>
        <w:lang w:val="es-ES" w:eastAsia="es-ES" w:bidi="es-ES"/>
      </w:rPr>
    </w:lvl>
    <w:lvl w:ilvl="5">
      <w:start w:val="0"/>
      <w:numFmt w:val="bullet"/>
      <w:lvlText w:val="•"/>
      <w:lvlJc w:val="left"/>
      <w:pPr>
        <w:ind w:left="5307" w:hanging="454"/>
      </w:pPr>
      <w:rPr>
        <w:rFonts w:hint="default"/>
        <w:lang w:val="es-ES" w:eastAsia="es-ES" w:bidi="es-ES"/>
      </w:rPr>
    </w:lvl>
    <w:lvl w:ilvl="6">
      <w:start w:val="0"/>
      <w:numFmt w:val="bullet"/>
      <w:lvlText w:val="•"/>
      <w:lvlJc w:val="left"/>
      <w:pPr>
        <w:ind w:left="6239" w:hanging="454"/>
      </w:pPr>
      <w:rPr>
        <w:rFonts w:hint="default"/>
        <w:lang w:val="es-ES" w:eastAsia="es-ES" w:bidi="es-ES"/>
      </w:rPr>
    </w:lvl>
    <w:lvl w:ilvl="7">
      <w:start w:val="0"/>
      <w:numFmt w:val="bullet"/>
      <w:lvlText w:val="•"/>
      <w:lvlJc w:val="left"/>
      <w:pPr>
        <w:ind w:left="7170" w:hanging="454"/>
      </w:pPr>
      <w:rPr>
        <w:rFonts w:hint="default"/>
        <w:lang w:val="es-ES" w:eastAsia="es-ES" w:bidi="es-ES"/>
      </w:rPr>
    </w:lvl>
    <w:lvl w:ilvl="8">
      <w:start w:val="0"/>
      <w:numFmt w:val="bullet"/>
      <w:lvlText w:val="•"/>
      <w:lvlJc w:val="left"/>
      <w:pPr>
        <w:ind w:left="8102" w:hanging="454"/>
      </w:pPr>
      <w:rPr>
        <w:rFonts w:hint="default"/>
        <w:lang w:val="es-ES" w:eastAsia="es-ES" w:bidi="es-ES"/>
      </w:rPr>
    </w:lvl>
  </w:abstractNum>
  <w:abstractNum w:abstractNumId="210">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179">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163">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157">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134">
    <w:multiLevelType w:val="hybridMultilevel"/>
    <w:lvl w:ilvl="0">
      <w:start w:val="1"/>
      <w:numFmt w:val="decimal"/>
      <w:lvlText w:val="(%1)"/>
      <w:lvlJc w:val="left"/>
      <w:pPr>
        <w:ind w:left="1088" w:hanging="360"/>
        <w:jc w:val="left"/>
      </w:pPr>
      <w:rPr>
        <w:rFonts w:hint="default" w:ascii="Arial" w:hAnsi="Arial" w:eastAsia="Arial" w:cs="Arial"/>
        <w:w w:val="100"/>
        <w:sz w:val="20"/>
        <w:szCs w:val="20"/>
        <w:lang w:val="es-ES" w:eastAsia="es-ES" w:bidi="es-ES"/>
      </w:rPr>
    </w:lvl>
    <w:lvl w:ilvl="1">
      <w:start w:val="0"/>
      <w:numFmt w:val="bullet"/>
      <w:lvlText w:val="•"/>
      <w:lvlJc w:val="left"/>
      <w:pPr>
        <w:ind w:left="1968" w:hanging="360"/>
      </w:pPr>
      <w:rPr>
        <w:rFonts w:hint="default"/>
        <w:lang w:val="es-ES" w:eastAsia="es-ES" w:bidi="es-ES"/>
      </w:rPr>
    </w:lvl>
    <w:lvl w:ilvl="2">
      <w:start w:val="0"/>
      <w:numFmt w:val="bullet"/>
      <w:lvlText w:val="•"/>
      <w:lvlJc w:val="left"/>
      <w:pPr>
        <w:ind w:left="2857" w:hanging="360"/>
      </w:pPr>
      <w:rPr>
        <w:rFonts w:hint="default"/>
        <w:lang w:val="es-ES" w:eastAsia="es-ES" w:bidi="es-ES"/>
      </w:rPr>
    </w:lvl>
    <w:lvl w:ilvl="3">
      <w:start w:val="0"/>
      <w:numFmt w:val="bullet"/>
      <w:lvlText w:val="•"/>
      <w:lvlJc w:val="left"/>
      <w:pPr>
        <w:ind w:left="3745" w:hanging="360"/>
      </w:pPr>
      <w:rPr>
        <w:rFonts w:hint="default"/>
        <w:lang w:val="es-ES" w:eastAsia="es-ES" w:bidi="es-ES"/>
      </w:rPr>
    </w:lvl>
    <w:lvl w:ilvl="4">
      <w:start w:val="0"/>
      <w:numFmt w:val="bullet"/>
      <w:lvlText w:val="•"/>
      <w:lvlJc w:val="left"/>
      <w:pPr>
        <w:ind w:left="4634" w:hanging="360"/>
      </w:pPr>
      <w:rPr>
        <w:rFonts w:hint="default"/>
        <w:lang w:val="es-ES" w:eastAsia="es-ES" w:bidi="es-ES"/>
      </w:rPr>
    </w:lvl>
    <w:lvl w:ilvl="5">
      <w:start w:val="0"/>
      <w:numFmt w:val="bullet"/>
      <w:lvlText w:val="•"/>
      <w:lvlJc w:val="left"/>
      <w:pPr>
        <w:ind w:left="5523" w:hanging="360"/>
      </w:pPr>
      <w:rPr>
        <w:rFonts w:hint="default"/>
        <w:lang w:val="es-ES" w:eastAsia="es-ES" w:bidi="es-ES"/>
      </w:rPr>
    </w:lvl>
    <w:lvl w:ilvl="6">
      <w:start w:val="0"/>
      <w:numFmt w:val="bullet"/>
      <w:lvlText w:val="•"/>
      <w:lvlJc w:val="left"/>
      <w:pPr>
        <w:ind w:left="6411" w:hanging="360"/>
      </w:pPr>
      <w:rPr>
        <w:rFonts w:hint="default"/>
        <w:lang w:val="es-ES" w:eastAsia="es-ES" w:bidi="es-ES"/>
      </w:rPr>
    </w:lvl>
    <w:lvl w:ilvl="7">
      <w:start w:val="0"/>
      <w:numFmt w:val="bullet"/>
      <w:lvlText w:val="•"/>
      <w:lvlJc w:val="left"/>
      <w:pPr>
        <w:ind w:left="7300" w:hanging="360"/>
      </w:pPr>
      <w:rPr>
        <w:rFonts w:hint="default"/>
        <w:lang w:val="es-ES" w:eastAsia="es-ES" w:bidi="es-ES"/>
      </w:rPr>
    </w:lvl>
    <w:lvl w:ilvl="8">
      <w:start w:val="0"/>
      <w:numFmt w:val="bullet"/>
      <w:lvlText w:val="•"/>
      <w:lvlJc w:val="left"/>
      <w:pPr>
        <w:ind w:left="8189" w:hanging="360"/>
      </w:pPr>
      <w:rPr>
        <w:rFonts w:hint="default"/>
        <w:lang w:val="es-ES" w:eastAsia="es-ES" w:bidi="es-ES"/>
      </w:rPr>
    </w:lvl>
  </w:abstractNum>
  <w:abstractNum w:abstractNumId="122">
    <w:multiLevelType w:val="hybridMultilevel"/>
    <w:lvl w:ilvl="0">
      <w:start w:val="1"/>
      <w:numFmt w:val="lowerLetter"/>
      <w:lvlText w:val="%1)"/>
      <w:lvlJc w:val="left"/>
      <w:pPr>
        <w:ind w:left="938" w:hanging="363"/>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842" w:hanging="363"/>
      </w:pPr>
      <w:rPr>
        <w:rFonts w:hint="default"/>
        <w:lang w:val="es-ES" w:eastAsia="es-ES" w:bidi="es-ES"/>
      </w:rPr>
    </w:lvl>
    <w:lvl w:ilvl="2">
      <w:start w:val="0"/>
      <w:numFmt w:val="bullet"/>
      <w:lvlText w:val="•"/>
      <w:lvlJc w:val="left"/>
      <w:pPr>
        <w:ind w:left="2745" w:hanging="363"/>
      </w:pPr>
      <w:rPr>
        <w:rFonts w:hint="default"/>
        <w:lang w:val="es-ES" w:eastAsia="es-ES" w:bidi="es-ES"/>
      </w:rPr>
    </w:lvl>
    <w:lvl w:ilvl="3">
      <w:start w:val="0"/>
      <w:numFmt w:val="bullet"/>
      <w:lvlText w:val="•"/>
      <w:lvlJc w:val="left"/>
      <w:pPr>
        <w:ind w:left="3647" w:hanging="363"/>
      </w:pPr>
      <w:rPr>
        <w:rFonts w:hint="default"/>
        <w:lang w:val="es-ES" w:eastAsia="es-ES" w:bidi="es-ES"/>
      </w:rPr>
    </w:lvl>
    <w:lvl w:ilvl="4">
      <w:start w:val="0"/>
      <w:numFmt w:val="bullet"/>
      <w:lvlText w:val="•"/>
      <w:lvlJc w:val="left"/>
      <w:pPr>
        <w:ind w:left="4550" w:hanging="363"/>
      </w:pPr>
      <w:rPr>
        <w:rFonts w:hint="default"/>
        <w:lang w:val="es-ES" w:eastAsia="es-ES" w:bidi="es-ES"/>
      </w:rPr>
    </w:lvl>
    <w:lvl w:ilvl="5">
      <w:start w:val="0"/>
      <w:numFmt w:val="bullet"/>
      <w:lvlText w:val="•"/>
      <w:lvlJc w:val="left"/>
      <w:pPr>
        <w:ind w:left="5453" w:hanging="363"/>
      </w:pPr>
      <w:rPr>
        <w:rFonts w:hint="default"/>
        <w:lang w:val="es-ES" w:eastAsia="es-ES" w:bidi="es-ES"/>
      </w:rPr>
    </w:lvl>
    <w:lvl w:ilvl="6">
      <w:start w:val="0"/>
      <w:numFmt w:val="bullet"/>
      <w:lvlText w:val="•"/>
      <w:lvlJc w:val="left"/>
      <w:pPr>
        <w:ind w:left="6355" w:hanging="363"/>
      </w:pPr>
      <w:rPr>
        <w:rFonts w:hint="default"/>
        <w:lang w:val="es-ES" w:eastAsia="es-ES" w:bidi="es-ES"/>
      </w:rPr>
    </w:lvl>
    <w:lvl w:ilvl="7">
      <w:start w:val="0"/>
      <w:numFmt w:val="bullet"/>
      <w:lvlText w:val="•"/>
      <w:lvlJc w:val="left"/>
      <w:pPr>
        <w:ind w:left="7258" w:hanging="363"/>
      </w:pPr>
      <w:rPr>
        <w:rFonts w:hint="default"/>
        <w:lang w:val="es-ES" w:eastAsia="es-ES" w:bidi="es-ES"/>
      </w:rPr>
    </w:lvl>
    <w:lvl w:ilvl="8">
      <w:start w:val="0"/>
      <w:numFmt w:val="bullet"/>
      <w:lvlText w:val="•"/>
      <w:lvlJc w:val="left"/>
      <w:pPr>
        <w:ind w:left="8161" w:hanging="363"/>
      </w:pPr>
      <w:rPr>
        <w:rFonts w:hint="default"/>
        <w:lang w:val="es-ES" w:eastAsia="es-ES" w:bidi="es-ES"/>
      </w:rPr>
    </w:lvl>
  </w:abstractNum>
  <w:abstractNum w:abstractNumId="112">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103">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94">
    <w:multiLevelType w:val="hybridMultilevel"/>
    <w:lvl w:ilvl="0">
      <w:start w:val="1"/>
      <w:numFmt w:val="lowerLetter"/>
      <w:lvlText w:val="%1)"/>
      <w:lvlJc w:val="left"/>
      <w:pPr>
        <w:ind w:left="938" w:hanging="364"/>
        <w:jc w:val="left"/>
      </w:pPr>
      <w:rPr>
        <w:rFonts w:hint="default" w:ascii="Arial" w:hAnsi="Arial" w:eastAsia="Arial" w:cs="Arial"/>
        <w:w w:val="100"/>
        <w:sz w:val="20"/>
        <w:szCs w:val="20"/>
        <w:lang w:val="es-ES" w:eastAsia="es-ES" w:bidi="es-ES"/>
      </w:rPr>
    </w:lvl>
    <w:lvl w:ilvl="1">
      <w:start w:val="0"/>
      <w:numFmt w:val="bullet"/>
      <w:lvlText w:val="•"/>
      <w:lvlJc w:val="left"/>
      <w:pPr>
        <w:ind w:left="960" w:hanging="364"/>
      </w:pPr>
      <w:rPr>
        <w:rFonts w:hint="default"/>
        <w:lang w:val="es-ES" w:eastAsia="es-ES" w:bidi="es-ES"/>
      </w:rPr>
    </w:lvl>
    <w:lvl w:ilvl="2">
      <w:start w:val="0"/>
      <w:numFmt w:val="bullet"/>
      <w:lvlText w:val="•"/>
      <w:lvlJc w:val="left"/>
      <w:pPr>
        <w:ind w:left="1960" w:hanging="364"/>
      </w:pPr>
      <w:rPr>
        <w:rFonts w:hint="default"/>
        <w:lang w:val="es-ES" w:eastAsia="es-ES" w:bidi="es-ES"/>
      </w:rPr>
    </w:lvl>
    <w:lvl w:ilvl="3">
      <w:start w:val="0"/>
      <w:numFmt w:val="bullet"/>
      <w:lvlText w:val="•"/>
      <w:lvlJc w:val="left"/>
      <w:pPr>
        <w:ind w:left="2961" w:hanging="364"/>
      </w:pPr>
      <w:rPr>
        <w:rFonts w:hint="default"/>
        <w:lang w:val="es-ES" w:eastAsia="es-ES" w:bidi="es-ES"/>
      </w:rPr>
    </w:lvl>
    <w:lvl w:ilvl="4">
      <w:start w:val="0"/>
      <w:numFmt w:val="bullet"/>
      <w:lvlText w:val="•"/>
      <w:lvlJc w:val="left"/>
      <w:pPr>
        <w:ind w:left="3962" w:hanging="364"/>
      </w:pPr>
      <w:rPr>
        <w:rFonts w:hint="default"/>
        <w:lang w:val="es-ES" w:eastAsia="es-ES" w:bidi="es-ES"/>
      </w:rPr>
    </w:lvl>
    <w:lvl w:ilvl="5">
      <w:start w:val="0"/>
      <w:numFmt w:val="bullet"/>
      <w:lvlText w:val="•"/>
      <w:lvlJc w:val="left"/>
      <w:pPr>
        <w:ind w:left="4962" w:hanging="364"/>
      </w:pPr>
      <w:rPr>
        <w:rFonts w:hint="default"/>
        <w:lang w:val="es-ES" w:eastAsia="es-ES" w:bidi="es-ES"/>
      </w:rPr>
    </w:lvl>
    <w:lvl w:ilvl="6">
      <w:start w:val="0"/>
      <w:numFmt w:val="bullet"/>
      <w:lvlText w:val="•"/>
      <w:lvlJc w:val="left"/>
      <w:pPr>
        <w:ind w:left="5963" w:hanging="364"/>
      </w:pPr>
      <w:rPr>
        <w:rFonts w:hint="default"/>
        <w:lang w:val="es-ES" w:eastAsia="es-ES" w:bidi="es-ES"/>
      </w:rPr>
    </w:lvl>
    <w:lvl w:ilvl="7">
      <w:start w:val="0"/>
      <w:numFmt w:val="bullet"/>
      <w:lvlText w:val="•"/>
      <w:lvlJc w:val="left"/>
      <w:pPr>
        <w:ind w:left="6964" w:hanging="364"/>
      </w:pPr>
      <w:rPr>
        <w:rFonts w:hint="default"/>
        <w:lang w:val="es-ES" w:eastAsia="es-ES" w:bidi="es-ES"/>
      </w:rPr>
    </w:lvl>
    <w:lvl w:ilvl="8">
      <w:start w:val="0"/>
      <w:numFmt w:val="bullet"/>
      <w:lvlText w:val="•"/>
      <w:lvlJc w:val="left"/>
      <w:pPr>
        <w:ind w:left="7964" w:hanging="364"/>
      </w:pPr>
      <w:rPr>
        <w:rFonts w:hint="default"/>
        <w:lang w:val="es-ES" w:eastAsia="es-ES" w:bidi="es-ES"/>
      </w:rPr>
    </w:lvl>
  </w:abstractNum>
  <w:abstractNum w:abstractNumId="92">
    <w:multiLevelType w:val="hybridMultilevel"/>
    <w:lvl w:ilvl="0">
      <w:start w:val="1"/>
      <w:numFmt w:val="lowerLetter"/>
      <w:lvlText w:val="%1)"/>
      <w:lvlJc w:val="left"/>
      <w:pPr>
        <w:ind w:left="1126" w:hanging="455"/>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2004" w:hanging="455"/>
      </w:pPr>
      <w:rPr>
        <w:rFonts w:hint="default"/>
        <w:lang w:val="es-ES" w:eastAsia="es-ES" w:bidi="es-ES"/>
      </w:rPr>
    </w:lvl>
    <w:lvl w:ilvl="2">
      <w:start w:val="0"/>
      <w:numFmt w:val="bullet"/>
      <w:lvlText w:val="•"/>
      <w:lvlJc w:val="left"/>
      <w:pPr>
        <w:ind w:left="2889" w:hanging="455"/>
      </w:pPr>
      <w:rPr>
        <w:rFonts w:hint="default"/>
        <w:lang w:val="es-ES" w:eastAsia="es-ES" w:bidi="es-ES"/>
      </w:rPr>
    </w:lvl>
    <w:lvl w:ilvl="3">
      <w:start w:val="0"/>
      <w:numFmt w:val="bullet"/>
      <w:lvlText w:val="•"/>
      <w:lvlJc w:val="left"/>
      <w:pPr>
        <w:ind w:left="3773" w:hanging="455"/>
      </w:pPr>
      <w:rPr>
        <w:rFonts w:hint="default"/>
        <w:lang w:val="es-ES" w:eastAsia="es-ES" w:bidi="es-ES"/>
      </w:rPr>
    </w:lvl>
    <w:lvl w:ilvl="4">
      <w:start w:val="0"/>
      <w:numFmt w:val="bullet"/>
      <w:lvlText w:val="•"/>
      <w:lvlJc w:val="left"/>
      <w:pPr>
        <w:ind w:left="4658" w:hanging="455"/>
      </w:pPr>
      <w:rPr>
        <w:rFonts w:hint="default"/>
        <w:lang w:val="es-ES" w:eastAsia="es-ES" w:bidi="es-ES"/>
      </w:rPr>
    </w:lvl>
    <w:lvl w:ilvl="5">
      <w:start w:val="0"/>
      <w:numFmt w:val="bullet"/>
      <w:lvlText w:val="•"/>
      <w:lvlJc w:val="left"/>
      <w:pPr>
        <w:ind w:left="5543" w:hanging="455"/>
      </w:pPr>
      <w:rPr>
        <w:rFonts w:hint="default"/>
        <w:lang w:val="es-ES" w:eastAsia="es-ES" w:bidi="es-ES"/>
      </w:rPr>
    </w:lvl>
    <w:lvl w:ilvl="6">
      <w:start w:val="0"/>
      <w:numFmt w:val="bullet"/>
      <w:lvlText w:val="•"/>
      <w:lvlJc w:val="left"/>
      <w:pPr>
        <w:ind w:left="6427" w:hanging="455"/>
      </w:pPr>
      <w:rPr>
        <w:rFonts w:hint="default"/>
        <w:lang w:val="es-ES" w:eastAsia="es-ES" w:bidi="es-ES"/>
      </w:rPr>
    </w:lvl>
    <w:lvl w:ilvl="7">
      <w:start w:val="0"/>
      <w:numFmt w:val="bullet"/>
      <w:lvlText w:val="•"/>
      <w:lvlJc w:val="left"/>
      <w:pPr>
        <w:ind w:left="7312" w:hanging="455"/>
      </w:pPr>
      <w:rPr>
        <w:rFonts w:hint="default"/>
        <w:lang w:val="es-ES" w:eastAsia="es-ES" w:bidi="es-ES"/>
      </w:rPr>
    </w:lvl>
    <w:lvl w:ilvl="8">
      <w:start w:val="0"/>
      <w:numFmt w:val="bullet"/>
      <w:lvlText w:val="•"/>
      <w:lvlJc w:val="left"/>
      <w:pPr>
        <w:ind w:left="8197" w:hanging="455"/>
      </w:pPr>
      <w:rPr>
        <w:rFonts w:hint="default"/>
        <w:lang w:val="es-ES" w:eastAsia="es-ES" w:bidi="es-ES"/>
      </w:rPr>
    </w:lvl>
  </w:abstractNum>
  <w:abstractNum w:abstractNumId="59">
    <w:multiLevelType w:val="hybridMultilevel"/>
    <w:lvl w:ilvl="0">
      <w:start w:val="1"/>
      <w:numFmt w:val="lowerLetter"/>
      <w:lvlText w:val="%1)"/>
      <w:lvlJc w:val="left"/>
      <w:pPr>
        <w:ind w:left="1125" w:hanging="454"/>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55">
    <w:multiLevelType w:val="hybridMultilevel"/>
    <w:lvl w:ilvl="0">
      <w:start w:val="1"/>
      <w:numFmt w:val="lowerLetter"/>
      <w:lvlText w:val="%1)"/>
      <w:lvlJc w:val="left"/>
      <w:pPr>
        <w:ind w:left="1126" w:hanging="455"/>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2004" w:hanging="455"/>
      </w:pPr>
      <w:rPr>
        <w:rFonts w:hint="default"/>
        <w:lang w:val="es-ES" w:eastAsia="es-ES" w:bidi="es-ES"/>
      </w:rPr>
    </w:lvl>
    <w:lvl w:ilvl="2">
      <w:start w:val="0"/>
      <w:numFmt w:val="bullet"/>
      <w:lvlText w:val="•"/>
      <w:lvlJc w:val="left"/>
      <w:pPr>
        <w:ind w:left="2889" w:hanging="455"/>
      </w:pPr>
      <w:rPr>
        <w:rFonts w:hint="default"/>
        <w:lang w:val="es-ES" w:eastAsia="es-ES" w:bidi="es-ES"/>
      </w:rPr>
    </w:lvl>
    <w:lvl w:ilvl="3">
      <w:start w:val="0"/>
      <w:numFmt w:val="bullet"/>
      <w:lvlText w:val="•"/>
      <w:lvlJc w:val="left"/>
      <w:pPr>
        <w:ind w:left="3773" w:hanging="455"/>
      </w:pPr>
      <w:rPr>
        <w:rFonts w:hint="default"/>
        <w:lang w:val="es-ES" w:eastAsia="es-ES" w:bidi="es-ES"/>
      </w:rPr>
    </w:lvl>
    <w:lvl w:ilvl="4">
      <w:start w:val="0"/>
      <w:numFmt w:val="bullet"/>
      <w:lvlText w:val="•"/>
      <w:lvlJc w:val="left"/>
      <w:pPr>
        <w:ind w:left="4658" w:hanging="455"/>
      </w:pPr>
      <w:rPr>
        <w:rFonts w:hint="default"/>
        <w:lang w:val="es-ES" w:eastAsia="es-ES" w:bidi="es-ES"/>
      </w:rPr>
    </w:lvl>
    <w:lvl w:ilvl="5">
      <w:start w:val="0"/>
      <w:numFmt w:val="bullet"/>
      <w:lvlText w:val="•"/>
      <w:lvlJc w:val="left"/>
      <w:pPr>
        <w:ind w:left="5543" w:hanging="455"/>
      </w:pPr>
      <w:rPr>
        <w:rFonts w:hint="default"/>
        <w:lang w:val="es-ES" w:eastAsia="es-ES" w:bidi="es-ES"/>
      </w:rPr>
    </w:lvl>
    <w:lvl w:ilvl="6">
      <w:start w:val="0"/>
      <w:numFmt w:val="bullet"/>
      <w:lvlText w:val="•"/>
      <w:lvlJc w:val="left"/>
      <w:pPr>
        <w:ind w:left="6427" w:hanging="455"/>
      </w:pPr>
      <w:rPr>
        <w:rFonts w:hint="default"/>
        <w:lang w:val="es-ES" w:eastAsia="es-ES" w:bidi="es-ES"/>
      </w:rPr>
    </w:lvl>
    <w:lvl w:ilvl="7">
      <w:start w:val="0"/>
      <w:numFmt w:val="bullet"/>
      <w:lvlText w:val="•"/>
      <w:lvlJc w:val="left"/>
      <w:pPr>
        <w:ind w:left="7312" w:hanging="455"/>
      </w:pPr>
      <w:rPr>
        <w:rFonts w:hint="default"/>
        <w:lang w:val="es-ES" w:eastAsia="es-ES" w:bidi="es-ES"/>
      </w:rPr>
    </w:lvl>
    <w:lvl w:ilvl="8">
      <w:start w:val="0"/>
      <w:numFmt w:val="bullet"/>
      <w:lvlText w:val="•"/>
      <w:lvlJc w:val="left"/>
      <w:pPr>
        <w:ind w:left="8197" w:hanging="455"/>
      </w:pPr>
      <w:rPr>
        <w:rFonts w:hint="default"/>
        <w:lang w:val="es-ES" w:eastAsia="es-ES" w:bidi="es-ES"/>
      </w:rPr>
    </w:lvl>
  </w:abstractNum>
  <w:abstractNum w:abstractNumId="38">
    <w:multiLevelType w:val="hybridMultilevel"/>
    <w:lvl w:ilvl="0">
      <w:start w:val="1"/>
      <w:numFmt w:val="lowerLetter"/>
      <w:lvlText w:val="%1)"/>
      <w:lvlJc w:val="left"/>
      <w:pPr>
        <w:ind w:left="1125" w:hanging="455"/>
        <w:jc w:val="left"/>
      </w:pPr>
      <w:rPr>
        <w:rFonts w:hint="default" w:ascii="Arial" w:hAnsi="Arial" w:eastAsia="Arial" w:cs="Arial"/>
        <w:w w:val="100"/>
        <w:sz w:val="20"/>
        <w:szCs w:val="20"/>
        <w:lang w:val="es-ES" w:eastAsia="es-ES" w:bidi="es-ES"/>
      </w:rPr>
    </w:lvl>
    <w:lvl w:ilvl="1">
      <w:start w:val="1"/>
      <w:numFmt w:val="lowerRoman"/>
      <w:lvlText w:val="%2)"/>
      <w:lvlJc w:val="left"/>
      <w:pPr>
        <w:ind w:left="1585" w:hanging="461"/>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511" w:hanging="461"/>
      </w:pPr>
      <w:rPr>
        <w:rFonts w:hint="default"/>
        <w:lang w:val="es-ES" w:eastAsia="es-ES" w:bidi="es-ES"/>
      </w:rPr>
    </w:lvl>
    <w:lvl w:ilvl="3">
      <w:start w:val="0"/>
      <w:numFmt w:val="bullet"/>
      <w:lvlText w:val="•"/>
      <w:lvlJc w:val="left"/>
      <w:pPr>
        <w:ind w:left="3443" w:hanging="461"/>
      </w:pPr>
      <w:rPr>
        <w:rFonts w:hint="default"/>
        <w:lang w:val="es-ES" w:eastAsia="es-ES" w:bidi="es-ES"/>
      </w:rPr>
    </w:lvl>
    <w:lvl w:ilvl="4">
      <w:start w:val="0"/>
      <w:numFmt w:val="bullet"/>
      <w:lvlText w:val="•"/>
      <w:lvlJc w:val="left"/>
      <w:pPr>
        <w:ind w:left="4375" w:hanging="461"/>
      </w:pPr>
      <w:rPr>
        <w:rFonts w:hint="default"/>
        <w:lang w:val="es-ES" w:eastAsia="es-ES" w:bidi="es-ES"/>
      </w:rPr>
    </w:lvl>
    <w:lvl w:ilvl="5">
      <w:start w:val="0"/>
      <w:numFmt w:val="bullet"/>
      <w:lvlText w:val="•"/>
      <w:lvlJc w:val="left"/>
      <w:pPr>
        <w:ind w:left="5307" w:hanging="461"/>
      </w:pPr>
      <w:rPr>
        <w:rFonts w:hint="default"/>
        <w:lang w:val="es-ES" w:eastAsia="es-ES" w:bidi="es-ES"/>
      </w:rPr>
    </w:lvl>
    <w:lvl w:ilvl="6">
      <w:start w:val="0"/>
      <w:numFmt w:val="bullet"/>
      <w:lvlText w:val="•"/>
      <w:lvlJc w:val="left"/>
      <w:pPr>
        <w:ind w:left="6239" w:hanging="461"/>
      </w:pPr>
      <w:rPr>
        <w:rFonts w:hint="default"/>
        <w:lang w:val="es-ES" w:eastAsia="es-ES" w:bidi="es-ES"/>
      </w:rPr>
    </w:lvl>
    <w:lvl w:ilvl="7">
      <w:start w:val="0"/>
      <w:numFmt w:val="bullet"/>
      <w:lvlText w:val="•"/>
      <w:lvlJc w:val="left"/>
      <w:pPr>
        <w:ind w:left="7170" w:hanging="461"/>
      </w:pPr>
      <w:rPr>
        <w:rFonts w:hint="default"/>
        <w:lang w:val="es-ES" w:eastAsia="es-ES" w:bidi="es-ES"/>
      </w:rPr>
    </w:lvl>
    <w:lvl w:ilvl="8">
      <w:start w:val="0"/>
      <w:numFmt w:val="bullet"/>
      <w:lvlText w:val="•"/>
      <w:lvlJc w:val="left"/>
      <w:pPr>
        <w:ind w:left="8102" w:hanging="461"/>
      </w:pPr>
      <w:rPr>
        <w:rFonts w:hint="default"/>
        <w:lang w:val="es-ES" w:eastAsia="es-ES" w:bidi="es-ES"/>
      </w:rPr>
    </w:lvl>
  </w:abstractNum>
  <w:abstractNum w:abstractNumId="25">
    <w:multiLevelType w:val="hybridMultilevel"/>
    <w:lvl w:ilvl="0">
      <w:start w:val="1"/>
      <w:numFmt w:val="lowerLetter"/>
      <w:lvlText w:val="%1)"/>
      <w:lvlJc w:val="left"/>
      <w:pPr>
        <w:ind w:left="1125" w:hanging="454"/>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28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76">
    <w:multiLevelType w:val="hybridMultilevel"/>
    <w:lvl w:ilvl="0">
      <w:start w:val="6"/>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786" w:hanging="568"/>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3535" w:hanging="568"/>
      </w:pPr>
      <w:rPr>
        <w:rFonts w:hint="default"/>
        <w:lang w:val="es-ES" w:eastAsia="es-ES" w:bidi="es-ES"/>
      </w:rPr>
    </w:lvl>
    <w:lvl w:ilvl="4">
      <w:start w:val="0"/>
      <w:numFmt w:val="bullet"/>
      <w:lvlText w:val="•"/>
      <w:lvlJc w:val="left"/>
      <w:pPr>
        <w:ind w:left="4454" w:hanging="568"/>
      </w:pPr>
      <w:rPr>
        <w:rFonts w:hint="default"/>
        <w:lang w:val="es-ES" w:eastAsia="es-ES" w:bidi="es-ES"/>
      </w:rPr>
    </w:lvl>
    <w:lvl w:ilvl="5">
      <w:start w:val="0"/>
      <w:numFmt w:val="bullet"/>
      <w:lvlText w:val="•"/>
      <w:lvlJc w:val="left"/>
      <w:pPr>
        <w:ind w:left="5373" w:hanging="568"/>
      </w:pPr>
      <w:rPr>
        <w:rFonts w:hint="default"/>
        <w:lang w:val="es-ES" w:eastAsia="es-ES" w:bidi="es-ES"/>
      </w:rPr>
    </w:lvl>
    <w:lvl w:ilvl="6">
      <w:start w:val="0"/>
      <w:numFmt w:val="bullet"/>
      <w:lvlText w:val="•"/>
      <w:lvlJc w:val="left"/>
      <w:pPr>
        <w:ind w:left="6291" w:hanging="568"/>
      </w:pPr>
      <w:rPr>
        <w:rFonts w:hint="default"/>
        <w:lang w:val="es-ES" w:eastAsia="es-ES" w:bidi="es-ES"/>
      </w:rPr>
    </w:lvl>
    <w:lvl w:ilvl="7">
      <w:start w:val="0"/>
      <w:numFmt w:val="bullet"/>
      <w:lvlText w:val="•"/>
      <w:lvlJc w:val="left"/>
      <w:pPr>
        <w:ind w:left="7210" w:hanging="568"/>
      </w:pPr>
      <w:rPr>
        <w:rFonts w:hint="default"/>
        <w:lang w:val="es-ES" w:eastAsia="es-ES" w:bidi="es-ES"/>
      </w:rPr>
    </w:lvl>
    <w:lvl w:ilvl="8">
      <w:start w:val="0"/>
      <w:numFmt w:val="bullet"/>
      <w:lvlText w:val="•"/>
      <w:lvlJc w:val="left"/>
      <w:pPr>
        <w:ind w:left="8129" w:hanging="568"/>
      </w:pPr>
      <w:rPr>
        <w:rFonts w:hint="default"/>
        <w:lang w:val="es-ES" w:eastAsia="es-ES" w:bidi="es-ES"/>
      </w:rPr>
    </w:lvl>
  </w:abstractNum>
  <w:abstractNum w:abstractNumId="27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7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7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7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7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7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6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6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6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6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6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6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6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6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6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6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5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5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5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5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5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54">
    <w:multiLevelType w:val="hybridMultilevel"/>
    <w:lvl w:ilvl="0">
      <w:start w:val="5"/>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786" w:hanging="568"/>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1352" w:hanging="1135"/>
        <w:jc w:val="left"/>
      </w:pPr>
      <w:rPr>
        <w:rFonts w:hint="default" w:ascii="Arial" w:hAnsi="Arial" w:eastAsia="Arial" w:cs="Arial"/>
        <w:b/>
        <w:bCs/>
        <w:spacing w:val="-1"/>
        <w:w w:val="100"/>
        <w:sz w:val="20"/>
        <w:szCs w:val="20"/>
        <w:lang w:val="es-ES" w:eastAsia="es-ES" w:bidi="es-ES"/>
      </w:rPr>
    </w:lvl>
    <w:lvl w:ilvl="4">
      <w:start w:val="0"/>
      <w:numFmt w:val="bullet"/>
      <w:lvlText w:val="•"/>
      <w:lvlJc w:val="left"/>
      <w:pPr>
        <w:ind w:left="4228" w:hanging="1135"/>
      </w:pPr>
      <w:rPr>
        <w:rFonts w:hint="default"/>
        <w:lang w:val="es-ES" w:eastAsia="es-ES" w:bidi="es-ES"/>
      </w:rPr>
    </w:lvl>
    <w:lvl w:ilvl="5">
      <w:start w:val="0"/>
      <w:numFmt w:val="bullet"/>
      <w:lvlText w:val="•"/>
      <w:lvlJc w:val="left"/>
      <w:pPr>
        <w:ind w:left="5185" w:hanging="1135"/>
      </w:pPr>
      <w:rPr>
        <w:rFonts w:hint="default"/>
        <w:lang w:val="es-ES" w:eastAsia="es-ES" w:bidi="es-ES"/>
      </w:rPr>
    </w:lvl>
    <w:lvl w:ilvl="6">
      <w:start w:val="0"/>
      <w:numFmt w:val="bullet"/>
      <w:lvlText w:val="•"/>
      <w:lvlJc w:val="left"/>
      <w:pPr>
        <w:ind w:left="6141" w:hanging="1135"/>
      </w:pPr>
      <w:rPr>
        <w:rFonts w:hint="default"/>
        <w:lang w:val="es-ES" w:eastAsia="es-ES" w:bidi="es-ES"/>
      </w:rPr>
    </w:lvl>
    <w:lvl w:ilvl="7">
      <w:start w:val="0"/>
      <w:numFmt w:val="bullet"/>
      <w:lvlText w:val="•"/>
      <w:lvlJc w:val="left"/>
      <w:pPr>
        <w:ind w:left="7097" w:hanging="1135"/>
      </w:pPr>
      <w:rPr>
        <w:rFonts w:hint="default"/>
        <w:lang w:val="es-ES" w:eastAsia="es-ES" w:bidi="es-ES"/>
      </w:rPr>
    </w:lvl>
    <w:lvl w:ilvl="8">
      <w:start w:val="0"/>
      <w:numFmt w:val="bullet"/>
      <w:lvlText w:val="•"/>
      <w:lvlJc w:val="left"/>
      <w:pPr>
        <w:ind w:left="8053" w:hanging="1135"/>
      </w:pPr>
      <w:rPr>
        <w:rFonts w:hint="default"/>
        <w:lang w:val="es-ES" w:eastAsia="es-ES" w:bidi="es-ES"/>
      </w:rPr>
    </w:lvl>
  </w:abstractNum>
  <w:abstractNum w:abstractNumId="25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5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5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5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4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4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4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940" w:hanging="454"/>
      </w:pPr>
      <w:rPr>
        <w:rFonts w:hint="default"/>
        <w:lang w:val="es-ES" w:eastAsia="es-ES" w:bidi="es-ES"/>
      </w:rPr>
    </w:lvl>
    <w:lvl w:ilvl="2">
      <w:start w:val="0"/>
      <w:numFmt w:val="bullet"/>
      <w:lvlText w:val="•"/>
      <w:lvlJc w:val="left"/>
      <w:pPr>
        <w:ind w:left="1942" w:hanging="454"/>
      </w:pPr>
      <w:rPr>
        <w:rFonts w:hint="default"/>
        <w:lang w:val="es-ES" w:eastAsia="es-ES" w:bidi="es-ES"/>
      </w:rPr>
    </w:lvl>
    <w:lvl w:ilvl="3">
      <w:start w:val="0"/>
      <w:numFmt w:val="bullet"/>
      <w:lvlText w:val="•"/>
      <w:lvlJc w:val="left"/>
      <w:pPr>
        <w:ind w:left="2945" w:hanging="454"/>
      </w:pPr>
      <w:rPr>
        <w:rFonts w:hint="default"/>
        <w:lang w:val="es-ES" w:eastAsia="es-ES" w:bidi="es-ES"/>
      </w:rPr>
    </w:lvl>
    <w:lvl w:ilvl="4">
      <w:start w:val="0"/>
      <w:numFmt w:val="bullet"/>
      <w:lvlText w:val="•"/>
      <w:lvlJc w:val="left"/>
      <w:pPr>
        <w:ind w:left="3948" w:hanging="454"/>
      </w:pPr>
      <w:rPr>
        <w:rFonts w:hint="default"/>
        <w:lang w:val="es-ES" w:eastAsia="es-ES" w:bidi="es-ES"/>
      </w:rPr>
    </w:lvl>
    <w:lvl w:ilvl="5">
      <w:start w:val="0"/>
      <w:numFmt w:val="bullet"/>
      <w:lvlText w:val="•"/>
      <w:lvlJc w:val="left"/>
      <w:pPr>
        <w:ind w:left="4951" w:hanging="454"/>
      </w:pPr>
      <w:rPr>
        <w:rFonts w:hint="default"/>
        <w:lang w:val="es-ES" w:eastAsia="es-ES" w:bidi="es-ES"/>
      </w:rPr>
    </w:lvl>
    <w:lvl w:ilvl="6">
      <w:start w:val="0"/>
      <w:numFmt w:val="bullet"/>
      <w:lvlText w:val="•"/>
      <w:lvlJc w:val="left"/>
      <w:pPr>
        <w:ind w:left="5954" w:hanging="454"/>
      </w:pPr>
      <w:rPr>
        <w:rFonts w:hint="default"/>
        <w:lang w:val="es-ES" w:eastAsia="es-ES" w:bidi="es-ES"/>
      </w:rPr>
    </w:lvl>
    <w:lvl w:ilvl="7">
      <w:start w:val="0"/>
      <w:numFmt w:val="bullet"/>
      <w:lvlText w:val="•"/>
      <w:lvlJc w:val="left"/>
      <w:pPr>
        <w:ind w:left="6957" w:hanging="454"/>
      </w:pPr>
      <w:rPr>
        <w:rFonts w:hint="default"/>
        <w:lang w:val="es-ES" w:eastAsia="es-ES" w:bidi="es-ES"/>
      </w:rPr>
    </w:lvl>
    <w:lvl w:ilvl="8">
      <w:start w:val="0"/>
      <w:numFmt w:val="bullet"/>
      <w:lvlText w:val="•"/>
      <w:lvlJc w:val="left"/>
      <w:pPr>
        <w:ind w:left="7960" w:hanging="454"/>
      </w:pPr>
      <w:rPr>
        <w:rFonts w:hint="default"/>
        <w:lang w:val="es-ES" w:eastAsia="es-ES" w:bidi="es-ES"/>
      </w:rPr>
    </w:lvl>
  </w:abstractNum>
  <w:abstractNum w:abstractNumId="24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4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4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1"/>
      <w:numFmt w:val="lowerRoman"/>
      <w:lvlText w:val="%3)"/>
      <w:lvlJc w:val="left"/>
      <w:pPr>
        <w:ind w:left="1579" w:hanging="454"/>
        <w:jc w:val="left"/>
      </w:pPr>
      <w:rPr>
        <w:rFonts w:hint="default" w:ascii="Arial" w:hAnsi="Arial" w:eastAsia="Arial" w:cs="Arial"/>
        <w:spacing w:val="-1"/>
        <w:w w:val="100"/>
        <w:sz w:val="20"/>
        <w:szCs w:val="20"/>
        <w:lang w:val="es-ES" w:eastAsia="es-ES" w:bidi="es-ES"/>
      </w:rPr>
    </w:lvl>
    <w:lvl w:ilvl="3">
      <w:start w:val="0"/>
      <w:numFmt w:val="bullet"/>
      <w:lvlText w:val="•"/>
      <w:lvlJc w:val="left"/>
      <w:pPr>
        <w:ind w:left="2628" w:hanging="454"/>
      </w:pPr>
      <w:rPr>
        <w:rFonts w:hint="default"/>
        <w:lang w:val="es-ES" w:eastAsia="es-ES" w:bidi="es-ES"/>
      </w:rPr>
    </w:lvl>
    <w:lvl w:ilvl="4">
      <w:start w:val="0"/>
      <w:numFmt w:val="bullet"/>
      <w:lvlText w:val="•"/>
      <w:lvlJc w:val="left"/>
      <w:pPr>
        <w:ind w:left="3676" w:hanging="454"/>
      </w:pPr>
      <w:rPr>
        <w:rFonts w:hint="default"/>
        <w:lang w:val="es-ES" w:eastAsia="es-ES" w:bidi="es-ES"/>
      </w:rPr>
    </w:lvl>
    <w:lvl w:ilvl="5">
      <w:start w:val="0"/>
      <w:numFmt w:val="bullet"/>
      <w:lvlText w:val="•"/>
      <w:lvlJc w:val="left"/>
      <w:pPr>
        <w:ind w:left="4724" w:hanging="454"/>
      </w:pPr>
      <w:rPr>
        <w:rFonts w:hint="default"/>
        <w:lang w:val="es-ES" w:eastAsia="es-ES" w:bidi="es-ES"/>
      </w:rPr>
    </w:lvl>
    <w:lvl w:ilvl="6">
      <w:start w:val="0"/>
      <w:numFmt w:val="bullet"/>
      <w:lvlText w:val="•"/>
      <w:lvlJc w:val="left"/>
      <w:pPr>
        <w:ind w:left="5773" w:hanging="454"/>
      </w:pPr>
      <w:rPr>
        <w:rFonts w:hint="default"/>
        <w:lang w:val="es-ES" w:eastAsia="es-ES" w:bidi="es-ES"/>
      </w:rPr>
    </w:lvl>
    <w:lvl w:ilvl="7">
      <w:start w:val="0"/>
      <w:numFmt w:val="bullet"/>
      <w:lvlText w:val="•"/>
      <w:lvlJc w:val="left"/>
      <w:pPr>
        <w:ind w:left="6821" w:hanging="454"/>
      </w:pPr>
      <w:rPr>
        <w:rFonts w:hint="default"/>
        <w:lang w:val="es-ES" w:eastAsia="es-ES" w:bidi="es-ES"/>
      </w:rPr>
    </w:lvl>
    <w:lvl w:ilvl="8">
      <w:start w:val="0"/>
      <w:numFmt w:val="bullet"/>
      <w:lvlText w:val="•"/>
      <w:lvlJc w:val="left"/>
      <w:pPr>
        <w:ind w:left="7869" w:hanging="454"/>
      </w:pPr>
      <w:rPr>
        <w:rFonts w:hint="default"/>
        <w:lang w:val="es-ES" w:eastAsia="es-ES" w:bidi="es-ES"/>
      </w:rPr>
    </w:lvl>
  </w:abstractNum>
  <w:abstractNum w:abstractNumId="24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42">
    <w:multiLevelType w:val="hybridMultilevel"/>
    <w:lvl w:ilvl="0">
      <w:start w:val="1"/>
      <w:numFmt w:val="decimal"/>
      <w:lvlText w:val="%1"/>
      <w:lvlJc w:val="left"/>
      <w:pPr>
        <w:ind w:left="672" w:hanging="454"/>
        <w:jc w:val="left"/>
      </w:pPr>
      <w:rPr>
        <w:rFonts w:hint="default"/>
        <w:w w:val="10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4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40">
    <w:multiLevelType w:val="hybridMultilevel"/>
    <w:lvl w:ilvl="0">
      <w:start w:val="4"/>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786" w:hanging="568"/>
        <w:jc w:val="righ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1352" w:hanging="1135"/>
        <w:jc w:val="left"/>
      </w:pPr>
      <w:rPr>
        <w:rFonts w:hint="default" w:ascii="Arial" w:hAnsi="Arial" w:eastAsia="Arial" w:cs="Arial"/>
        <w:b/>
        <w:bCs/>
        <w:spacing w:val="-1"/>
        <w:w w:val="100"/>
        <w:sz w:val="20"/>
        <w:szCs w:val="20"/>
        <w:lang w:val="es-ES" w:eastAsia="es-ES" w:bidi="es-ES"/>
      </w:rPr>
    </w:lvl>
    <w:lvl w:ilvl="4">
      <w:start w:val="0"/>
      <w:numFmt w:val="bullet"/>
      <w:lvlText w:val="•"/>
      <w:lvlJc w:val="left"/>
      <w:pPr>
        <w:ind w:left="4228" w:hanging="1135"/>
      </w:pPr>
      <w:rPr>
        <w:rFonts w:hint="default"/>
        <w:lang w:val="es-ES" w:eastAsia="es-ES" w:bidi="es-ES"/>
      </w:rPr>
    </w:lvl>
    <w:lvl w:ilvl="5">
      <w:start w:val="0"/>
      <w:numFmt w:val="bullet"/>
      <w:lvlText w:val="•"/>
      <w:lvlJc w:val="left"/>
      <w:pPr>
        <w:ind w:left="5185" w:hanging="1135"/>
      </w:pPr>
      <w:rPr>
        <w:rFonts w:hint="default"/>
        <w:lang w:val="es-ES" w:eastAsia="es-ES" w:bidi="es-ES"/>
      </w:rPr>
    </w:lvl>
    <w:lvl w:ilvl="6">
      <w:start w:val="0"/>
      <w:numFmt w:val="bullet"/>
      <w:lvlText w:val="•"/>
      <w:lvlJc w:val="left"/>
      <w:pPr>
        <w:ind w:left="6141" w:hanging="1135"/>
      </w:pPr>
      <w:rPr>
        <w:rFonts w:hint="default"/>
        <w:lang w:val="es-ES" w:eastAsia="es-ES" w:bidi="es-ES"/>
      </w:rPr>
    </w:lvl>
    <w:lvl w:ilvl="7">
      <w:start w:val="0"/>
      <w:numFmt w:val="bullet"/>
      <w:lvlText w:val="•"/>
      <w:lvlJc w:val="left"/>
      <w:pPr>
        <w:ind w:left="7097" w:hanging="1135"/>
      </w:pPr>
      <w:rPr>
        <w:rFonts w:hint="default"/>
        <w:lang w:val="es-ES" w:eastAsia="es-ES" w:bidi="es-ES"/>
      </w:rPr>
    </w:lvl>
    <w:lvl w:ilvl="8">
      <w:start w:val="0"/>
      <w:numFmt w:val="bullet"/>
      <w:lvlText w:val="•"/>
      <w:lvlJc w:val="left"/>
      <w:pPr>
        <w:ind w:left="8053" w:hanging="1135"/>
      </w:pPr>
      <w:rPr>
        <w:rFonts w:hint="default"/>
        <w:lang w:val="es-ES" w:eastAsia="es-ES" w:bidi="es-ES"/>
      </w:rPr>
    </w:lvl>
  </w:abstractNum>
  <w:abstractNum w:abstractNumId="23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3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3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3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3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3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3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3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3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2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2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27">
    <w:multiLevelType w:val="hybridMultilevel"/>
    <w:lvl w:ilvl="0">
      <w:start w:val="3"/>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786" w:hanging="568"/>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1352" w:hanging="1135"/>
        <w:jc w:val="left"/>
      </w:pPr>
      <w:rPr>
        <w:rFonts w:hint="default" w:ascii="Arial" w:hAnsi="Arial" w:eastAsia="Arial" w:cs="Arial"/>
        <w:b/>
        <w:bCs/>
        <w:spacing w:val="-1"/>
        <w:w w:val="100"/>
        <w:sz w:val="20"/>
        <w:szCs w:val="20"/>
        <w:lang w:val="es-ES" w:eastAsia="es-ES" w:bidi="es-ES"/>
      </w:rPr>
    </w:lvl>
    <w:lvl w:ilvl="4">
      <w:start w:val="1"/>
      <w:numFmt w:val="decimal"/>
      <w:lvlText w:val="%1.%2.%3.%4.%5"/>
      <w:lvlJc w:val="left"/>
      <w:pPr>
        <w:ind w:left="1352" w:hanging="1135"/>
        <w:jc w:val="left"/>
      </w:pPr>
      <w:rPr>
        <w:rFonts w:hint="default" w:ascii="Arial" w:hAnsi="Arial" w:eastAsia="Arial" w:cs="Arial"/>
        <w:b/>
        <w:bCs/>
        <w:spacing w:val="-1"/>
        <w:w w:val="100"/>
        <w:sz w:val="20"/>
        <w:szCs w:val="20"/>
        <w:lang w:val="es-ES" w:eastAsia="es-ES" w:bidi="es-ES"/>
      </w:rPr>
    </w:lvl>
    <w:lvl w:ilvl="5">
      <w:start w:val="0"/>
      <w:numFmt w:val="bullet"/>
      <w:lvlText w:val="•"/>
      <w:lvlJc w:val="left"/>
      <w:pPr>
        <w:ind w:left="5185" w:hanging="1135"/>
      </w:pPr>
      <w:rPr>
        <w:rFonts w:hint="default"/>
        <w:lang w:val="es-ES" w:eastAsia="es-ES" w:bidi="es-ES"/>
      </w:rPr>
    </w:lvl>
    <w:lvl w:ilvl="6">
      <w:start w:val="0"/>
      <w:numFmt w:val="bullet"/>
      <w:lvlText w:val="•"/>
      <w:lvlJc w:val="left"/>
      <w:pPr>
        <w:ind w:left="6141" w:hanging="1135"/>
      </w:pPr>
      <w:rPr>
        <w:rFonts w:hint="default"/>
        <w:lang w:val="es-ES" w:eastAsia="es-ES" w:bidi="es-ES"/>
      </w:rPr>
    </w:lvl>
    <w:lvl w:ilvl="7">
      <w:start w:val="0"/>
      <w:numFmt w:val="bullet"/>
      <w:lvlText w:val="•"/>
      <w:lvlJc w:val="left"/>
      <w:pPr>
        <w:ind w:left="7097" w:hanging="1135"/>
      </w:pPr>
      <w:rPr>
        <w:rFonts w:hint="default"/>
        <w:lang w:val="es-ES" w:eastAsia="es-ES" w:bidi="es-ES"/>
      </w:rPr>
    </w:lvl>
    <w:lvl w:ilvl="8">
      <w:start w:val="0"/>
      <w:numFmt w:val="bullet"/>
      <w:lvlText w:val="•"/>
      <w:lvlJc w:val="left"/>
      <w:pPr>
        <w:ind w:left="8053" w:hanging="1135"/>
      </w:pPr>
      <w:rPr>
        <w:rFonts w:hint="default"/>
        <w:lang w:val="es-ES" w:eastAsia="es-ES" w:bidi="es-ES"/>
      </w:rPr>
    </w:lvl>
  </w:abstractNum>
  <w:abstractNum w:abstractNumId="22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25">
    <w:multiLevelType w:val="hybridMultilevel"/>
    <w:lvl w:ilvl="0">
      <w:start w:val="1"/>
      <w:numFmt w:val="decimal"/>
      <w:lvlText w:val="%1"/>
      <w:lvlJc w:val="left"/>
      <w:pPr>
        <w:ind w:left="672" w:hanging="454"/>
        <w:jc w:val="left"/>
      </w:pPr>
      <w:rPr>
        <w:rFonts w:hint="default"/>
        <w:w w:val="10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24">
    <w:multiLevelType w:val="hybridMultilevel"/>
    <w:lvl w:ilvl="0">
      <w:start w:val="1"/>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786" w:hanging="568"/>
        <w:jc w:val="left"/>
      </w:pPr>
      <w:rPr>
        <w:rFonts w:hint="default" w:ascii="Arial" w:hAnsi="Arial" w:eastAsia="Arial" w:cs="Arial"/>
        <w:b/>
        <w:bCs/>
        <w:w w:val="99"/>
        <w:sz w:val="24"/>
        <w:szCs w:val="24"/>
        <w:lang w:val="es-ES" w:eastAsia="es-ES" w:bidi="es-ES"/>
      </w:rPr>
    </w:lvl>
    <w:lvl w:ilvl="2">
      <w:start w:val="0"/>
      <w:numFmt w:val="bullet"/>
      <w:lvlText w:val="•"/>
      <w:lvlJc w:val="left"/>
      <w:pPr>
        <w:ind w:left="2617" w:hanging="568"/>
      </w:pPr>
      <w:rPr>
        <w:rFonts w:hint="default"/>
        <w:lang w:val="es-ES" w:eastAsia="es-ES" w:bidi="es-ES"/>
      </w:rPr>
    </w:lvl>
    <w:lvl w:ilvl="3">
      <w:start w:val="0"/>
      <w:numFmt w:val="bullet"/>
      <w:lvlText w:val="•"/>
      <w:lvlJc w:val="left"/>
      <w:pPr>
        <w:ind w:left="3535" w:hanging="568"/>
      </w:pPr>
      <w:rPr>
        <w:rFonts w:hint="default"/>
        <w:lang w:val="es-ES" w:eastAsia="es-ES" w:bidi="es-ES"/>
      </w:rPr>
    </w:lvl>
    <w:lvl w:ilvl="4">
      <w:start w:val="0"/>
      <w:numFmt w:val="bullet"/>
      <w:lvlText w:val="•"/>
      <w:lvlJc w:val="left"/>
      <w:pPr>
        <w:ind w:left="4454" w:hanging="568"/>
      </w:pPr>
      <w:rPr>
        <w:rFonts w:hint="default"/>
        <w:lang w:val="es-ES" w:eastAsia="es-ES" w:bidi="es-ES"/>
      </w:rPr>
    </w:lvl>
    <w:lvl w:ilvl="5">
      <w:start w:val="0"/>
      <w:numFmt w:val="bullet"/>
      <w:lvlText w:val="•"/>
      <w:lvlJc w:val="left"/>
      <w:pPr>
        <w:ind w:left="5373" w:hanging="568"/>
      </w:pPr>
      <w:rPr>
        <w:rFonts w:hint="default"/>
        <w:lang w:val="es-ES" w:eastAsia="es-ES" w:bidi="es-ES"/>
      </w:rPr>
    </w:lvl>
    <w:lvl w:ilvl="6">
      <w:start w:val="0"/>
      <w:numFmt w:val="bullet"/>
      <w:lvlText w:val="•"/>
      <w:lvlJc w:val="left"/>
      <w:pPr>
        <w:ind w:left="6291" w:hanging="568"/>
      </w:pPr>
      <w:rPr>
        <w:rFonts w:hint="default"/>
        <w:lang w:val="es-ES" w:eastAsia="es-ES" w:bidi="es-ES"/>
      </w:rPr>
    </w:lvl>
    <w:lvl w:ilvl="7">
      <w:start w:val="0"/>
      <w:numFmt w:val="bullet"/>
      <w:lvlText w:val="•"/>
      <w:lvlJc w:val="left"/>
      <w:pPr>
        <w:ind w:left="7210" w:hanging="568"/>
      </w:pPr>
      <w:rPr>
        <w:rFonts w:hint="default"/>
        <w:lang w:val="es-ES" w:eastAsia="es-ES" w:bidi="es-ES"/>
      </w:rPr>
    </w:lvl>
    <w:lvl w:ilvl="8">
      <w:start w:val="0"/>
      <w:numFmt w:val="bullet"/>
      <w:lvlText w:val="•"/>
      <w:lvlJc w:val="left"/>
      <w:pPr>
        <w:ind w:left="8129" w:hanging="568"/>
      </w:pPr>
      <w:rPr>
        <w:rFonts w:hint="default"/>
        <w:lang w:val="es-ES" w:eastAsia="es-ES" w:bidi="es-ES"/>
      </w:rPr>
    </w:lvl>
  </w:abstractNum>
  <w:abstractNum w:abstractNumId="223">
    <w:multiLevelType w:val="hybridMultilevel"/>
    <w:lvl w:ilvl="0">
      <w:start w:val="0"/>
      <w:numFmt w:val="bullet"/>
      <w:lvlText w:val="-"/>
      <w:lvlJc w:val="left"/>
      <w:pPr>
        <w:ind w:left="786" w:hanging="123"/>
      </w:pPr>
      <w:rPr>
        <w:rFonts w:hint="default" w:ascii="Arial" w:hAnsi="Arial" w:eastAsia="Arial" w:cs="Arial"/>
        <w:w w:val="100"/>
        <w:sz w:val="20"/>
        <w:szCs w:val="20"/>
        <w:lang w:val="es-ES" w:eastAsia="es-ES" w:bidi="es-ES"/>
      </w:rPr>
    </w:lvl>
    <w:lvl w:ilvl="1">
      <w:start w:val="0"/>
      <w:numFmt w:val="bullet"/>
      <w:lvlText w:val="•"/>
      <w:lvlJc w:val="left"/>
      <w:pPr>
        <w:ind w:left="1698" w:hanging="123"/>
      </w:pPr>
      <w:rPr>
        <w:rFonts w:hint="default"/>
        <w:lang w:val="es-ES" w:eastAsia="es-ES" w:bidi="es-ES"/>
      </w:rPr>
    </w:lvl>
    <w:lvl w:ilvl="2">
      <w:start w:val="0"/>
      <w:numFmt w:val="bullet"/>
      <w:lvlText w:val="•"/>
      <w:lvlJc w:val="left"/>
      <w:pPr>
        <w:ind w:left="2617" w:hanging="123"/>
      </w:pPr>
      <w:rPr>
        <w:rFonts w:hint="default"/>
        <w:lang w:val="es-ES" w:eastAsia="es-ES" w:bidi="es-ES"/>
      </w:rPr>
    </w:lvl>
    <w:lvl w:ilvl="3">
      <w:start w:val="0"/>
      <w:numFmt w:val="bullet"/>
      <w:lvlText w:val="•"/>
      <w:lvlJc w:val="left"/>
      <w:pPr>
        <w:ind w:left="3535" w:hanging="123"/>
      </w:pPr>
      <w:rPr>
        <w:rFonts w:hint="default"/>
        <w:lang w:val="es-ES" w:eastAsia="es-ES" w:bidi="es-ES"/>
      </w:rPr>
    </w:lvl>
    <w:lvl w:ilvl="4">
      <w:start w:val="0"/>
      <w:numFmt w:val="bullet"/>
      <w:lvlText w:val="•"/>
      <w:lvlJc w:val="left"/>
      <w:pPr>
        <w:ind w:left="4454" w:hanging="123"/>
      </w:pPr>
      <w:rPr>
        <w:rFonts w:hint="default"/>
        <w:lang w:val="es-ES" w:eastAsia="es-ES" w:bidi="es-ES"/>
      </w:rPr>
    </w:lvl>
    <w:lvl w:ilvl="5">
      <w:start w:val="0"/>
      <w:numFmt w:val="bullet"/>
      <w:lvlText w:val="•"/>
      <w:lvlJc w:val="left"/>
      <w:pPr>
        <w:ind w:left="5373" w:hanging="123"/>
      </w:pPr>
      <w:rPr>
        <w:rFonts w:hint="default"/>
        <w:lang w:val="es-ES" w:eastAsia="es-ES" w:bidi="es-ES"/>
      </w:rPr>
    </w:lvl>
    <w:lvl w:ilvl="6">
      <w:start w:val="0"/>
      <w:numFmt w:val="bullet"/>
      <w:lvlText w:val="•"/>
      <w:lvlJc w:val="left"/>
      <w:pPr>
        <w:ind w:left="6291" w:hanging="123"/>
      </w:pPr>
      <w:rPr>
        <w:rFonts w:hint="default"/>
        <w:lang w:val="es-ES" w:eastAsia="es-ES" w:bidi="es-ES"/>
      </w:rPr>
    </w:lvl>
    <w:lvl w:ilvl="7">
      <w:start w:val="0"/>
      <w:numFmt w:val="bullet"/>
      <w:lvlText w:val="•"/>
      <w:lvlJc w:val="left"/>
      <w:pPr>
        <w:ind w:left="7210" w:hanging="123"/>
      </w:pPr>
      <w:rPr>
        <w:rFonts w:hint="default"/>
        <w:lang w:val="es-ES" w:eastAsia="es-ES" w:bidi="es-ES"/>
      </w:rPr>
    </w:lvl>
    <w:lvl w:ilvl="8">
      <w:start w:val="0"/>
      <w:numFmt w:val="bullet"/>
      <w:lvlText w:val="•"/>
      <w:lvlJc w:val="left"/>
      <w:pPr>
        <w:ind w:left="8129" w:hanging="123"/>
      </w:pPr>
      <w:rPr>
        <w:rFonts w:hint="default"/>
        <w:lang w:val="es-ES" w:eastAsia="es-ES" w:bidi="es-ES"/>
      </w:rPr>
    </w:lvl>
  </w:abstractNum>
  <w:abstractNum w:abstractNumId="22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2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2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19">
    <w:multiLevelType w:val="hybridMultilevel"/>
    <w:lvl w:ilvl="0">
      <w:start w:val="7"/>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672" w:hanging="454"/>
        <w:jc w:val="left"/>
      </w:pPr>
      <w:rPr>
        <w:rFonts w:hint="default" w:ascii="Arial" w:hAnsi="Arial" w:eastAsia="Arial" w:cs="Arial"/>
        <w:b/>
        <w:bCs/>
        <w:w w:val="99"/>
        <w:sz w:val="24"/>
        <w:szCs w:val="24"/>
        <w:lang w:val="es-ES" w:eastAsia="es-ES" w:bidi="es-ES"/>
      </w:rPr>
    </w:lvl>
    <w:lvl w:ilvl="2">
      <w:start w:val="0"/>
      <w:numFmt w:val="bullet"/>
      <w:lvlText w:val="•"/>
      <w:lvlJc w:val="left"/>
      <w:pPr>
        <w:ind w:left="1800" w:hanging="454"/>
      </w:pPr>
      <w:rPr>
        <w:rFonts w:hint="default"/>
        <w:lang w:val="es-ES" w:eastAsia="es-ES" w:bidi="es-ES"/>
      </w:rPr>
    </w:lvl>
    <w:lvl w:ilvl="3">
      <w:start w:val="0"/>
      <w:numFmt w:val="bullet"/>
      <w:lvlText w:val="•"/>
      <w:lvlJc w:val="left"/>
      <w:pPr>
        <w:ind w:left="2821" w:hanging="454"/>
      </w:pPr>
      <w:rPr>
        <w:rFonts w:hint="default"/>
        <w:lang w:val="es-ES" w:eastAsia="es-ES" w:bidi="es-ES"/>
      </w:rPr>
    </w:lvl>
    <w:lvl w:ilvl="4">
      <w:start w:val="0"/>
      <w:numFmt w:val="bullet"/>
      <w:lvlText w:val="•"/>
      <w:lvlJc w:val="left"/>
      <w:pPr>
        <w:ind w:left="3842" w:hanging="454"/>
      </w:pPr>
      <w:rPr>
        <w:rFonts w:hint="default"/>
        <w:lang w:val="es-ES" w:eastAsia="es-ES" w:bidi="es-ES"/>
      </w:rPr>
    </w:lvl>
    <w:lvl w:ilvl="5">
      <w:start w:val="0"/>
      <w:numFmt w:val="bullet"/>
      <w:lvlText w:val="•"/>
      <w:lvlJc w:val="left"/>
      <w:pPr>
        <w:ind w:left="4862" w:hanging="454"/>
      </w:pPr>
      <w:rPr>
        <w:rFonts w:hint="default"/>
        <w:lang w:val="es-ES" w:eastAsia="es-ES" w:bidi="es-ES"/>
      </w:rPr>
    </w:lvl>
    <w:lvl w:ilvl="6">
      <w:start w:val="0"/>
      <w:numFmt w:val="bullet"/>
      <w:lvlText w:val="•"/>
      <w:lvlJc w:val="left"/>
      <w:pPr>
        <w:ind w:left="5883" w:hanging="454"/>
      </w:pPr>
      <w:rPr>
        <w:rFonts w:hint="default"/>
        <w:lang w:val="es-ES" w:eastAsia="es-ES" w:bidi="es-ES"/>
      </w:rPr>
    </w:lvl>
    <w:lvl w:ilvl="7">
      <w:start w:val="0"/>
      <w:numFmt w:val="bullet"/>
      <w:lvlText w:val="•"/>
      <w:lvlJc w:val="left"/>
      <w:pPr>
        <w:ind w:left="6904" w:hanging="454"/>
      </w:pPr>
      <w:rPr>
        <w:rFonts w:hint="default"/>
        <w:lang w:val="es-ES" w:eastAsia="es-ES" w:bidi="es-ES"/>
      </w:rPr>
    </w:lvl>
    <w:lvl w:ilvl="8">
      <w:start w:val="0"/>
      <w:numFmt w:val="bullet"/>
      <w:lvlText w:val="•"/>
      <w:lvlJc w:val="left"/>
      <w:pPr>
        <w:ind w:left="7924" w:hanging="454"/>
      </w:pPr>
      <w:rPr>
        <w:rFonts w:hint="default"/>
        <w:lang w:val="es-ES" w:eastAsia="es-ES" w:bidi="es-ES"/>
      </w:rPr>
    </w:lvl>
  </w:abstractNum>
  <w:abstractNum w:abstractNumId="21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1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16">
    <w:multiLevelType w:val="hybridMultilevel"/>
    <w:lvl w:ilvl="0">
      <w:start w:val="6"/>
      <w:numFmt w:val="decimal"/>
      <w:lvlText w:val="%1"/>
      <w:lvlJc w:val="left"/>
      <w:pPr>
        <w:ind w:left="672" w:hanging="454"/>
        <w:jc w:val="left"/>
      </w:pPr>
      <w:rPr>
        <w:rFonts w:hint="default"/>
        <w:lang w:val="es-ES" w:eastAsia="es-ES" w:bidi="es-ES"/>
      </w:rPr>
    </w:lvl>
    <w:lvl w:ilvl="1">
      <w:start w:val="3"/>
      <w:numFmt w:val="decimal"/>
      <w:lvlText w:val="%1.%2"/>
      <w:lvlJc w:val="left"/>
      <w:pPr>
        <w:ind w:left="672" w:hanging="454"/>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892" w:hanging="668"/>
        <w:jc w:val="left"/>
      </w:pPr>
      <w:rPr>
        <w:rFonts w:hint="default" w:ascii="Arial" w:hAnsi="Arial" w:eastAsia="Arial" w:cs="Arial"/>
        <w:b/>
        <w:bCs/>
        <w:spacing w:val="-1"/>
        <w:w w:val="100"/>
        <w:sz w:val="20"/>
        <w:szCs w:val="20"/>
        <w:lang w:val="es-ES" w:eastAsia="es-ES" w:bidi="es-ES"/>
      </w:rPr>
    </w:lvl>
    <w:lvl w:ilvl="4">
      <w:start w:val="0"/>
      <w:numFmt w:val="bullet"/>
      <w:lvlText w:val="•"/>
      <w:lvlJc w:val="left"/>
      <w:pPr>
        <w:ind w:left="3166" w:hanging="668"/>
      </w:pPr>
      <w:rPr>
        <w:rFonts w:hint="default"/>
        <w:lang w:val="es-ES" w:eastAsia="es-ES" w:bidi="es-ES"/>
      </w:rPr>
    </w:lvl>
    <w:lvl w:ilvl="5">
      <w:start w:val="0"/>
      <w:numFmt w:val="bullet"/>
      <w:lvlText w:val="•"/>
      <w:lvlJc w:val="left"/>
      <w:pPr>
        <w:ind w:left="4299" w:hanging="668"/>
      </w:pPr>
      <w:rPr>
        <w:rFonts w:hint="default"/>
        <w:lang w:val="es-ES" w:eastAsia="es-ES" w:bidi="es-ES"/>
      </w:rPr>
    </w:lvl>
    <w:lvl w:ilvl="6">
      <w:start w:val="0"/>
      <w:numFmt w:val="bullet"/>
      <w:lvlText w:val="•"/>
      <w:lvlJc w:val="left"/>
      <w:pPr>
        <w:ind w:left="5433" w:hanging="668"/>
      </w:pPr>
      <w:rPr>
        <w:rFonts w:hint="default"/>
        <w:lang w:val="es-ES" w:eastAsia="es-ES" w:bidi="es-ES"/>
      </w:rPr>
    </w:lvl>
    <w:lvl w:ilvl="7">
      <w:start w:val="0"/>
      <w:numFmt w:val="bullet"/>
      <w:lvlText w:val="•"/>
      <w:lvlJc w:val="left"/>
      <w:pPr>
        <w:ind w:left="6566" w:hanging="668"/>
      </w:pPr>
      <w:rPr>
        <w:rFonts w:hint="default"/>
        <w:lang w:val="es-ES" w:eastAsia="es-ES" w:bidi="es-ES"/>
      </w:rPr>
    </w:lvl>
    <w:lvl w:ilvl="8">
      <w:start w:val="0"/>
      <w:numFmt w:val="bullet"/>
      <w:lvlText w:val="•"/>
      <w:lvlJc w:val="left"/>
      <w:pPr>
        <w:ind w:left="7699" w:hanging="668"/>
      </w:pPr>
      <w:rPr>
        <w:rFonts w:hint="default"/>
        <w:lang w:val="es-ES" w:eastAsia="es-ES" w:bidi="es-ES"/>
      </w:rPr>
    </w:lvl>
  </w:abstractNum>
  <w:abstractNum w:abstractNumId="21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14">
    <w:multiLevelType w:val="hybridMultilevel"/>
    <w:lvl w:ilvl="0">
      <w:start w:val="6"/>
      <w:numFmt w:val="decimal"/>
      <w:lvlText w:val="%1"/>
      <w:lvlJc w:val="left"/>
      <w:pPr>
        <w:ind w:left="786" w:hanging="568"/>
        <w:jc w:val="left"/>
      </w:pPr>
      <w:rPr>
        <w:rFonts w:hint="default"/>
        <w:lang w:val="es-ES" w:eastAsia="es-ES" w:bidi="es-ES"/>
      </w:rPr>
    </w:lvl>
    <w:lvl w:ilvl="1">
      <w:start w:val="2"/>
      <w:numFmt w:val="decimal"/>
      <w:lvlText w:val="%1.%2"/>
      <w:lvlJc w:val="left"/>
      <w:pPr>
        <w:ind w:left="786" w:hanging="568"/>
        <w:jc w:val="left"/>
      </w:pPr>
      <w:rPr>
        <w:rFonts w:hint="default"/>
        <w:lang w:val="es-ES" w:eastAsia="es-ES" w:bidi="es-ES"/>
      </w:rPr>
    </w:lvl>
    <w:lvl w:ilvl="2">
      <w:start w:val="2"/>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3535" w:hanging="568"/>
      </w:pPr>
      <w:rPr>
        <w:rFonts w:hint="default"/>
        <w:lang w:val="es-ES" w:eastAsia="es-ES" w:bidi="es-ES"/>
      </w:rPr>
    </w:lvl>
    <w:lvl w:ilvl="4">
      <w:start w:val="0"/>
      <w:numFmt w:val="bullet"/>
      <w:lvlText w:val="•"/>
      <w:lvlJc w:val="left"/>
      <w:pPr>
        <w:ind w:left="4454" w:hanging="568"/>
      </w:pPr>
      <w:rPr>
        <w:rFonts w:hint="default"/>
        <w:lang w:val="es-ES" w:eastAsia="es-ES" w:bidi="es-ES"/>
      </w:rPr>
    </w:lvl>
    <w:lvl w:ilvl="5">
      <w:start w:val="0"/>
      <w:numFmt w:val="bullet"/>
      <w:lvlText w:val="•"/>
      <w:lvlJc w:val="left"/>
      <w:pPr>
        <w:ind w:left="5373" w:hanging="568"/>
      </w:pPr>
      <w:rPr>
        <w:rFonts w:hint="default"/>
        <w:lang w:val="es-ES" w:eastAsia="es-ES" w:bidi="es-ES"/>
      </w:rPr>
    </w:lvl>
    <w:lvl w:ilvl="6">
      <w:start w:val="0"/>
      <w:numFmt w:val="bullet"/>
      <w:lvlText w:val="•"/>
      <w:lvlJc w:val="left"/>
      <w:pPr>
        <w:ind w:left="6291" w:hanging="568"/>
      </w:pPr>
      <w:rPr>
        <w:rFonts w:hint="default"/>
        <w:lang w:val="es-ES" w:eastAsia="es-ES" w:bidi="es-ES"/>
      </w:rPr>
    </w:lvl>
    <w:lvl w:ilvl="7">
      <w:start w:val="0"/>
      <w:numFmt w:val="bullet"/>
      <w:lvlText w:val="•"/>
      <w:lvlJc w:val="left"/>
      <w:pPr>
        <w:ind w:left="7210" w:hanging="568"/>
      </w:pPr>
      <w:rPr>
        <w:rFonts w:hint="default"/>
        <w:lang w:val="es-ES" w:eastAsia="es-ES" w:bidi="es-ES"/>
      </w:rPr>
    </w:lvl>
    <w:lvl w:ilvl="8">
      <w:start w:val="0"/>
      <w:numFmt w:val="bullet"/>
      <w:lvlText w:val="•"/>
      <w:lvlJc w:val="left"/>
      <w:pPr>
        <w:ind w:left="8129" w:hanging="568"/>
      </w:pPr>
      <w:rPr>
        <w:rFonts w:hint="default"/>
        <w:lang w:val="es-ES" w:eastAsia="es-ES" w:bidi="es-ES"/>
      </w:rPr>
    </w:lvl>
  </w:abstractNum>
  <w:abstractNum w:abstractNumId="21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1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11">
    <w:multiLevelType w:val="hybridMultilevel"/>
    <w:lvl w:ilvl="0">
      <w:start w:val="6"/>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672" w:hanging="454"/>
        <w:jc w:val="left"/>
      </w:pPr>
      <w:rPr>
        <w:rFonts w:hint="default" w:ascii="Arial" w:hAnsi="Arial" w:eastAsia="Arial" w:cs="Arial"/>
        <w:b/>
        <w:bCs/>
        <w:w w:val="99"/>
        <w:sz w:val="24"/>
        <w:szCs w:val="24"/>
        <w:lang w:val="es-ES" w:eastAsia="es-ES" w:bidi="es-ES"/>
      </w:rPr>
    </w:lvl>
    <w:lvl w:ilvl="2">
      <w:start w:val="0"/>
      <w:numFmt w:val="bullet"/>
      <w:lvlText w:val="•"/>
      <w:lvlJc w:val="left"/>
      <w:pPr>
        <w:ind w:left="1800" w:hanging="454"/>
      </w:pPr>
      <w:rPr>
        <w:rFonts w:hint="default"/>
        <w:lang w:val="es-ES" w:eastAsia="es-ES" w:bidi="es-ES"/>
      </w:rPr>
    </w:lvl>
    <w:lvl w:ilvl="3">
      <w:start w:val="0"/>
      <w:numFmt w:val="bullet"/>
      <w:lvlText w:val="•"/>
      <w:lvlJc w:val="left"/>
      <w:pPr>
        <w:ind w:left="2821" w:hanging="454"/>
      </w:pPr>
      <w:rPr>
        <w:rFonts w:hint="default"/>
        <w:lang w:val="es-ES" w:eastAsia="es-ES" w:bidi="es-ES"/>
      </w:rPr>
    </w:lvl>
    <w:lvl w:ilvl="4">
      <w:start w:val="0"/>
      <w:numFmt w:val="bullet"/>
      <w:lvlText w:val="•"/>
      <w:lvlJc w:val="left"/>
      <w:pPr>
        <w:ind w:left="3842" w:hanging="454"/>
      </w:pPr>
      <w:rPr>
        <w:rFonts w:hint="default"/>
        <w:lang w:val="es-ES" w:eastAsia="es-ES" w:bidi="es-ES"/>
      </w:rPr>
    </w:lvl>
    <w:lvl w:ilvl="5">
      <w:start w:val="0"/>
      <w:numFmt w:val="bullet"/>
      <w:lvlText w:val="•"/>
      <w:lvlJc w:val="left"/>
      <w:pPr>
        <w:ind w:left="4862" w:hanging="454"/>
      </w:pPr>
      <w:rPr>
        <w:rFonts w:hint="default"/>
        <w:lang w:val="es-ES" w:eastAsia="es-ES" w:bidi="es-ES"/>
      </w:rPr>
    </w:lvl>
    <w:lvl w:ilvl="6">
      <w:start w:val="0"/>
      <w:numFmt w:val="bullet"/>
      <w:lvlText w:val="•"/>
      <w:lvlJc w:val="left"/>
      <w:pPr>
        <w:ind w:left="5883" w:hanging="454"/>
      </w:pPr>
      <w:rPr>
        <w:rFonts w:hint="default"/>
        <w:lang w:val="es-ES" w:eastAsia="es-ES" w:bidi="es-ES"/>
      </w:rPr>
    </w:lvl>
    <w:lvl w:ilvl="7">
      <w:start w:val="0"/>
      <w:numFmt w:val="bullet"/>
      <w:lvlText w:val="•"/>
      <w:lvlJc w:val="left"/>
      <w:pPr>
        <w:ind w:left="6904" w:hanging="454"/>
      </w:pPr>
      <w:rPr>
        <w:rFonts w:hint="default"/>
        <w:lang w:val="es-ES" w:eastAsia="es-ES" w:bidi="es-ES"/>
      </w:rPr>
    </w:lvl>
    <w:lvl w:ilvl="8">
      <w:start w:val="0"/>
      <w:numFmt w:val="bullet"/>
      <w:lvlText w:val="•"/>
      <w:lvlJc w:val="left"/>
      <w:pPr>
        <w:ind w:left="7924" w:hanging="454"/>
      </w:pPr>
      <w:rPr>
        <w:rFonts w:hint="default"/>
        <w:lang w:val="es-ES" w:eastAsia="es-ES" w:bidi="es-ES"/>
      </w:rPr>
    </w:lvl>
  </w:abstractNum>
  <w:abstractNum w:abstractNumId="20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208">
    <w:multiLevelType w:val="hybridMultilevel"/>
    <w:lvl w:ilvl="0">
      <w:start w:val="5"/>
      <w:numFmt w:val="decimal"/>
      <w:lvlText w:val="%1"/>
      <w:lvlJc w:val="left"/>
      <w:pPr>
        <w:ind w:left="672" w:hanging="454"/>
        <w:jc w:val="left"/>
      </w:pPr>
      <w:rPr>
        <w:rFonts w:hint="default"/>
        <w:lang w:val="es-ES" w:eastAsia="es-ES" w:bidi="es-ES"/>
      </w:rPr>
    </w:lvl>
    <w:lvl w:ilvl="1">
      <w:start w:val="2"/>
      <w:numFmt w:val="decimal"/>
      <w:lvlText w:val="%1.%2"/>
      <w:lvlJc w:val="left"/>
      <w:pPr>
        <w:ind w:left="672" w:hanging="454"/>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932" w:hanging="708"/>
        <w:jc w:val="left"/>
      </w:pPr>
      <w:rPr>
        <w:rFonts w:hint="default" w:ascii="Arial" w:hAnsi="Arial" w:eastAsia="Arial" w:cs="Arial"/>
        <w:b/>
        <w:bCs/>
        <w:spacing w:val="-1"/>
        <w:w w:val="100"/>
        <w:sz w:val="20"/>
        <w:szCs w:val="20"/>
        <w:lang w:val="es-ES" w:eastAsia="es-ES" w:bidi="es-ES"/>
      </w:rPr>
    </w:lvl>
    <w:lvl w:ilvl="4">
      <w:start w:val="0"/>
      <w:numFmt w:val="bullet"/>
      <w:lvlText w:val="•"/>
      <w:lvlJc w:val="left"/>
      <w:pPr>
        <w:ind w:left="3196" w:hanging="708"/>
      </w:pPr>
      <w:rPr>
        <w:rFonts w:hint="default"/>
        <w:lang w:val="es-ES" w:eastAsia="es-ES" w:bidi="es-ES"/>
      </w:rPr>
    </w:lvl>
    <w:lvl w:ilvl="5">
      <w:start w:val="0"/>
      <w:numFmt w:val="bullet"/>
      <w:lvlText w:val="•"/>
      <w:lvlJc w:val="left"/>
      <w:pPr>
        <w:ind w:left="4324" w:hanging="708"/>
      </w:pPr>
      <w:rPr>
        <w:rFonts w:hint="default"/>
        <w:lang w:val="es-ES" w:eastAsia="es-ES" w:bidi="es-ES"/>
      </w:rPr>
    </w:lvl>
    <w:lvl w:ilvl="6">
      <w:start w:val="0"/>
      <w:numFmt w:val="bullet"/>
      <w:lvlText w:val="•"/>
      <w:lvlJc w:val="left"/>
      <w:pPr>
        <w:ind w:left="5453" w:hanging="708"/>
      </w:pPr>
      <w:rPr>
        <w:rFonts w:hint="default"/>
        <w:lang w:val="es-ES" w:eastAsia="es-ES" w:bidi="es-ES"/>
      </w:rPr>
    </w:lvl>
    <w:lvl w:ilvl="7">
      <w:start w:val="0"/>
      <w:numFmt w:val="bullet"/>
      <w:lvlText w:val="•"/>
      <w:lvlJc w:val="left"/>
      <w:pPr>
        <w:ind w:left="6581" w:hanging="708"/>
      </w:pPr>
      <w:rPr>
        <w:rFonts w:hint="default"/>
        <w:lang w:val="es-ES" w:eastAsia="es-ES" w:bidi="es-ES"/>
      </w:rPr>
    </w:lvl>
    <w:lvl w:ilvl="8">
      <w:start w:val="0"/>
      <w:numFmt w:val="bullet"/>
      <w:lvlText w:val="•"/>
      <w:lvlJc w:val="left"/>
      <w:pPr>
        <w:ind w:left="7709" w:hanging="708"/>
      </w:pPr>
      <w:rPr>
        <w:rFonts w:hint="default"/>
        <w:lang w:val="es-ES" w:eastAsia="es-ES" w:bidi="es-ES"/>
      </w:rPr>
    </w:lvl>
  </w:abstractNum>
  <w:abstractNum w:abstractNumId="20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0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0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0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0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0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0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0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9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9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9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9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9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9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9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9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9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9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8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88">
    <w:multiLevelType w:val="hybridMultilevel"/>
    <w:lvl w:ilvl="0">
      <w:start w:val="5"/>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672" w:hanging="454"/>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932" w:hanging="708"/>
        <w:jc w:val="left"/>
      </w:pPr>
      <w:rPr>
        <w:rFonts w:hint="default" w:ascii="Arial" w:hAnsi="Arial" w:eastAsia="Arial" w:cs="Arial"/>
        <w:b/>
        <w:bCs/>
        <w:spacing w:val="-1"/>
        <w:w w:val="100"/>
        <w:sz w:val="20"/>
        <w:szCs w:val="20"/>
        <w:lang w:val="es-ES" w:eastAsia="es-ES" w:bidi="es-ES"/>
      </w:rPr>
    </w:lvl>
    <w:lvl w:ilvl="4">
      <w:start w:val="1"/>
      <w:numFmt w:val="decimal"/>
      <w:lvlText w:val="%1.%2.%3.%4.%5"/>
      <w:lvlJc w:val="left"/>
      <w:pPr>
        <w:ind w:left="1154" w:hanging="882"/>
        <w:jc w:val="left"/>
      </w:pPr>
      <w:rPr>
        <w:rFonts w:hint="default" w:ascii="Arial" w:hAnsi="Arial" w:eastAsia="Arial" w:cs="Arial"/>
        <w:b/>
        <w:bCs/>
        <w:spacing w:val="-1"/>
        <w:w w:val="100"/>
        <w:sz w:val="20"/>
        <w:szCs w:val="20"/>
        <w:lang w:val="es-ES" w:eastAsia="es-ES" w:bidi="es-ES"/>
      </w:rPr>
    </w:lvl>
    <w:lvl w:ilvl="5">
      <w:start w:val="0"/>
      <w:numFmt w:val="bullet"/>
      <w:lvlText w:val="•"/>
      <w:lvlJc w:val="left"/>
      <w:pPr>
        <w:ind w:left="3676" w:hanging="882"/>
      </w:pPr>
      <w:rPr>
        <w:rFonts w:hint="default"/>
        <w:lang w:val="es-ES" w:eastAsia="es-ES" w:bidi="es-ES"/>
      </w:rPr>
    </w:lvl>
    <w:lvl w:ilvl="6">
      <w:start w:val="0"/>
      <w:numFmt w:val="bullet"/>
      <w:lvlText w:val="•"/>
      <w:lvlJc w:val="left"/>
      <w:pPr>
        <w:ind w:left="4934" w:hanging="882"/>
      </w:pPr>
      <w:rPr>
        <w:rFonts w:hint="default"/>
        <w:lang w:val="es-ES" w:eastAsia="es-ES" w:bidi="es-ES"/>
      </w:rPr>
    </w:lvl>
    <w:lvl w:ilvl="7">
      <w:start w:val="0"/>
      <w:numFmt w:val="bullet"/>
      <w:lvlText w:val="•"/>
      <w:lvlJc w:val="left"/>
      <w:pPr>
        <w:ind w:left="6192" w:hanging="882"/>
      </w:pPr>
      <w:rPr>
        <w:rFonts w:hint="default"/>
        <w:lang w:val="es-ES" w:eastAsia="es-ES" w:bidi="es-ES"/>
      </w:rPr>
    </w:lvl>
    <w:lvl w:ilvl="8">
      <w:start w:val="0"/>
      <w:numFmt w:val="bullet"/>
      <w:lvlText w:val="•"/>
      <w:lvlJc w:val="left"/>
      <w:pPr>
        <w:ind w:left="7450" w:hanging="882"/>
      </w:pPr>
      <w:rPr>
        <w:rFonts w:hint="default"/>
        <w:lang w:val="es-ES" w:eastAsia="es-ES" w:bidi="es-ES"/>
      </w:rPr>
    </w:lvl>
  </w:abstractNum>
  <w:abstractNum w:abstractNumId="18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8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8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8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8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8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8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8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7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1"/>
      <w:numFmt w:val="lowerRoman"/>
      <w:lvlText w:val="%3)"/>
      <w:lvlJc w:val="left"/>
      <w:pPr>
        <w:ind w:left="1579" w:hanging="509"/>
        <w:jc w:val="left"/>
      </w:pPr>
      <w:rPr>
        <w:rFonts w:hint="default" w:ascii="Arial" w:hAnsi="Arial" w:eastAsia="Arial" w:cs="Arial"/>
        <w:spacing w:val="-1"/>
        <w:w w:val="100"/>
        <w:sz w:val="20"/>
        <w:szCs w:val="20"/>
        <w:lang w:val="es-ES" w:eastAsia="es-ES" w:bidi="es-ES"/>
      </w:rPr>
    </w:lvl>
    <w:lvl w:ilvl="3">
      <w:start w:val="0"/>
      <w:numFmt w:val="bullet"/>
      <w:lvlText w:val="•"/>
      <w:lvlJc w:val="left"/>
      <w:pPr>
        <w:ind w:left="2628" w:hanging="509"/>
      </w:pPr>
      <w:rPr>
        <w:rFonts w:hint="default"/>
        <w:lang w:val="es-ES" w:eastAsia="es-ES" w:bidi="es-ES"/>
      </w:rPr>
    </w:lvl>
    <w:lvl w:ilvl="4">
      <w:start w:val="0"/>
      <w:numFmt w:val="bullet"/>
      <w:lvlText w:val="•"/>
      <w:lvlJc w:val="left"/>
      <w:pPr>
        <w:ind w:left="3676" w:hanging="509"/>
      </w:pPr>
      <w:rPr>
        <w:rFonts w:hint="default"/>
        <w:lang w:val="es-ES" w:eastAsia="es-ES" w:bidi="es-ES"/>
      </w:rPr>
    </w:lvl>
    <w:lvl w:ilvl="5">
      <w:start w:val="0"/>
      <w:numFmt w:val="bullet"/>
      <w:lvlText w:val="•"/>
      <w:lvlJc w:val="left"/>
      <w:pPr>
        <w:ind w:left="4724" w:hanging="509"/>
      </w:pPr>
      <w:rPr>
        <w:rFonts w:hint="default"/>
        <w:lang w:val="es-ES" w:eastAsia="es-ES" w:bidi="es-ES"/>
      </w:rPr>
    </w:lvl>
    <w:lvl w:ilvl="6">
      <w:start w:val="0"/>
      <w:numFmt w:val="bullet"/>
      <w:lvlText w:val="•"/>
      <w:lvlJc w:val="left"/>
      <w:pPr>
        <w:ind w:left="5773" w:hanging="509"/>
      </w:pPr>
      <w:rPr>
        <w:rFonts w:hint="default"/>
        <w:lang w:val="es-ES" w:eastAsia="es-ES" w:bidi="es-ES"/>
      </w:rPr>
    </w:lvl>
    <w:lvl w:ilvl="7">
      <w:start w:val="0"/>
      <w:numFmt w:val="bullet"/>
      <w:lvlText w:val="•"/>
      <w:lvlJc w:val="left"/>
      <w:pPr>
        <w:ind w:left="6821" w:hanging="509"/>
      </w:pPr>
      <w:rPr>
        <w:rFonts w:hint="default"/>
        <w:lang w:val="es-ES" w:eastAsia="es-ES" w:bidi="es-ES"/>
      </w:rPr>
    </w:lvl>
    <w:lvl w:ilvl="8">
      <w:start w:val="0"/>
      <w:numFmt w:val="bullet"/>
      <w:lvlText w:val="•"/>
      <w:lvlJc w:val="left"/>
      <w:pPr>
        <w:ind w:left="7869" w:hanging="509"/>
      </w:pPr>
      <w:rPr>
        <w:rFonts w:hint="default"/>
        <w:lang w:val="es-ES" w:eastAsia="es-ES" w:bidi="es-ES"/>
      </w:rPr>
    </w:lvl>
  </w:abstractNum>
  <w:abstractNum w:abstractNumId="17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76">
    <w:multiLevelType w:val="hybridMultilevel"/>
    <w:lvl w:ilvl="0">
      <w:start w:val="4"/>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672" w:hanging="454"/>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932" w:hanging="708"/>
        <w:jc w:val="left"/>
      </w:pPr>
      <w:rPr>
        <w:rFonts w:hint="default" w:ascii="Arial" w:hAnsi="Arial" w:eastAsia="Arial" w:cs="Arial"/>
        <w:b/>
        <w:bCs/>
        <w:spacing w:val="-1"/>
        <w:w w:val="100"/>
        <w:sz w:val="20"/>
        <w:szCs w:val="20"/>
        <w:lang w:val="es-ES" w:eastAsia="es-ES" w:bidi="es-ES"/>
      </w:rPr>
    </w:lvl>
    <w:lvl w:ilvl="4">
      <w:start w:val="0"/>
      <w:numFmt w:val="bullet"/>
      <w:lvlText w:val="•"/>
      <w:lvlJc w:val="left"/>
      <w:pPr>
        <w:ind w:left="3196" w:hanging="708"/>
      </w:pPr>
      <w:rPr>
        <w:rFonts w:hint="default"/>
        <w:lang w:val="es-ES" w:eastAsia="es-ES" w:bidi="es-ES"/>
      </w:rPr>
    </w:lvl>
    <w:lvl w:ilvl="5">
      <w:start w:val="0"/>
      <w:numFmt w:val="bullet"/>
      <w:lvlText w:val="•"/>
      <w:lvlJc w:val="left"/>
      <w:pPr>
        <w:ind w:left="4324" w:hanging="708"/>
      </w:pPr>
      <w:rPr>
        <w:rFonts w:hint="default"/>
        <w:lang w:val="es-ES" w:eastAsia="es-ES" w:bidi="es-ES"/>
      </w:rPr>
    </w:lvl>
    <w:lvl w:ilvl="6">
      <w:start w:val="0"/>
      <w:numFmt w:val="bullet"/>
      <w:lvlText w:val="•"/>
      <w:lvlJc w:val="left"/>
      <w:pPr>
        <w:ind w:left="5453" w:hanging="708"/>
      </w:pPr>
      <w:rPr>
        <w:rFonts w:hint="default"/>
        <w:lang w:val="es-ES" w:eastAsia="es-ES" w:bidi="es-ES"/>
      </w:rPr>
    </w:lvl>
    <w:lvl w:ilvl="7">
      <w:start w:val="0"/>
      <w:numFmt w:val="bullet"/>
      <w:lvlText w:val="•"/>
      <w:lvlJc w:val="left"/>
      <w:pPr>
        <w:ind w:left="6581" w:hanging="708"/>
      </w:pPr>
      <w:rPr>
        <w:rFonts w:hint="default"/>
        <w:lang w:val="es-ES" w:eastAsia="es-ES" w:bidi="es-ES"/>
      </w:rPr>
    </w:lvl>
    <w:lvl w:ilvl="8">
      <w:start w:val="0"/>
      <w:numFmt w:val="bullet"/>
      <w:lvlText w:val="•"/>
      <w:lvlJc w:val="left"/>
      <w:pPr>
        <w:ind w:left="7709" w:hanging="708"/>
      </w:pPr>
      <w:rPr>
        <w:rFonts w:hint="default"/>
        <w:lang w:val="es-ES" w:eastAsia="es-ES" w:bidi="es-ES"/>
      </w:rPr>
    </w:lvl>
  </w:abstractNum>
  <w:abstractNum w:abstractNumId="17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7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7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7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7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7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6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6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6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6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6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6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1"/>
      <w:numFmt w:val="lowerRoman"/>
      <w:lvlText w:val="%3)"/>
      <w:lvlJc w:val="left"/>
      <w:pPr>
        <w:ind w:left="1579" w:hanging="509"/>
        <w:jc w:val="left"/>
      </w:pPr>
      <w:rPr>
        <w:rFonts w:hint="default" w:ascii="Arial" w:hAnsi="Arial" w:eastAsia="Arial" w:cs="Arial"/>
        <w:spacing w:val="-1"/>
        <w:w w:val="100"/>
        <w:sz w:val="20"/>
        <w:szCs w:val="20"/>
        <w:lang w:val="es-ES" w:eastAsia="es-ES" w:bidi="es-ES"/>
      </w:rPr>
    </w:lvl>
    <w:lvl w:ilvl="3">
      <w:start w:val="0"/>
      <w:numFmt w:val="bullet"/>
      <w:lvlText w:val="•"/>
      <w:lvlJc w:val="left"/>
      <w:pPr>
        <w:ind w:left="2628" w:hanging="509"/>
      </w:pPr>
      <w:rPr>
        <w:rFonts w:hint="default"/>
        <w:lang w:val="es-ES" w:eastAsia="es-ES" w:bidi="es-ES"/>
      </w:rPr>
    </w:lvl>
    <w:lvl w:ilvl="4">
      <w:start w:val="0"/>
      <w:numFmt w:val="bullet"/>
      <w:lvlText w:val="•"/>
      <w:lvlJc w:val="left"/>
      <w:pPr>
        <w:ind w:left="3676" w:hanging="509"/>
      </w:pPr>
      <w:rPr>
        <w:rFonts w:hint="default"/>
        <w:lang w:val="es-ES" w:eastAsia="es-ES" w:bidi="es-ES"/>
      </w:rPr>
    </w:lvl>
    <w:lvl w:ilvl="5">
      <w:start w:val="0"/>
      <w:numFmt w:val="bullet"/>
      <w:lvlText w:val="•"/>
      <w:lvlJc w:val="left"/>
      <w:pPr>
        <w:ind w:left="4724" w:hanging="509"/>
      </w:pPr>
      <w:rPr>
        <w:rFonts w:hint="default"/>
        <w:lang w:val="es-ES" w:eastAsia="es-ES" w:bidi="es-ES"/>
      </w:rPr>
    </w:lvl>
    <w:lvl w:ilvl="6">
      <w:start w:val="0"/>
      <w:numFmt w:val="bullet"/>
      <w:lvlText w:val="•"/>
      <w:lvlJc w:val="left"/>
      <w:pPr>
        <w:ind w:left="5773" w:hanging="509"/>
      </w:pPr>
      <w:rPr>
        <w:rFonts w:hint="default"/>
        <w:lang w:val="es-ES" w:eastAsia="es-ES" w:bidi="es-ES"/>
      </w:rPr>
    </w:lvl>
    <w:lvl w:ilvl="7">
      <w:start w:val="0"/>
      <w:numFmt w:val="bullet"/>
      <w:lvlText w:val="•"/>
      <w:lvlJc w:val="left"/>
      <w:pPr>
        <w:ind w:left="6821" w:hanging="509"/>
      </w:pPr>
      <w:rPr>
        <w:rFonts w:hint="default"/>
        <w:lang w:val="es-ES" w:eastAsia="es-ES" w:bidi="es-ES"/>
      </w:rPr>
    </w:lvl>
    <w:lvl w:ilvl="8">
      <w:start w:val="0"/>
      <w:numFmt w:val="bullet"/>
      <w:lvlText w:val="•"/>
      <w:lvlJc w:val="left"/>
      <w:pPr>
        <w:ind w:left="7869" w:hanging="509"/>
      </w:pPr>
      <w:rPr>
        <w:rFonts w:hint="default"/>
        <w:lang w:val="es-ES" w:eastAsia="es-ES" w:bidi="es-ES"/>
      </w:rPr>
    </w:lvl>
  </w:abstractNum>
  <w:abstractNum w:abstractNumId="16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61">
    <w:multiLevelType w:val="hybridMultilevel"/>
    <w:lvl w:ilvl="0">
      <w:start w:val="1"/>
      <w:numFmt w:val="decimal"/>
      <w:lvlText w:val="%1"/>
      <w:lvlJc w:val="left"/>
      <w:pPr>
        <w:ind w:left="672" w:hanging="454"/>
        <w:jc w:val="left"/>
      </w:pPr>
      <w:rPr>
        <w:rFonts w:hint="default"/>
        <w:w w:val="10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6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5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5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56">
    <w:multiLevelType w:val="hybridMultilevel"/>
    <w:lvl w:ilvl="0">
      <w:start w:val="3"/>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672" w:hanging="454"/>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932" w:hanging="708"/>
        <w:jc w:val="left"/>
      </w:pPr>
      <w:rPr>
        <w:rFonts w:hint="default" w:ascii="Arial" w:hAnsi="Arial" w:eastAsia="Arial" w:cs="Arial"/>
        <w:b/>
        <w:bCs/>
        <w:spacing w:val="-1"/>
        <w:w w:val="100"/>
        <w:sz w:val="20"/>
        <w:szCs w:val="20"/>
        <w:lang w:val="es-ES" w:eastAsia="es-ES" w:bidi="es-ES"/>
      </w:rPr>
    </w:lvl>
    <w:lvl w:ilvl="4">
      <w:start w:val="1"/>
      <w:numFmt w:val="decimal"/>
      <w:lvlText w:val="%1.%2.%3.%4.%5"/>
      <w:lvlJc w:val="left"/>
      <w:pPr>
        <w:ind w:left="1352" w:hanging="1135"/>
        <w:jc w:val="left"/>
      </w:pPr>
      <w:rPr>
        <w:rFonts w:hint="default" w:ascii="Arial" w:hAnsi="Arial" w:eastAsia="Arial" w:cs="Arial"/>
        <w:b/>
        <w:bCs/>
        <w:spacing w:val="-1"/>
        <w:w w:val="100"/>
        <w:sz w:val="20"/>
        <w:szCs w:val="20"/>
        <w:lang w:val="es-ES" w:eastAsia="es-ES" w:bidi="es-ES"/>
      </w:rPr>
    </w:lvl>
    <w:lvl w:ilvl="5">
      <w:start w:val="0"/>
      <w:numFmt w:val="bullet"/>
      <w:lvlText w:val="•"/>
      <w:lvlJc w:val="left"/>
      <w:pPr>
        <w:ind w:left="3818" w:hanging="1135"/>
      </w:pPr>
      <w:rPr>
        <w:rFonts w:hint="default"/>
        <w:lang w:val="es-ES" w:eastAsia="es-ES" w:bidi="es-ES"/>
      </w:rPr>
    </w:lvl>
    <w:lvl w:ilvl="6">
      <w:start w:val="0"/>
      <w:numFmt w:val="bullet"/>
      <w:lvlText w:val="•"/>
      <w:lvlJc w:val="left"/>
      <w:pPr>
        <w:ind w:left="5048" w:hanging="1135"/>
      </w:pPr>
      <w:rPr>
        <w:rFonts w:hint="default"/>
        <w:lang w:val="es-ES" w:eastAsia="es-ES" w:bidi="es-ES"/>
      </w:rPr>
    </w:lvl>
    <w:lvl w:ilvl="7">
      <w:start w:val="0"/>
      <w:numFmt w:val="bullet"/>
      <w:lvlText w:val="•"/>
      <w:lvlJc w:val="left"/>
      <w:pPr>
        <w:ind w:left="6277" w:hanging="1135"/>
      </w:pPr>
      <w:rPr>
        <w:rFonts w:hint="default"/>
        <w:lang w:val="es-ES" w:eastAsia="es-ES" w:bidi="es-ES"/>
      </w:rPr>
    </w:lvl>
    <w:lvl w:ilvl="8">
      <w:start w:val="0"/>
      <w:numFmt w:val="bullet"/>
      <w:lvlText w:val="•"/>
      <w:lvlJc w:val="left"/>
      <w:pPr>
        <w:ind w:left="7507" w:hanging="1135"/>
      </w:pPr>
      <w:rPr>
        <w:rFonts w:hint="default"/>
        <w:lang w:val="es-ES" w:eastAsia="es-ES" w:bidi="es-ES"/>
      </w:rPr>
    </w:lvl>
  </w:abstractNum>
  <w:abstractNum w:abstractNumId="15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876" w:hanging="98"/>
      </w:pPr>
      <w:rPr>
        <w:rFonts w:hint="default" w:ascii="Arial" w:hAnsi="Arial" w:eastAsia="Arial" w:cs="Arial"/>
        <w:w w:val="99"/>
        <w:sz w:val="16"/>
        <w:szCs w:val="16"/>
        <w:lang w:val="es-ES" w:eastAsia="es-ES" w:bidi="es-ES"/>
      </w:rPr>
    </w:lvl>
    <w:lvl w:ilvl="2">
      <w:start w:val="0"/>
      <w:numFmt w:val="bullet"/>
      <w:lvlText w:val="•"/>
      <w:lvlJc w:val="left"/>
      <w:pPr>
        <w:ind w:left="2778" w:hanging="98"/>
      </w:pPr>
      <w:rPr>
        <w:rFonts w:hint="default"/>
        <w:lang w:val="es-ES" w:eastAsia="es-ES" w:bidi="es-ES"/>
      </w:rPr>
    </w:lvl>
    <w:lvl w:ilvl="3">
      <w:start w:val="0"/>
      <w:numFmt w:val="bullet"/>
      <w:lvlText w:val="•"/>
      <w:lvlJc w:val="left"/>
      <w:pPr>
        <w:ind w:left="3676" w:hanging="98"/>
      </w:pPr>
      <w:rPr>
        <w:rFonts w:hint="default"/>
        <w:lang w:val="es-ES" w:eastAsia="es-ES" w:bidi="es-ES"/>
      </w:rPr>
    </w:lvl>
    <w:lvl w:ilvl="4">
      <w:start w:val="0"/>
      <w:numFmt w:val="bullet"/>
      <w:lvlText w:val="•"/>
      <w:lvlJc w:val="left"/>
      <w:pPr>
        <w:ind w:left="4575" w:hanging="98"/>
      </w:pPr>
      <w:rPr>
        <w:rFonts w:hint="default"/>
        <w:lang w:val="es-ES" w:eastAsia="es-ES" w:bidi="es-ES"/>
      </w:rPr>
    </w:lvl>
    <w:lvl w:ilvl="5">
      <w:start w:val="0"/>
      <w:numFmt w:val="bullet"/>
      <w:lvlText w:val="•"/>
      <w:lvlJc w:val="left"/>
      <w:pPr>
        <w:ind w:left="5473" w:hanging="98"/>
      </w:pPr>
      <w:rPr>
        <w:rFonts w:hint="default"/>
        <w:lang w:val="es-ES" w:eastAsia="es-ES" w:bidi="es-ES"/>
      </w:rPr>
    </w:lvl>
    <w:lvl w:ilvl="6">
      <w:start w:val="0"/>
      <w:numFmt w:val="bullet"/>
      <w:lvlText w:val="•"/>
      <w:lvlJc w:val="left"/>
      <w:pPr>
        <w:ind w:left="6372" w:hanging="98"/>
      </w:pPr>
      <w:rPr>
        <w:rFonts w:hint="default"/>
        <w:lang w:val="es-ES" w:eastAsia="es-ES" w:bidi="es-ES"/>
      </w:rPr>
    </w:lvl>
    <w:lvl w:ilvl="7">
      <w:start w:val="0"/>
      <w:numFmt w:val="bullet"/>
      <w:lvlText w:val="•"/>
      <w:lvlJc w:val="left"/>
      <w:pPr>
        <w:ind w:left="7270" w:hanging="98"/>
      </w:pPr>
      <w:rPr>
        <w:rFonts w:hint="default"/>
        <w:lang w:val="es-ES" w:eastAsia="es-ES" w:bidi="es-ES"/>
      </w:rPr>
    </w:lvl>
    <w:lvl w:ilvl="8">
      <w:start w:val="0"/>
      <w:numFmt w:val="bullet"/>
      <w:lvlText w:val="•"/>
      <w:lvlJc w:val="left"/>
      <w:pPr>
        <w:ind w:left="8169" w:hanging="98"/>
      </w:pPr>
      <w:rPr>
        <w:rFonts w:hint="default"/>
        <w:lang w:val="es-ES" w:eastAsia="es-ES" w:bidi="es-ES"/>
      </w:rPr>
    </w:lvl>
  </w:abstractNum>
  <w:abstractNum w:abstractNumId="15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5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5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5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50">
    <w:multiLevelType w:val="hybridMultilevel"/>
    <w:lvl w:ilvl="0">
      <w:start w:val="2"/>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672" w:hanging="454"/>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2821" w:hanging="568"/>
      </w:pPr>
      <w:rPr>
        <w:rFonts w:hint="default"/>
        <w:lang w:val="es-ES" w:eastAsia="es-ES" w:bidi="es-ES"/>
      </w:rPr>
    </w:lvl>
    <w:lvl w:ilvl="4">
      <w:start w:val="0"/>
      <w:numFmt w:val="bullet"/>
      <w:lvlText w:val="•"/>
      <w:lvlJc w:val="left"/>
      <w:pPr>
        <w:ind w:left="3842" w:hanging="568"/>
      </w:pPr>
      <w:rPr>
        <w:rFonts w:hint="default"/>
        <w:lang w:val="es-ES" w:eastAsia="es-ES" w:bidi="es-ES"/>
      </w:rPr>
    </w:lvl>
    <w:lvl w:ilvl="5">
      <w:start w:val="0"/>
      <w:numFmt w:val="bullet"/>
      <w:lvlText w:val="•"/>
      <w:lvlJc w:val="left"/>
      <w:pPr>
        <w:ind w:left="4862" w:hanging="568"/>
      </w:pPr>
      <w:rPr>
        <w:rFonts w:hint="default"/>
        <w:lang w:val="es-ES" w:eastAsia="es-ES" w:bidi="es-ES"/>
      </w:rPr>
    </w:lvl>
    <w:lvl w:ilvl="6">
      <w:start w:val="0"/>
      <w:numFmt w:val="bullet"/>
      <w:lvlText w:val="•"/>
      <w:lvlJc w:val="left"/>
      <w:pPr>
        <w:ind w:left="5883" w:hanging="568"/>
      </w:pPr>
      <w:rPr>
        <w:rFonts w:hint="default"/>
        <w:lang w:val="es-ES" w:eastAsia="es-ES" w:bidi="es-ES"/>
      </w:rPr>
    </w:lvl>
    <w:lvl w:ilvl="7">
      <w:start w:val="0"/>
      <w:numFmt w:val="bullet"/>
      <w:lvlText w:val="•"/>
      <w:lvlJc w:val="left"/>
      <w:pPr>
        <w:ind w:left="6904" w:hanging="568"/>
      </w:pPr>
      <w:rPr>
        <w:rFonts w:hint="default"/>
        <w:lang w:val="es-ES" w:eastAsia="es-ES" w:bidi="es-ES"/>
      </w:rPr>
    </w:lvl>
    <w:lvl w:ilvl="8">
      <w:start w:val="0"/>
      <w:numFmt w:val="bullet"/>
      <w:lvlText w:val="•"/>
      <w:lvlJc w:val="left"/>
      <w:pPr>
        <w:ind w:left="7924" w:hanging="568"/>
      </w:pPr>
      <w:rPr>
        <w:rFonts w:hint="default"/>
        <w:lang w:val="es-ES" w:eastAsia="es-ES" w:bidi="es-ES"/>
      </w:rPr>
    </w:lvl>
  </w:abstractNum>
  <w:abstractNum w:abstractNumId="14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48">
    <w:multiLevelType w:val="hybridMultilevel"/>
    <w:lvl w:ilvl="0">
      <w:start w:val="1"/>
      <w:numFmt w:val="decimal"/>
      <w:lvlText w:val="%1"/>
      <w:lvlJc w:val="left"/>
      <w:pPr>
        <w:ind w:left="786" w:hanging="568"/>
        <w:jc w:val="left"/>
      </w:pPr>
      <w:rPr>
        <w:rFonts w:hint="default" w:ascii="Arial" w:hAnsi="Arial" w:eastAsia="Arial" w:cs="Arial"/>
        <w:b/>
        <w:bCs/>
        <w:w w:val="99"/>
        <w:sz w:val="28"/>
        <w:szCs w:val="28"/>
        <w:lang w:val="es-ES" w:eastAsia="es-ES" w:bidi="es-ES"/>
      </w:rPr>
    </w:lvl>
    <w:lvl w:ilvl="1">
      <w:start w:val="1"/>
      <w:numFmt w:val="decimal"/>
      <w:lvlText w:val="%1.%2"/>
      <w:lvlJc w:val="left"/>
      <w:pPr>
        <w:ind w:left="672" w:hanging="454"/>
        <w:jc w:val="left"/>
      </w:pPr>
      <w:rPr>
        <w:rFonts w:hint="default" w:ascii="Arial" w:hAnsi="Arial" w:eastAsia="Arial" w:cs="Arial"/>
        <w:b/>
        <w:bCs/>
        <w:w w:val="99"/>
        <w:sz w:val="24"/>
        <w:szCs w:val="24"/>
        <w:lang w:val="es-ES" w:eastAsia="es-ES" w:bidi="es-ES"/>
      </w:rPr>
    </w:lvl>
    <w:lvl w:ilvl="2">
      <w:start w:val="0"/>
      <w:numFmt w:val="bullet"/>
      <w:lvlText w:val="•"/>
      <w:lvlJc w:val="left"/>
      <w:pPr>
        <w:ind w:left="1800" w:hanging="454"/>
      </w:pPr>
      <w:rPr>
        <w:rFonts w:hint="default"/>
        <w:lang w:val="es-ES" w:eastAsia="es-ES" w:bidi="es-ES"/>
      </w:rPr>
    </w:lvl>
    <w:lvl w:ilvl="3">
      <w:start w:val="0"/>
      <w:numFmt w:val="bullet"/>
      <w:lvlText w:val="•"/>
      <w:lvlJc w:val="left"/>
      <w:pPr>
        <w:ind w:left="2821" w:hanging="454"/>
      </w:pPr>
      <w:rPr>
        <w:rFonts w:hint="default"/>
        <w:lang w:val="es-ES" w:eastAsia="es-ES" w:bidi="es-ES"/>
      </w:rPr>
    </w:lvl>
    <w:lvl w:ilvl="4">
      <w:start w:val="0"/>
      <w:numFmt w:val="bullet"/>
      <w:lvlText w:val="•"/>
      <w:lvlJc w:val="left"/>
      <w:pPr>
        <w:ind w:left="3842" w:hanging="454"/>
      </w:pPr>
      <w:rPr>
        <w:rFonts w:hint="default"/>
        <w:lang w:val="es-ES" w:eastAsia="es-ES" w:bidi="es-ES"/>
      </w:rPr>
    </w:lvl>
    <w:lvl w:ilvl="5">
      <w:start w:val="0"/>
      <w:numFmt w:val="bullet"/>
      <w:lvlText w:val="•"/>
      <w:lvlJc w:val="left"/>
      <w:pPr>
        <w:ind w:left="4862" w:hanging="454"/>
      </w:pPr>
      <w:rPr>
        <w:rFonts w:hint="default"/>
        <w:lang w:val="es-ES" w:eastAsia="es-ES" w:bidi="es-ES"/>
      </w:rPr>
    </w:lvl>
    <w:lvl w:ilvl="6">
      <w:start w:val="0"/>
      <w:numFmt w:val="bullet"/>
      <w:lvlText w:val="•"/>
      <w:lvlJc w:val="left"/>
      <w:pPr>
        <w:ind w:left="5883" w:hanging="454"/>
      </w:pPr>
      <w:rPr>
        <w:rFonts w:hint="default"/>
        <w:lang w:val="es-ES" w:eastAsia="es-ES" w:bidi="es-ES"/>
      </w:rPr>
    </w:lvl>
    <w:lvl w:ilvl="7">
      <w:start w:val="0"/>
      <w:numFmt w:val="bullet"/>
      <w:lvlText w:val="•"/>
      <w:lvlJc w:val="left"/>
      <w:pPr>
        <w:ind w:left="6904" w:hanging="454"/>
      </w:pPr>
      <w:rPr>
        <w:rFonts w:hint="default"/>
        <w:lang w:val="es-ES" w:eastAsia="es-ES" w:bidi="es-ES"/>
      </w:rPr>
    </w:lvl>
    <w:lvl w:ilvl="8">
      <w:start w:val="0"/>
      <w:numFmt w:val="bullet"/>
      <w:lvlText w:val="•"/>
      <w:lvlJc w:val="left"/>
      <w:pPr>
        <w:ind w:left="7924" w:hanging="454"/>
      </w:pPr>
      <w:rPr>
        <w:rFonts w:hint="default"/>
        <w:lang w:val="es-ES" w:eastAsia="es-ES" w:bidi="es-ES"/>
      </w:rPr>
    </w:lvl>
  </w:abstractNum>
  <w:abstractNum w:abstractNumId="147">
    <w:multiLevelType w:val="hybridMultilevel"/>
    <w:lvl w:ilvl="0">
      <w:start w:val="1"/>
      <w:numFmt w:val="decimal"/>
      <w:lvlText w:val="%1"/>
      <w:lvlJc w:val="left"/>
      <w:pPr>
        <w:ind w:left="578" w:hanging="360"/>
        <w:jc w:val="left"/>
      </w:pPr>
      <w:rPr>
        <w:rFonts w:hint="default" w:ascii="Arial" w:hAnsi="Arial" w:eastAsia="Arial" w:cs="Arial"/>
        <w:w w:val="100"/>
        <w:sz w:val="20"/>
        <w:szCs w:val="20"/>
        <w:lang w:val="es-ES" w:eastAsia="es-ES" w:bidi="es-ES"/>
      </w:rPr>
    </w:lvl>
    <w:lvl w:ilvl="1">
      <w:start w:val="1"/>
      <w:numFmt w:val="lowerLetter"/>
      <w:lvlText w:val="%2)"/>
      <w:lvlJc w:val="left"/>
      <w:pPr>
        <w:ind w:left="1069" w:hanging="426"/>
        <w:jc w:val="left"/>
      </w:pPr>
      <w:rPr>
        <w:rFonts w:hint="default" w:ascii="Arial" w:hAnsi="Arial" w:eastAsia="Arial" w:cs="Arial"/>
        <w:w w:val="100"/>
        <w:position w:val="1"/>
        <w:sz w:val="20"/>
        <w:szCs w:val="20"/>
        <w:lang w:val="es-ES" w:eastAsia="es-ES" w:bidi="es-ES"/>
      </w:rPr>
    </w:lvl>
    <w:lvl w:ilvl="2">
      <w:start w:val="1"/>
      <w:numFmt w:val="lowerRoman"/>
      <w:lvlText w:val="%3)"/>
      <w:lvlJc w:val="left"/>
      <w:pPr>
        <w:ind w:left="1296" w:hanging="285"/>
        <w:jc w:val="left"/>
      </w:pPr>
      <w:rPr>
        <w:rFonts w:hint="default" w:ascii="Arial" w:hAnsi="Arial" w:eastAsia="Arial" w:cs="Arial"/>
        <w:w w:val="100"/>
        <w:sz w:val="20"/>
        <w:szCs w:val="20"/>
        <w:lang w:val="es-ES" w:eastAsia="es-ES" w:bidi="es-ES"/>
      </w:rPr>
    </w:lvl>
    <w:lvl w:ilvl="3">
      <w:start w:val="0"/>
      <w:numFmt w:val="bullet"/>
      <w:lvlText w:val=""/>
      <w:lvlJc w:val="left"/>
      <w:pPr>
        <w:ind w:left="1658" w:hanging="418"/>
      </w:pPr>
      <w:rPr>
        <w:rFonts w:hint="default" w:ascii="Symbol" w:hAnsi="Symbol" w:eastAsia="Symbol" w:cs="Symbol"/>
        <w:w w:val="100"/>
        <w:sz w:val="20"/>
        <w:szCs w:val="20"/>
        <w:lang w:val="es-ES" w:eastAsia="es-ES" w:bidi="es-ES"/>
      </w:rPr>
    </w:lvl>
    <w:lvl w:ilvl="4">
      <w:start w:val="0"/>
      <w:numFmt w:val="bullet"/>
      <w:lvlText w:val="•"/>
      <w:lvlJc w:val="left"/>
      <w:pPr>
        <w:ind w:left="2846" w:hanging="418"/>
      </w:pPr>
      <w:rPr>
        <w:rFonts w:hint="default"/>
        <w:lang w:val="es-ES" w:eastAsia="es-ES" w:bidi="es-ES"/>
      </w:rPr>
    </w:lvl>
    <w:lvl w:ilvl="5">
      <w:start w:val="0"/>
      <w:numFmt w:val="bullet"/>
      <w:lvlText w:val="•"/>
      <w:lvlJc w:val="left"/>
      <w:pPr>
        <w:ind w:left="4033" w:hanging="418"/>
      </w:pPr>
      <w:rPr>
        <w:rFonts w:hint="default"/>
        <w:lang w:val="es-ES" w:eastAsia="es-ES" w:bidi="es-ES"/>
      </w:rPr>
    </w:lvl>
    <w:lvl w:ilvl="6">
      <w:start w:val="0"/>
      <w:numFmt w:val="bullet"/>
      <w:lvlText w:val="•"/>
      <w:lvlJc w:val="left"/>
      <w:pPr>
        <w:ind w:left="5219" w:hanging="418"/>
      </w:pPr>
      <w:rPr>
        <w:rFonts w:hint="default"/>
        <w:lang w:val="es-ES" w:eastAsia="es-ES" w:bidi="es-ES"/>
      </w:rPr>
    </w:lvl>
    <w:lvl w:ilvl="7">
      <w:start w:val="0"/>
      <w:numFmt w:val="bullet"/>
      <w:lvlText w:val="•"/>
      <w:lvlJc w:val="left"/>
      <w:pPr>
        <w:ind w:left="6406" w:hanging="418"/>
      </w:pPr>
      <w:rPr>
        <w:rFonts w:hint="default"/>
        <w:lang w:val="es-ES" w:eastAsia="es-ES" w:bidi="es-ES"/>
      </w:rPr>
    </w:lvl>
    <w:lvl w:ilvl="8">
      <w:start w:val="0"/>
      <w:numFmt w:val="bullet"/>
      <w:lvlText w:val="•"/>
      <w:lvlJc w:val="left"/>
      <w:pPr>
        <w:ind w:left="7593" w:hanging="418"/>
      </w:pPr>
      <w:rPr>
        <w:rFonts w:hint="default"/>
        <w:lang w:val="es-ES" w:eastAsia="es-ES" w:bidi="es-ES"/>
      </w:rPr>
    </w:lvl>
  </w:abstractNum>
  <w:abstractNum w:abstractNumId="146">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45">
    <w:multiLevelType w:val="hybridMultilevel"/>
    <w:lvl w:ilvl="0">
      <w:start w:val="1"/>
      <w:numFmt w:val="decimal"/>
      <w:lvlText w:val="%1"/>
      <w:lvlJc w:val="left"/>
      <w:pPr>
        <w:ind w:left="575"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44">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43">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42">
    <w:multiLevelType w:val="hybridMultilevel"/>
    <w:lvl w:ilvl="0">
      <w:start w:val="6"/>
      <w:numFmt w:val="decimal"/>
      <w:lvlText w:val="%1"/>
      <w:lvlJc w:val="left"/>
      <w:pPr>
        <w:ind w:left="842" w:hanging="624"/>
        <w:jc w:val="left"/>
      </w:pPr>
      <w:rPr>
        <w:rFonts w:hint="default" w:ascii="Arial" w:hAnsi="Arial" w:eastAsia="Arial" w:cs="Arial"/>
        <w:b/>
        <w:bCs/>
        <w:w w:val="99"/>
        <w:sz w:val="28"/>
        <w:szCs w:val="28"/>
        <w:lang w:val="es-ES" w:eastAsia="es-ES" w:bidi="es-ES"/>
      </w:rPr>
    </w:lvl>
    <w:lvl w:ilvl="1">
      <w:start w:val="1"/>
      <w:numFmt w:val="decimal"/>
      <w:lvlText w:val="%1.%2"/>
      <w:lvlJc w:val="left"/>
      <w:pPr>
        <w:ind w:left="671" w:hanging="454"/>
        <w:jc w:val="left"/>
      </w:pPr>
      <w:rPr>
        <w:rFonts w:hint="default" w:ascii="Arial" w:hAnsi="Arial" w:eastAsia="Arial" w:cs="Arial"/>
        <w:b/>
        <w:bCs/>
        <w:spacing w:val="-14"/>
        <w:w w:val="100"/>
        <w:sz w:val="24"/>
        <w:szCs w:val="24"/>
        <w:lang w:val="es-ES" w:eastAsia="es-ES" w:bidi="es-ES"/>
      </w:rPr>
    </w:lvl>
    <w:lvl w:ilvl="2">
      <w:start w:val="1"/>
      <w:numFmt w:val="decimal"/>
      <w:lvlText w:val="%1.%2.%3"/>
      <w:lvlJc w:val="left"/>
      <w:pPr>
        <w:ind w:left="938" w:hanging="721"/>
        <w:jc w:val="left"/>
      </w:pPr>
      <w:rPr>
        <w:rFonts w:hint="default" w:ascii="Arial" w:hAnsi="Arial" w:eastAsia="Arial" w:cs="Arial"/>
        <w:b/>
        <w:bCs/>
        <w:w w:val="100"/>
        <w:sz w:val="20"/>
        <w:szCs w:val="20"/>
        <w:lang w:val="es-ES" w:eastAsia="es-ES" w:bidi="es-ES"/>
      </w:rPr>
    </w:lvl>
    <w:lvl w:ilvl="3">
      <w:start w:val="0"/>
      <w:numFmt w:val="bullet"/>
      <w:lvlText w:val="•"/>
      <w:lvlJc w:val="left"/>
      <w:pPr>
        <w:ind w:left="2068" w:hanging="721"/>
      </w:pPr>
      <w:rPr>
        <w:rFonts w:hint="default"/>
        <w:lang w:val="es-ES" w:eastAsia="es-ES" w:bidi="es-ES"/>
      </w:rPr>
    </w:lvl>
    <w:lvl w:ilvl="4">
      <w:start w:val="0"/>
      <w:numFmt w:val="bullet"/>
      <w:lvlText w:val="•"/>
      <w:lvlJc w:val="left"/>
      <w:pPr>
        <w:ind w:left="3196" w:hanging="721"/>
      </w:pPr>
      <w:rPr>
        <w:rFonts w:hint="default"/>
        <w:lang w:val="es-ES" w:eastAsia="es-ES" w:bidi="es-ES"/>
      </w:rPr>
    </w:lvl>
    <w:lvl w:ilvl="5">
      <w:start w:val="0"/>
      <w:numFmt w:val="bullet"/>
      <w:lvlText w:val="•"/>
      <w:lvlJc w:val="left"/>
      <w:pPr>
        <w:ind w:left="4324" w:hanging="721"/>
      </w:pPr>
      <w:rPr>
        <w:rFonts w:hint="default"/>
        <w:lang w:val="es-ES" w:eastAsia="es-ES" w:bidi="es-ES"/>
      </w:rPr>
    </w:lvl>
    <w:lvl w:ilvl="6">
      <w:start w:val="0"/>
      <w:numFmt w:val="bullet"/>
      <w:lvlText w:val="•"/>
      <w:lvlJc w:val="left"/>
      <w:pPr>
        <w:ind w:left="5453" w:hanging="721"/>
      </w:pPr>
      <w:rPr>
        <w:rFonts w:hint="default"/>
        <w:lang w:val="es-ES" w:eastAsia="es-ES" w:bidi="es-ES"/>
      </w:rPr>
    </w:lvl>
    <w:lvl w:ilvl="7">
      <w:start w:val="0"/>
      <w:numFmt w:val="bullet"/>
      <w:lvlText w:val="•"/>
      <w:lvlJc w:val="left"/>
      <w:pPr>
        <w:ind w:left="6581" w:hanging="721"/>
      </w:pPr>
      <w:rPr>
        <w:rFonts w:hint="default"/>
        <w:lang w:val="es-ES" w:eastAsia="es-ES" w:bidi="es-ES"/>
      </w:rPr>
    </w:lvl>
    <w:lvl w:ilvl="8">
      <w:start w:val="0"/>
      <w:numFmt w:val="bullet"/>
      <w:lvlText w:val="•"/>
      <w:lvlJc w:val="left"/>
      <w:pPr>
        <w:ind w:left="7709" w:hanging="721"/>
      </w:pPr>
      <w:rPr>
        <w:rFonts w:hint="default"/>
        <w:lang w:val="es-ES" w:eastAsia="es-ES" w:bidi="es-ES"/>
      </w:rPr>
    </w:lvl>
  </w:abstractNum>
  <w:abstractNum w:abstractNumId="141">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1"/>
      <w:numFmt w:val="lowerLetter"/>
      <w:lvlText w:val="%2)"/>
      <w:lvlJc w:val="left"/>
      <w:pPr>
        <w:ind w:left="938" w:hanging="363"/>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42" w:hanging="363"/>
      </w:pPr>
      <w:rPr>
        <w:rFonts w:hint="default"/>
        <w:lang w:val="es-ES" w:eastAsia="es-ES" w:bidi="es-ES"/>
      </w:rPr>
    </w:lvl>
    <w:lvl w:ilvl="3">
      <w:start w:val="0"/>
      <w:numFmt w:val="bullet"/>
      <w:lvlText w:val="•"/>
      <w:lvlJc w:val="left"/>
      <w:pPr>
        <w:ind w:left="2945" w:hanging="363"/>
      </w:pPr>
      <w:rPr>
        <w:rFonts w:hint="default"/>
        <w:lang w:val="es-ES" w:eastAsia="es-ES" w:bidi="es-ES"/>
      </w:rPr>
    </w:lvl>
    <w:lvl w:ilvl="4">
      <w:start w:val="0"/>
      <w:numFmt w:val="bullet"/>
      <w:lvlText w:val="•"/>
      <w:lvlJc w:val="left"/>
      <w:pPr>
        <w:ind w:left="3948" w:hanging="363"/>
      </w:pPr>
      <w:rPr>
        <w:rFonts w:hint="default"/>
        <w:lang w:val="es-ES" w:eastAsia="es-ES" w:bidi="es-ES"/>
      </w:rPr>
    </w:lvl>
    <w:lvl w:ilvl="5">
      <w:start w:val="0"/>
      <w:numFmt w:val="bullet"/>
      <w:lvlText w:val="•"/>
      <w:lvlJc w:val="left"/>
      <w:pPr>
        <w:ind w:left="4951" w:hanging="363"/>
      </w:pPr>
      <w:rPr>
        <w:rFonts w:hint="default"/>
        <w:lang w:val="es-ES" w:eastAsia="es-ES" w:bidi="es-ES"/>
      </w:rPr>
    </w:lvl>
    <w:lvl w:ilvl="6">
      <w:start w:val="0"/>
      <w:numFmt w:val="bullet"/>
      <w:lvlText w:val="•"/>
      <w:lvlJc w:val="left"/>
      <w:pPr>
        <w:ind w:left="5954" w:hanging="363"/>
      </w:pPr>
      <w:rPr>
        <w:rFonts w:hint="default"/>
        <w:lang w:val="es-ES" w:eastAsia="es-ES" w:bidi="es-ES"/>
      </w:rPr>
    </w:lvl>
    <w:lvl w:ilvl="7">
      <w:start w:val="0"/>
      <w:numFmt w:val="bullet"/>
      <w:lvlText w:val="•"/>
      <w:lvlJc w:val="left"/>
      <w:pPr>
        <w:ind w:left="6957" w:hanging="363"/>
      </w:pPr>
      <w:rPr>
        <w:rFonts w:hint="default"/>
        <w:lang w:val="es-ES" w:eastAsia="es-ES" w:bidi="es-ES"/>
      </w:rPr>
    </w:lvl>
    <w:lvl w:ilvl="8">
      <w:start w:val="0"/>
      <w:numFmt w:val="bullet"/>
      <w:lvlText w:val="•"/>
      <w:lvlJc w:val="left"/>
      <w:pPr>
        <w:ind w:left="7960" w:hanging="363"/>
      </w:pPr>
      <w:rPr>
        <w:rFonts w:hint="default"/>
        <w:lang w:val="es-ES" w:eastAsia="es-ES" w:bidi="es-ES"/>
      </w:rPr>
    </w:lvl>
  </w:abstractNum>
  <w:abstractNum w:abstractNumId="140">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1"/>
      <w:numFmt w:val="lowerLetter"/>
      <w:lvlText w:val="%2)"/>
      <w:lvlJc w:val="left"/>
      <w:pPr>
        <w:ind w:left="938" w:hanging="363"/>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42" w:hanging="363"/>
      </w:pPr>
      <w:rPr>
        <w:rFonts w:hint="default"/>
        <w:lang w:val="es-ES" w:eastAsia="es-ES" w:bidi="es-ES"/>
      </w:rPr>
    </w:lvl>
    <w:lvl w:ilvl="3">
      <w:start w:val="0"/>
      <w:numFmt w:val="bullet"/>
      <w:lvlText w:val="•"/>
      <w:lvlJc w:val="left"/>
      <w:pPr>
        <w:ind w:left="2945" w:hanging="363"/>
      </w:pPr>
      <w:rPr>
        <w:rFonts w:hint="default"/>
        <w:lang w:val="es-ES" w:eastAsia="es-ES" w:bidi="es-ES"/>
      </w:rPr>
    </w:lvl>
    <w:lvl w:ilvl="4">
      <w:start w:val="0"/>
      <w:numFmt w:val="bullet"/>
      <w:lvlText w:val="•"/>
      <w:lvlJc w:val="left"/>
      <w:pPr>
        <w:ind w:left="3948" w:hanging="363"/>
      </w:pPr>
      <w:rPr>
        <w:rFonts w:hint="default"/>
        <w:lang w:val="es-ES" w:eastAsia="es-ES" w:bidi="es-ES"/>
      </w:rPr>
    </w:lvl>
    <w:lvl w:ilvl="5">
      <w:start w:val="0"/>
      <w:numFmt w:val="bullet"/>
      <w:lvlText w:val="•"/>
      <w:lvlJc w:val="left"/>
      <w:pPr>
        <w:ind w:left="4951" w:hanging="363"/>
      </w:pPr>
      <w:rPr>
        <w:rFonts w:hint="default"/>
        <w:lang w:val="es-ES" w:eastAsia="es-ES" w:bidi="es-ES"/>
      </w:rPr>
    </w:lvl>
    <w:lvl w:ilvl="6">
      <w:start w:val="0"/>
      <w:numFmt w:val="bullet"/>
      <w:lvlText w:val="•"/>
      <w:lvlJc w:val="left"/>
      <w:pPr>
        <w:ind w:left="5954" w:hanging="363"/>
      </w:pPr>
      <w:rPr>
        <w:rFonts w:hint="default"/>
        <w:lang w:val="es-ES" w:eastAsia="es-ES" w:bidi="es-ES"/>
      </w:rPr>
    </w:lvl>
    <w:lvl w:ilvl="7">
      <w:start w:val="0"/>
      <w:numFmt w:val="bullet"/>
      <w:lvlText w:val="•"/>
      <w:lvlJc w:val="left"/>
      <w:pPr>
        <w:ind w:left="6957" w:hanging="363"/>
      </w:pPr>
      <w:rPr>
        <w:rFonts w:hint="default"/>
        <w:lang w:val="es-ES" w:eastAsia="es-ES" w:bidi="es-ES"/>
      </w:rPr>
    </w:lvl>
    <w:lvl w:ilvl="8">
      <w:start w:val="0"/>
      <w:numFmt w:val="bullet"/>
      <w:lvlText w:val="•"/>
      <w:lvlJc w:val="left"/>
      <w:pPr>
        <w:ind w:left="7960" w:hanging="363"/>
      </w:pPr>
      <w:rPr>
        <w:rFonts w:hint="default"/>
        <w:lang w:val="es-ES" w:eastAsia="es-ES" w:bidi="es-ES"/>
      </w:rPr>
    </w:lvl>
  </w:abstractNum>
  <w:abstractNum w:abstractNumId="139">
    <w:multiLevelType w:val="hybridMultilevel"/>
    <w:lvl w:ilvl="0">
      <w:start w:val="5"/>
      <w:numFmt w:val="decimal"/>
      <w:lvlText w:val="%1"/>
      <w:lvlJc w:val="left"/>
      <w:pPr>
        <w:ind w:left="842" w:hanging="624"/>
        <w:jc w:val="left"/>
      </w:pPr>
      <w:rPr>
        <w:rFonts w:hint="default" w:ascii="Arial" w:hAnsi="Arial" w:eastAsia="Arial" w:cs="Arial"/>
        <w:b/>
        <w:bCs/>
        <w:w w:val="99"/>
        <w:sz w:val="28"/>
        <w:szCs w:val="28"/>
        <w:lang w:val="es-ES" w:eastAsia="es-ES" w:bidi="es-ES"/>
      </w:rPr>
    </w:lvl>
    <w:lvl w:ilvl="1">
      <w:start w:val="1"/>
      <w:numFmt w:val="decimal"/>
      <w:lvlText w:val="%1.%2"/>
      <w:lvlJc w:val="left"/>
      <w:pPr>
        <w:ind w:left="671" w:hanging="454"/>
        <w:jc w:val="left"/>
      </w:pPr>
      <w:rPr>
        <w:rFonts w:hint="default" w:ascii="Arial" w:hAnsi="Arial" w:eastAsia="Arial" w:cs="Arial"/>
        <w:b/>
        <w:bCs/>
        <w:spacing w:val="-14"/>
        <w:w w:val="100"/>
        <w:sz w:val="24"/>
        <w:szCs w:val="24"/>
        <w:lang w:val="es-ES" w:eastAsia="es-ES" w:bidi="es-ES"/>
      </w:rPr>
    </w:lvl>
    <w:lvl w:ilvl="2">
      <w:start w:val="0"/>
      <w:numFmt w:val="bullet"/>
      <w:lvlText w:val="•"/>
      <w:lvlJc w:val="left"/>
      <w:pPr>
        <w:ind w:left="1854" w:hanging="454"/>
      </w:pPr>
      <w:rPr>
        <w:rFonts w:hint="default"/>
        <w:lang w:val="es-ES" w:eastAsia="es-ES" w:bidi="es-ES"/>
      </w:rPr>
    </w:lvl>
    <w:lvl w:ilvl="3">
      <w:start w:val="0"/>
      <w:numFmt w:val="bullet"/>
      <w:lvlText w:val="•"/>
      <w:lvlJc w:val="left"/>
      <w:pPr>
        <w:ind w:left="2868" w:hanging="454"/>
      </w:pPr>
      <w:rPr>
        <w:rFonts w:hint="default"/>
        <w:lang w:val="es-ES" w:eastAsia="es-ES" w:bidi="es-ES"/>
      </w:rPr>
    </w:lvl>
    <w:lvl w:ilvl="4">
      <w:start w:val="0"/>
      <w:numFmt w:val="bullet"/>
      <w:lvlText w:val="•"/>
      <w:lvlJc w:val="left"/>
      <w:pPr>
        <w:ind w:left="3882" w:hanging="454"/>
      </w:pPr>
      <w:rPr>
        <w:rFonts w:hint="default"/>
        <w:lang w:val="es-ES" w:eastAsia="es-ES" w:bidi="es-ES"/>
      </w:rPr>
    </w:lvl>
    <w:lvl w:ilvl="5">
      <w:start w:val="0"/>
      <w:numFmt w:val="bullet"/>
      <w:lvlText w:val="•"/>
      <w:lvlJc w:val="left"/>
      <w:pPr>
        <w:ind w:left="4896" w:hanging="454"/>
      </w:pPr>
      <w:rPr>
        <w:rFonts w:hint="default"/>
        <w:lang w:val="es-ES" w:eastAsia="es-ES" w:bidi="es-ES"/>
      </w:rPr>
    </w:lvl>
    <w:lvl w:ilvl="6">
      <w:start w:val="0"/>
      <w:numFmt w:val="bullet"/>
      <w:lvlText w:val="•"/>
      <w:lvlJc w:val="left"/>
      <w:pPr>
        <w:ind w:left="5910" w:hanging="454"/>
      </w:pPr>
      <w:rPr>
        <w:rFonts w:hint="default"/>
        <w:lang w:val="es-ES" w:eastAsia="es-ES" w:bidi="es-ES"/>
      </w:rPr>
    </w:lvl>
    <w:lvl w:ilvl="7">
      <w:start w:val="0"/>
      <w:numFmt w:val="bullet"/>
      <w:lvlText w:val="•"/>
      <w:lvlJc w:val="left"/>
      <w:pPr>
        <w:ind w:left="6924" w:hanging="454"/>
      </w:pPr>
      <w:rPr>
        <w:rFonts w:hint="default"/>
        <w:lang w:val="es-ES" w:eastAsia="es-ES" w:bidi="es-ES"/>
      </w:rPr>
    </w:lvl>
    <w:lvl w:ilvl="8">
      <w:start w:val="0"/>
      <w:numFmt w:val="bullet"/>
      <w:lvlText w:val="•"/>
      <w:lvlJc w:val="left"/>
      <w:pPr>
        <w:ind w:left="7938" w:hanging="454"/>
      </w:pPr>
      <w:rPr>
        <w:rFonts w:hint="default"/>
        <w:lang w:val="es-ES" w:eastAsia="es-ES" w:bidi="es-ES"/>
      </w:rPr>
    </w:lvl>
  </w:abstractNum>
  <w:abstractNum w:abstractNumId="138">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37">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36">
    <w:multiLevelType w:val="hybridMultilevel"/>
    <w:lvl w:ilvl="0">
      <w:start w:val="1"/>
      <w:numFmt w:val="decimal"/>
      <w:lvlText w:val="%1"/>
      <w:lvlJc w:val="left"/>
      <w:pPr>
        <w:ind w:left="575" w:hanging="361"/>
        <w:jc w:val="left"/>
      </w:pPr>
      <w:rPr>
        <w:rFonts w:hint="default" w:ascii="Arial" w:hAnsi="Arial" w:eastAsia="Arial" w:cs="Arial"/>
        <w:w w:val="100"/>
        <w:sz w:val="20"/>
        <w:szCs w:val="20"/>
        <w:lang w:val="es-ES" w:eastAsia="es-ES" w:bidi="es-ES"/>
      </w:rPr>
    </w:lvl>
    <w:lvl w:ilvl="1">
      <w:start w:val="1"/>
      <w:numFmt w:val="lowerLetter"/>
      <w:lvlText w:val="%2)"/>
      <w:lvlJc w:val="left"/>
      <w:pPr>
        <w:ind w:left="938" w:hanging="363"/>
        <w:jc w:val="left"/>
      </w:pPr>
      <w:rPr>
        <w:rFonts w:hint="default" w:ascii="Arial" w:hAnsi="Arial" w:eastAsia="Arial" w:cs="Arial"/>
        <w:spacing w:val="-1"/>
        <w:w w:val="100"/>
        <w:position w:val="1"/>
        <w:sz w:val="20"/>
        <w:szCs w:val="20"/>
        <w:lang w:val="es-ES" w:eastAsia="es-ES" w:bidi="es-ES"/>
      </w:rPr>
    </w:lvl>
    <w:lvl w:ilvl="2">
      <w:start w:val="0"/>
      <w:numFmt w:val="bullet"/>
      <w:lvlText w:val="•"/>
      <w:lvlJc w:val="left"/>
      <w:pPr>
        <w:ind w:left="1942" w:hanging="363"/>
      </w:pPr>
      <w:rPr>
        <w:rFonts w:hint="default"/>
        <w:lang w:val="es-ES" w:eastAsia="es-ES" w:bidi="es-ES"/>
      </w:rPr>
    </w:lvl>
    <w:lvl w:ilvl="3">
      <w:start w:val="0"/>
      <w:numFmt w:val="bullet"/>
      <w:lvlText w:val="•"/>
      <w:lvlJc w:val="left"/>
      <w:pPr>
        <w:ind w:left="2945" w:hanging="363"/>
      </w:pPr>
      <w:rPr>
        <w:rFonts w:hint="default"/>
        <w:lang w:val="es-ES" w:eastAsia="es-ES" w:bidi="es-ES"/>
      </w:rPr>
    </w:lvl>
    <w:lvl w:ilvl="4">
      <w:start w:val="0"/>
      <w:numFmt w:val="bullet"/>
      <w:lvlText w:val="•"/>
      <w:lvlJc w:val="left"/>
      <w:pPr>
        <w:ind w:left="3948" w:hanging="363"/>
      </w:pPr>
      <w:rPr>
        <w:rFonts w:hint="default"/>
        <w:lang w:val="es-ES" w:eastAsia="es-ES" w:bidi="es-ES"/>
      </w:rPr>
    </w:lvl>
    <w:lvl w:ilvl="5">
      <w:start w:val="0"/>
      <w:numFmt w:val="bullet"/>
      <w:lvlText w:val="•"/>
      <w:lvlJc w:val="left"/>
      <w:pPr>
        <w:ind w:left="4951" w:hanging="363"/>
      </w:pPr>
      <w:rPr>
        <w:rFonts w:hint="default"/>
        <w:lang w:val="es-ES" w:eastAsia="es-ES" w:bidi="es-ES"/>
      </w:rPr>
    </w:lvl>
    <w:lvl w:ilvl="6">
      <w:start w:val="0"/>
      <w:numFmt w:val="bullet"/>
      <w:lvlText w:val="•"/>
      <w:lvlJc w:val="left"/>
      <w:pPr>
        <w:ind w:left="5954" w:hanging="363"/>
      </w:pPr>
      <w:rPr>
        <w:rFonts w:hint="default"/>
        <w:lang w:val="es-ES" w:eastAsia="es-ES" w:bidi="es-ES"/>
      </w:rPr>
    </w:lvl>
    <w:lvl w:ilvl="7">
      <w:start w:val="0"/>
      <w:numFmt w:val="bullet"/>
      <w:lvlText w:val="•"/>
      <w:lvlJc w:val="left"/>
      <w:pPr>
        <w:ind w:left="6957" w:hanging="363"/>
      </w:pPr>
      <w:rPr>
        <w:rFonts w:hint="default"/>
        <w:lang w:val="es-ES" w:eastAsia="es-ES" w:bidi="es-ES"/>
      </w:rPr>
    </w:lvl>
    <w:lvl w:ilvl="8">
      <w:start w:val="0"/>
      <w:numFmt w:val="bullet"/>
      <w:lvlText w:val="•"/>
      <w:lvlJc w:val="left"/>
      <w:pPr>
        <w:ind w:left="7960" w:hanging="363"/>
      </w:pPr>
      <w:rPr>
        <w:rFonts w:hint="default"/>
        <w:lang w:val="es-ES" w:eastAsia="es-ES" w:bidi="es-ES"/>
      </w:rPr>
    </w:lvl>
  </w:abstractNum>
  <w:abstractNum w:abstractNumId="135">
    <w:multiLevelType w:val="hybridMultilevel"/>
    <w:lvl w:ilvl="0">
      <w:start w:val="0"/>
      <w:numFmt w:val="bullet"/>
      <w:lvlText w:val="-"/>
      <w:lvlJc w:val="left"/>
      <w:pPr>
        <w:ind w:left="2627" w:hanging="265"/>
      </w:pPr>
      <w:rPr>
        <w:rFonts w:hint="default" w:ascii="Arial" w:hAnsi="Arial" w:eastAsia="Arial" w:cs="Arial"/>
        <w:w w:val="99"/>
        <w:sz w:val="16"/>
        <w:szCs w:val="16"/>
        <w:lang w:val="es-ES" w:eastAsia="es-ES" w:bidi="es-ES"/>
      </w:rPr>
    </w:lvl>
    <w:lvl w:ilvl="1">
      <w:start w:val="0"/>
      <w:numFmt w:val="bullet"/>
      <w:lvlText w:val="•"/>
      <w:lvlJc w:val="left"/>
      <w:pPr>
        <w:ind w:left="3354" w:hanging="265"/>
      </w:pPr>
      <w:rPr>
        <w:rFonts w:hint="default"/>
        <w:lang w:val="es-ES" w:eastAsia="es-ES" w:bidi="es-ES"/>
      </w:rPr>
    </w:lvl>
    <w:lvl w:ilvl="2">
      <w:start w:val="0"/>
      <w:numFmt w:val="bullet"/>
      <w:lvlText w:val="•"/>
      <w:lvlJc w:val="left"/>
      <w:pPr>
        <w:ind w:left="4089" w:hanging="265"/>
      </w:pPr>
      <w:rPr>
        <w:rFonts w:hint="default"/>
        <w:lang w:val="es-ES" w:eastAsia="es-ES" w:bidi="es-ES"/>
      </w:rPr>
    </w:lvl>
    <w:lvl w:ilvl="3">
      <w:start w:val="0"/>
      <w:numFmt w:val="bullet"/>
      <w:lvlText w:val="•"/>
      <w:lvlJc w:val="left"/>
      <w:pPr>
        <w:ind w:left="4823" w:hanging="265"/>
      </w:pPr>
      <w:rPr>
        <w:rFonts w:hint="default"/>
        <w:lang w:val="es-ES" w:eastAsia="es-ES" w:bidi="es-ES"/>
      </w:rPr>
    </w:lvl>
    <w:lvl w:ilvl="4">
      <w:start w:val="0"/>
      <w:numFmt w:val="bullet"/>
      <w:lvlText w:val="•"/>
      <w:lvlJc w:val="left"/>
      <w:pPr>
        <w:ind w:left="5558" w:hanging="265"/>
      </w:pPr>
      <w:rPr>
        <w:rFonts w:hint="default"/>
        <w:lang w:val="es-ES" w:eastAsia="es-ES" w:bidi="es-ES"/>
      </w:rPr>
    </w:lvl>
    <w:lvl w:ilvl="5">
      <w:start w:val="0"/>
      <w:numFmt w:val="bullet"/>
      <w:lvlText w:val="•"/>
      <w:lvlJc w:val="left"/>
      <w:pPr>
        <w:ind w:left="6293" w:hanging="265"/>
      </w:pPr>
      <w:rPr>
        <w:rFonts w:hint="default"/>
        <w:lang w:val="es-ES" w:eastAsia="es-ES" w:bidi="es-ES"/>
      </w:rPr>
    </w:lvl>
    <w:lvl w:ilvl="6">
      <w:start w:val="0"/>
      <w:numFmt w:val="bullet"/>
      <w:lvlText w:val="•"/>
      <w:lvlJc w:val="left"/>
      <w:pPr>
        <w:ind w:left="7027" w:hanging="265"/>
      </w:pPr>
      <w:rPr>
        <w:rFonts w:hint="default"/>
        <w:lang w:val="es-ES" w:eastAsia="es-ES" w:bidi="es-ES"/>
      </w:rPr>
    </w:lvl>
    <w:lvl w:ilvl="7">
      <w:start w:val="0"/>
      <w:numFmt w:val="bullet"/>
      <w:lvlText w:val="•"/>
      <w:lvlJc w:val="left"/>
      <w:pPr>
        <w:ind w:left="7762" w:hanging="265"/>
      </w:pPr>
      <w:rPr>
        <w:rFonts w:hint="default"/>
        <w:lang w:val="es-ES" w:eastAsia="es-ES" w:bidi="es-ES"/>
      </w:rPr>
    </w:lvl>
    <w:lvl w:ilvl="8">
      <w:start w:val="0"/>
      <w:numFmt w:val="bullet"/>
      <w:lvlText w:val="•"/>
      <w:lvlJc w:val="left"/>
      <w:pPr>
        <w:ind w:left="8497" w:hanging="265"/>
      </w:pPr>
      <w:rPr>
        <w:rFonts w:hint="default"/>
        <w:lang w:val="es-ES" w:eastAsia="es-ES" w:bidi="es-ES"/>
      </w:rPr>
    </w:lvl>
  </w:abstractNum>
  <w:abstractNum w:abstractNumId="133">
    <w:multiLevelType w:val="hybridMultilevel"/>
    <w:lvl w:ilvl="0">
      <w:start w:val="4"/>
      <w:numFmt w:val="decimal"/>
      <w:lvlText w:val="%1"/>
      <w:lvlJc w:val="left"/>
      <w:pPr>
        <w:ind w:left="842" w:hanging="624"/>
        <w:jc w:val="left"/>
      </w:pPr>
      <w:rPr>
        <w:rFonts w:hint="default" w:ascii="Arial" w:hAnsi="Arial" w:eastAsia="Arial" w:cs="Arial"/>
        <w:b/>
        <w:bCs/>
        <w:w w:val="99"/>
        <w:sz w:val="28"/>
        <w:szCs w:val="28"/>
        <w:lang w:val="es-ES" w:eastAsia="es-ES" w:bidi="es-ES"/>
      </w:rPr>
    </w:lvl>
    <w:lvl w:ilvl="1">
      <w:start w:val="1"/>
      <w:numFmt w:val="decimal"/>
      <w:lvlText w:val="%1.%2"/>
      <w:lvlJc w:val="left"/>
      <w:pPr>
        <w:ind w:left="671" w:hanging="454"/>
        <w:jc w:val="left"/>
      </w:pPr>
      <w:rPr>
        <w:rFonts w:hint="default" w:ascii="Arial" w:hAnsi="Arial" w:eastAsia="Arial" w:cs="Arial"/>
        <w:b/>
        <w:bCs/>
        <w:spacing w:val="-14"/>
        <w:w w:val="100"/>
        <w:sz w:val="24"/>
        <w:szCs w:val="24"/>
        <w:lang w:val="es-ES" w:eastAsia="es-ES" w:bidi="es-ES"/>
      </w:rPr>
    </w:lvl>
    <w:lvl w:ilvl="2">
      <w:start w:val="1"/>
      <w:numFmt w:val="decimal"/>
      <w:lvlText w:val="%1.%2.%3"/>
      <w:lvlJc w:val="left"/>
      <w:pPr>
        <w:ind w:left="938" w:hanging="720"/>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2068" w:hanging="720"/>
      </w:pPr>
      <w:rPr>
        <w:rFonts w:hint="default"/>
        <w:lang w:val="es-ES" w:eastAsia="es-ES" w:bidi="es-ES"/>
      </w:rPr>
    </w:lvl>
    <w:lvl w:ilvl="4">
      <w:start w:val="0"/>
      <w:numFmt w:val="bullet"/>
      <w:lvlText w:val="•"/>
      <w:lvlJc w:val="left"/>
      <w:pPr>
        <w:ind w:left="3196" w:hanging="720"/>
      </w:pPr>
      <w:rPr>
        <w:rFonts w:hint="default"/>
        <w:lang w:val="es-ES" w:eastAsia="es-ES" w:bidi="es-ES"/>
      </w:rPr>
    </w:lvl>
    <w:lvl w:ilvl="5">
      <w:start w:val="0"/>
      <w:numFmt w:val="bullet"/>
      <w:lvlText w:val="•"/>
      <w:lvlJc w:val="left"/>
      <w:pPr>
        <w:ind w:left="4324" w:hanging="720"/>
      </w:pPr>
      <w:rPr>
        <w:rFonts w:hint="default"/>
        <w:lang w:val="es-ES" w:eastAsia="es-ES" w:bidi="es-ES"/>
      </w:rPr>
    </w:lvl>
    <w:lvl w:ilvl="6">
      <w:start w:val="0"/>
      <w:numFmt w:val="bullet"/>
      <w:lvlText w:val="•"/>
      <w:lvlJc w:val="left"/>
      <w:pPr>
        <w:ind w:left="5453" w:hanging="720"/>
      </w:pPr>
      <w:rPr>
        <w:rFonts w:hint="default"/>
        <w:lang w:val="es-ES" w:eastAsia="es-ES" w:bidi="es-ES"/>
      </w:rPr>
    </w:lvl>
    <w:lvl w:ilvl="7">
      <w:start w:val="0"/>
      <w:numFmt w:val="bullet"/>
      <w:lvlText w:val="•"/>
      <w:lvlJc w:val="left"/>
      <w:pPr>
        <w:ind w:left="6581" w:hanging="720"/>
      </w:pPr>
      <w:rPr>
        <w:rFonts w:hint="default"/>
        <w:lang w:val="es-ES" w:eastAsia="es-ES" w:bidi="es-ES"/>
      </w:rPr>
    </w:lvl>
    <w:lvl w:ilvl="8">
      <w:start w:val="0"/>
      <w:numFmt w:val="bullet"/>
      <w:lvlText w:val="•"/>
      <w:lvlJc w:val="left"/>
      <w:pPr>
        <w:ind w:left="7709" w:hanging="720"/>
      </w:pPr>
      <w:rPr>
        <w:rFonts w:hint="default"/>
        <w:lang w:val="es-ES" w:eastAsia="es-ES" w:bidi="es-ES"/>
      </w:rPr>
    </w:lvl>
  </w:abstractNum>
  <w:abstractNum w:abstractNumId="132">
    <w:multiLevelType w:val="hybridMultilevel"/>
    <w:lvl w:ilvl="0">
      <w:start w:val="1"/>
      <w:numFmt w:val="decimal"/>
      <w:lvlText w:val="%1"/>
      <w:lvlJc w:val="left"/>
      <w:pPr>
        <w:ind w:left="575" w:hanging="361"/>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1"/>
      </w:pPr>
      <w:rPr>
        <w:rFonts w:hint="default"/>
        <w:lang w:val="es-ES" w:eastAsia="es-ES" w:bidi="es-ES"/>
      </w:rPr>
    </w:lvl>
    <w:lvl w:ilvl="2">
      <w:start w:val="0"/>
      <w:numFmt w:val="bullet"/>
      <w:lvlText w:val="•"/>
      <w:lvlJc w:val="left"/>
      <w:pPr>
        <w:ind w:left="2457" w:hanging="361"/>
      </w:pPr>
      <w:rPr>
        <w:rFonts w:hint="default"/>
        <w:lang w:val="es-ES" w:eastAsia="es-ES" w:bidi="es-ES"/>
      </w:rPr>
    </w:lvl>
    <w:lvl w:ilvl="3">
      <w:start w:val="0"/>
      <w:numFmt w:val="bullet"/>
      <w:lvlText w:val="•"/>
      <w:lvlJc w:val="left"/>
      <w:pPr>
        <w:ind w:left="3395" w:hanging="361"/>
      </w:pPr>
      <w:rPr>
        <w:rFonts w:hint="default"/>
        <w:lang w:val="es-ES" w:eastAsia="es-ES" w:bidi="es-ES"/>
      </w:rPr>
    </w:lvl>
    <w:lvl w:ilvl="4">
      <w:start w:val="0"/>
      <w:numFmt w:val="bullet"/>
      <w:lvlText w:val="•"/>
      <w:lvlJc w:val="left"/>
      <w:pPr>
        <w:ind w:left="4334" w:hanging="361"/>
      </w:pPr>
      <w:rPr>
        <w:rFonts w:hint="default"/>
        <w:lang w:val="es-ES" w:eastAsia="es-ES" w:bidi="es-ES"/>
      </w:rPr>
    </w:lvl>
    <w:lvl w:ilvl="5">
      <w:start w:val="0"/>
      <w:numFmt w:val="bullet"/>
      <w:lvlText w:val="•"/>
      <w:lvlJc w:val="left"/>
      <w:pPr>
        <w:ind w:left="5273" w:hanging="361"/>
      </w:pPr>
      <w:rPr>
        <w:rFonts w:hint="default"/>
        <w:lang w:val="es-ES" w:eastAsia="es-ES" w:bidi="es-ES"/>
      </w:rPr>
    </w:lvl>
    <w:lvl w:ilvl="6">
      <w:start w:val="0"/>
      <w:numFmt w:val="bullet"/>
      <w:lvlText w:val="•"/>
      <w:lvlJc w:val="left"/>
      <w:pPr>
        <w:ind w:left="6211" w:hanging="361"/>
      </w:pPr>
      <w:rPr>
        <w:rFonts w:hint="default"/>
        <w:lang w:val="es-ES" w:eastAsia="es-ES" w:bidi="es-ES"/>
      </w:rPr>
    </w:lvl>
    <w:lvl w:ilvl="7">
      <w:start w:val="0"/>
      <w:numFmt w:val="bullet"/>
      <w:lvlText w:val="•"/>
      <w:lvlJc w:val="left"/>
      <w:pPr>
        <w:ind w:left="7150" w:hanging="361"/>
      </w:pPr>
      <w:rPr>
        <w:rFonts w:hint="default"/>
        <w:lang w:val="es-ES" w:eastAsia="es-ES" w:bidi="es-ES"/>
      </w:rPr>
    </w:lvl>
    <w:lvl w:ilvl="8">
      <w:start w:val="0"/>
      <w:numFmt w:val="bullet"/>
      <w:lvlText w:val="•"/>
      <w:lvlJc w:val="left"/>
      <w:pPr>
        <w:ind w:left="8089" w:hanging="361"/>
      </w:pPr>
      <w:rPr>
        <w:rFonts w:hint="default"/>
        <w:lang w:val="es-ES" w:eastAsia="es-ES" w:bidi="es-ES"/>
      </w:rPr>
    </w:lvl>
  </w:abstractNum>
  <w:abstractNum w:abstractNumId="131">
    <w:multiLevelType w:val="hybridMultilevel"/>
    <w:lvl w:ilvl="0">
      <w:start w:val="1"/>
      <w:numFmt w:val="decimal"/>
      <w:lvlText w:val="%1"/>
      <w:lvlJc w:val="left"/>
      <w:pPr>
        <w:ind w:left="575" w:hanging="361"/>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1"/>
      </w:pPr>
      <w:rPr>
        <w:rFonts w:hint="default"/>
        <w:lang w:val="es-ES" w:eastAsia="es-ES" w:bidi="es-ES"/>
      </w:rPr>
    </w:lvl>
    <w:lvl w:ilvl="2">
      <w:start w:val="0"/>
      <w:numFmt w:val="bullet"/>
      <w:lvlText w:val="•"/>
      <w:lvlJc w:val="left"/>
      <w:pPr>
        <w:ind w:left="2457" w:hanging="361"/>
      </w:pPr>
      <w:rPr>
        <w:rFonts w:hint="default"/>
        <w:lang w:val="es-ES" w:eastAsia="es-ES" w:bidi="es-ES"/>
      </w:rPr>
    </w:lvl>
    <w:lvl w:ilvl="3">
      <w:start w:val="0"/>
      <w:numFmt w:val="bullet"/>
      <w:lvlText w:val="•"/>
      <w:lvlJc w:val="left"/>
      <w:pPr>
        <w:ind w:left="3395" w:hanging="361"/>
      </w:pPr>
      <w:rPr>
        <w:rFonts w:hint="default"/>
        <w:lang w:val="es-ES" w:eastAsia="es-ES" w:bidi="es-ES"/>
      </w:rPr>
    </w:lvl>
    <w:lvl w:ilvl="4">
      <w:start w:val="0"/>
      <w:numFmt w:val="bullet"/>
      <w:lvlText w:val="•"/>
      <w:lvlJc w:val="left"/>
      <w:pPr>
        <w:ind w:left="4334" w:hanging="361"/>
      </w:pPr>
      <w:rPr>
        <w:rFonts w:hint="default"/>
        <w:lang w:val="es-ES" w:eastAsia="es-ES" w:bidi="es-ES"/>
      </w:rPr>
    </w:lvl>
    <w:lvl w:ilvl="5">
      <w:start w:val="0"/>
      <w:numFmt w:val="bullet"/>
      <w:lvlText w:val="•"/>
      <w:lvlJc w:val="left"/>
      <w:pPr>
        <w:ind w:left="5273" w:hanging="361"/>
      </w:pPr>
      <w:rPr>
        <w:rFonts w:hint="default"/>
        <w:lang w:val="es-ES" w:eastAsia="es-ES" w:bidi="es-ES"/>
      </w:rPr>
    </w:lvl>
    <w:lvl w:ilvl="6">
      <w:start w:val="0"/>
      <w:numFmt w:val="bullet"/>
      <w:lvlText w:val="•"/>
      <w:lvlJc w:val="left"/>
      <w:pPr>
        <w:ind w:left="6211" w:hanging="361"/>
      </w:pPr>
      <w:rPr>
        <w:rFonts w:hint="default"/>
        <w:lang w:val="es-ES" w:eastAsia="es-ES" w:bidi="es-ES"/>
      </w:rPr>
    </w:lvl>
    <w:lvl w:ilvl="7">
      <w:start w:val="0"/>
      <w:numFmt w:val="bullet"/>
      <w:lvlText w:val="•"/>
      <w:lvlJc w:val="left"/>
      <w:pPr>
        <w:ind w:left="7150" w:hanging="361"/>
      </w:pPr>
      <w:rPr>
        <w:rFonts w:hint="default"/>
        <w:lang w:val="es-ES" w:eastAsia="es-ES" w:bidi="es-ES"/>
      </w:rPr>
    </w:lvl>
    <w:lvl w:ilvl="8">
      <w:start w:val="0"/>
      <w:numFmt w:val="bullet"/>
      <w:lvlText w:val="•"/>
      <w:lvlJc w:val="left"/>
      <w:pPr>
        <w:ind w:left="8089" w:hanging="361"/>
      </w:pPr>
      <w:rPr>
        <w:rFonts w:hint="default"/>
        <w:lang w:val="es-ES" w:eastAsia="es-ES" w:bidi="es-ES"/>
      </w:rPr>
    </w:lvl>
  </w:abstractNum>
  <w:abstractNum w:abstractNumId="130">
    <w:multiLevelType w:val="hybridMultilevel"/>
    <w:lvl w:ilvl="0">
      <w:start w:val="1"/>
      <w:numFmt w:val="decimal"/>
      <w:lvlText w:val="%1"/>
      <w:lvlJc w:val="left"/>
      <w:pPr>
        <w:ind w:left="576" w:hanging="361"/>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1"/>
      </w:pPr>
      <w:rPr>
        <w:rFonts w:hint="default"/>
        <w:lang w:val="es-ES" w:eastAsia="es-ES" w:bidi="es-ES"/>
      </w:rPr>
    </w:lvl>
    <w:lvl w:ilvl="2">
      <w:start w:val="0"/>
      <w:numFmt w:val="bullet"/>
      <w:lvlText w:val="•"/>
      <w:lvlJc w:val="left"/>
      <w:pPr>
        <w:ind w:left="2457" w:hanging="361"/>
      </w:pPr>
      <w:rPr>
        <w:rFonts w:hint="default"/>
        <w:lang w:val="es-ES" w:eastAsia="es-ES" w:bidi="es-ES"/>
      </w:rPr>
    </w:lvl>
    <w:lvl w:ilvl="3">
      <w:start w:val="0"/>
      <w:numFmt w:val="bullet"/>
      <w:lvlText w:val="•"/>
      <w:lvlJc w:val="left"/>
      <w:pPr>
        <w:ind w:left="3395" w:hanging="361"/>
      </w:pPr>
      <w:rPr>
        <w:rFonts w:hint="default"/>
        <w:lang w:val="es-ES" w:eastAsia="es-ES" w:bidi="es-ES"/>
      </w:rPr>
    </w:lvl>
    <w:lvl w:ilvl="4">
      <w:start w:val="0"/>
      <w:numFmt w:val="bullet"/>
      <w:lvlText w:val="•"/>
      <w:lvlJc w:val="left"/>
      <w:pPr>
        <w:ind w:left="4334" w:hanging="361"/>
      </w:pPr>
      <w:rPr>
        <w:rFonts w:hint="default"/>
        <w:lang w:val="es-ES" w:eastAsia="es-ES" w:bidi="es-ES"/>
      </w:rPr>
    </w:lvl>
    <w:lvl w:ilvl="5">
      <w:start w:val="0"/>
      <w:numFmt w:val="bullet"/>
      <w:lvlText w:val="•"/>
      <w:lvlJc w:val="left"/>
      <w:pPr>
        <w:ind w:left="5273" w:hanging="361"/>
      </w:pPr>
      <w:rPr>
        <w:rFonts w:hint="default"/>
        <w:lang w:val="es-ES" w:eastAsia="es-ES" w:bidi="es-ES"/>
      </w:rPr>
    </w:lvl>
    <w:lvl w:ilvl="6">
      <w:start w:val="0"/>
      <w:numFmt w:val="bullet"/>
      <w:lvlText w:val="•"/>
      <w:lvlJc w:val="left"/>
      <w:pPr>
        <w:ind w:left="6211" w:hanging="361"/>
      </w:pPr>
      <w:rPr>
        <w:rFonts w:hint="default"/>
        <w:lang w:val="es-ES" w:eastAsia="es-ES" w:bidi="es-ES"/>
      </w:rPr>
    </w:lvl>
    <w:lvl w:ilvl="7">
      <w:start w:val="0"/>
      <w:numFmt w:val="bullet"/>
      <w:lvlText w:val="•"/>
      <w:lvlJc w:val="left"/>
      <w:pPr>
        <w:ind w:left="7150" w:hanging="361"/>
      </w:pPr>
      <w:rPr>
        <w:rFonts w:hint="default"/>
        <w:lang w:val="es-ES" w:eastAsia="es-ES" w:bidi="es-ES"/>
      </w:rPr>
    </w:lvl>
    <w:lvl w:ilvl="8">
      <w:start w:val="0"/>
      <w:numFmt w:val="bullet"/>
      <w:lvlText w:val="•"/>
      <w:lvlJc w:val="left"/>
      <w:pPr>
        <w:ind w:left="8089" w:hanging="361"/>
      </w:pPr>
      <w:rPr>
        <w:rFonts w:hint="default"/>
        <w:lang w:val="es-ES" w:eastAsia="es-ES" w:bidi="es-ES"/>
      </w:rPr>
    </w:lvl>
  </w:abstractNum>
  <w:abstractNum w:abstractNumId="129">
    <w:multiLevelType w:val="hybridMultilevel"/>
    <w:lvl w:ilvl="0">
      <w:start w:val="1"/>
      <w:numFmt w:val="decimal"/>
      <w:lvlText w:val="%1"/>
      <w:lvlJc w:val="left"/>
      <w:pPr>
        <w:ind w:left="578"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28">
    <w:multiLevelType w:val="hybridMultilevel"/>
    <w:lvl w:ilvl="0">
      <w:start w:val="1"/>
      <w:numFmt w:val="decimal"/>
      <w:lvlText w:val="%1"/>
      <w:lvlJc w:val="left"/>
      <w:pPr>
        <w:ind w:left="575" w:hanging="360"/>
        <w:jc w:val="left"/>
      </w:pPr>
      <w:rPr>
        <w:rFonts w:hint="default" w:ascii="Arial" w:hAnsi="Arial" w:eastAsia="Arial" w:cs="Arial"/>
        <w:w w:val="100"/>
        <w:sz w:val="20"/>
        <w:szCs w:val="20"/>
        <w:lang w:val="es-ES" w:eastAsia="es-ES" w:bidi="es-ES"/>
      </w:rPr>
    </w:lvl>
    <w:lvl w:ilvl="1">
      <w:start w:val="1"/>
      <w:numFmt w:val="lowerLetter"/>
      <w:lvlText w:val="%2)"/>
      <w:lvlJc w:val="left"/>
      <w:pPr>
        <w:ind w:left="938" w:hanging="363"/>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42" w:hanging="363"/>
      </w:pPr>
      <w:rPr>
        <w:rFonts w:hint="default"/>
        <w:lang w:val="es-ES" w:eastAsia="es-ES" w:bidi="es-ES"/>
      </w:rPr>
    </w:lvl>
    <w:lvl w:ilvl="3">
      <w:start w:val="0"/>
      <w:numFmt w:val="bullet"/>
      <w:lvlText w:val="•"/>
      <w:lvlJc w:val="left"/>
      <w:pPr>
        <w:ind w:left="2945" w:hanging="363"/>
      </w:pPr>
      <w:rPr>
        <w:rFonts w:hint="default"/>
        <w:lang w:val="es-ES" w:eastAsia="es-ES" w:bidi="es-ES"/>
      </w:rPr>
    </w:lvl>
    <w:lvl w:ilvl="4">
      <w:start w:val="0"/>
      <w:numFmt w:val="bullet"/>
      <w:lvlText w:val="•"/>
      <w:lvlJc w:val="left"/>
      <w:pPr>
        <w:ind w:left="3948" w:hanging="363"/>
      </w:pPr>
      <w:rPr>
        <w:rFonts w:hint="default"/>
        <w:lang w:val="es-ES" w:eastAsia="es-ES" w:bidi="es-ES"/>
      </w:rPr>
    </w:lvl>
    <w:lvl w:ilvl="5">
      <w:start w:val="0"/>
      <w:numFmt w:val="bullet"/>
      <w:lvlText w:val="•"/>
      <w:lvlJc w:val="left"/>
      <w:pPr>
        <w:ind w:left="4951" w:hanging="363"/>
      </w:pPr>
      <w:rPr>
        <w:rFonts w:hint="default"/>
        <w:lang w:val="es-ES" w:eastAsia="es-ES" w:bidi="es-ES"/>
      </w:rPr>
    </w:lvl>
    <w:lvl w:ilvl="6">
      <w:start w:val="0"/>
      <w:numFmt w:val="bullet"/>
      <w:lvlText w:val="•"/>
      <w:lvlJc w:val="left"/>
      <w:pPr>
        <w:ind w:left="5954" w:hanging="363"/>
      </w:pPr>
      <w:rPr>
        <w:rFonts w:hint="default"/>
        <w:lang w:val="es-ES" w:eastAsia="es-ES" w:bidi="es-ES"/>
      </w:rPr>
    </w:lvl>
    <w:lvl w:ilvl="7">
      <w:start w:val="0"/>
      <w:numFmt w:val="bullet"/>
      <w:lvlText w:val="•"/>
      <w:lvlJc w:val="left"/>
      <w:pPr>
        <w:ind w:left="6957" w:hanging="363"/>
      </w:pPr>
      <w:rPr>
        <w:rFonts w:hint="default"/>
        <w:lang w:val="es-ES" w:eastAsia="es-ES" w:bidi="es-ES"/>
      </w:rPr>
    </w:lvl>
    <w:lvl w:ilvl="8">
      <w:start w:val="0"/>
      <w:numFmt w:val="bullet"/>
      <w:lvlText w:val="•"/>
      <w:lvlJc w:val="left"/>
      <w:pPr>
        <w:ind w:left="7960" w:hanging="363"/>
      </w:pPr>
      <w:rPr>
        <w:rFonts w:hint="default"/>
        <w:lang w:val="es-ES" w:eastAsia="es-ES" w:bidi="es-ES"/>
      </w:rPr>
    </w:lvl>
  </w:abstractNum>
  <w:abstractNum w:abstractNumId="127">
    <w:multiLevelType w:val="hybridMultilevel"/>
    <w:lvl w:ilvl="0">
      <w:start w:val="3"/>
      <w:numFmt w:val="decimal"/>
      <w:lvlText w:val="%1"/>
      <w:lvlJc w:val="left"/>
      <w:pPr>
        <w:ind w:left="671" w:hanging="454"/>
        <w:jc w:val="left"/>
      </w:pPr>
      <w:rPr>
        <w:rFonts w:hint="default"/>
        <w:lang w:val="es-ES" w:eastAsia="es-ES" w:bidi="es-ES"/>
      </w:rPr>
    </w:lvl>
    <w:lvl w:ilvl="1">
      <w:start w:val="2"/>
      <w:numFmt w:val="decimal"/>
      <w:lvlText w:val="%1.%2"/>
      <w:lvlJc w:val="left"/>
      <w:pPr>
        <w:ind w:left="671" w:hanging="454"/>
        <w:jc w:val="left"/>
      </w:pPr>
      <w:rPr>
        <w:rFonts w:hint="default" w:ascii="Arial" w:hAnsi="Arial" w:eastAsia="Arial" w:cs="Arial"/>
        <w:b/>
        <w:bCs/>
        <w:spacing w:val="-14"/>
        <w:w w:val="100"/>
        <w:sz w:val="24"/>
        <w:szCs w:val="24"/>
        <w:lang w:val="es-ES" w:eastAsia="es-ES" w:bidi="es-ES"/>
      </w:rPr>
    </w:lvl>
    <w:lvl w:ilvl="2">
      <w:start w:val="1"/>
      <w:numFmt w:val="decimal"/>
      <w:lvlText w:val="%1.%2.%3"/>
      <w:lvlJc w:val="left"/>
      <w:pPr>
        <w:ind w:left="938" w:hanging="721"/>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2945" w:hanging="721"/>
      </w:pPr>
      <w:rPr>
        <w:rFonts w:hint="default"/>
        <w:lang w:val="es-ES" w:eastAsia="es-ES" w:bidi="es-ES"/>
      </w:rPr>
    </w:lvl>
    <w:lvl w:ilvl="4">
      <w:start w:val="0"/>
      <w:numFmt w:val="bullet"/>
      <w:lvlText w:val="•"/>
      <w:lvlJc w:val="left"/>
      <w:pPr>
        <w:ind w:left="3948" w:hanging="721"/>
      </w:pPr>
      <w:rPr>
        <w:rFonts w:hint="default"/>
        <w:lang w:val="es-ES" w:eastAsia="es-ES" w:bidi="es-ES"/>
      </w:rPr>
    </w:lvl>
    <w:lvl w:ilvl="5">
      <w:start w:val="0"/>
      <w:numFmt w:val="bullet"/>
      <w:lvlText w:val="•"/>
      <w:lvlJc w:val="left"/>
      <w:pPr>
        <w:ind w:left="4951" w:hanging="721"/>
      </w:pPr>
      <w:rPr>
        <w:rFonts w:hint="default"/>
        <w:lang w:val="es-ES" w:eastAsia="es-ES" w:bidi="es-ES"/>
      </w:rPr>
    </w:lvl>
    <w:lvl w:ilvl="6">
      <w:start w:val="0"/>
      <w:numFmt w:val="bullet"/>
      <w:lvlText w:val="•"/>
      <w:lvlJc w:val="left"/>
      <w:pPr>
        <w:ind w:left="5954" w:hanging="721"/>
      </w:pPr>
      <w:rPr>
        <w:rFonts w:hint="default"/>
        <w:lang w:val="es-ES" w:eastAsia="es-ES" w:bidi="es-ES"/>
      </w:rPr>
    </w:lvl>
    <w:lvl w:ilvl="7">
      <w:start w:val="0"/>
      <w:numFmt w:val="bullet"/>
      <w:lvlText w:val="•"/>
      <w:lvlJc w:val="left"/>
      <w:pPr>
        <w:ind w:left="6957" w:hanging="721"/>
      </w:pPr>
      <w:rPr>
        <w:rFonts w:hint="default"/>
        <w:lang w:val="es-ES" w:eastAsia="es-ES" w:bidi="es-ES"/>
      </w:rPr>
    </w:lvl>
    <w:lvl w:ilvl="8">
      <w:start w:val="0"/>
      <w:numFmt w:val="bullet"/>
      <w:lvlText w:val="•"/>
      <w:lvlJc w:val="left"/>
      <w:pPr>
        <w:ind w:left="7960" w:hanging="721"/>
      </w:pPr>
      <w:rPr>
        <w:rFonts w:hint="default"/>
        <w:lang w:val="es-ES" w:eastAsia="es-ES" w:bidi="es-ES"/>
      </w:rPr>
    </w:lvl>
  </w:abstractNum>
  <w:abstractNum w:abstractNumId="126">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1"/>
      <w:numFmt w:val="lowerLetter"/>
      <w:lvlText w:val="%2)"/>
      <w:lvlJc w:val="left"/>
      <w:pPr>
        <w:ind w:left="938" w:hanging="363"/>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42" w:hanging="363"/>
      </w:pPr>
      <w:rPr>
        <w:rFonts w:hint="default"/>
        <w:lang w:val="es-ES" w:eastAsia="es-ES" w:bidi="es-ES"/>
      </w:rPr>
    </w:lvl>
    <w:lvl w:ilvl="3">
      <w:start w:val="0"/>
      <w:numFmt w:val="bullet"/>
      <w:lvlText w:val="•"/>
      <w:lvlJc w:val="left"/>
      <w:pPr>
        <w:ind w:left="2945" w:hanging="363"/>
      </w:pPr>
      <w:rPr>
        <w:rFonts w:hint="default"/>
        <w:lang w:val="es-ES" w:eastAsia="es-ES" w:bidi="es-ES"/>
      </w:rPr>
    </w:lvl>
    <w:lvl w:ilvl="4">
      <w:start w:val="0"/>
      <w:numFmt w:val="bullet"/>
      <w:lvlText w:val="•"/>
      <w:lvlJc w:val="left"/>
      <w:pPr>
        <w:ind w:left="3948" w:hanging="363"/>
      </w:pPr>
      <w:rPr>
        <w:rFonts w:hint="default"/>
        <w:lang w:val="es-ES" w:eastAsia="es-ES" w:bidi="es-ES"/>
      </w:rPr>
    </w:lvl>
    <w:lvl w:ilvl="5">
      <w:start w:val="0"/>
      <w:numFmt w:val="bullet"/>
      <w:lvlText w:val="•"/>
      <w:lvlJc w:val="left"/>
      <w:pPr>
        <w:ind w:left="4951" w:hanging="363"/>
      </w:pPr>
      <w:rPr>
        <w:rFonts w:hint="default"/>
        <w:lang w:val="es-ES" w:eastAsia="es-ES" w:bidi="es-ES"/>
      </w:rPr>
    </w:lvl>
    <w:lvl w:ilvl="6">
      <w:start w:val="0"/>
      <w:numFmt w:val="bullet"/>
      <w:lvlText w:val="•"/>
      <w:lvlJc w:val="left"/>
      <w:pPr>
        <w:ind w:left="5954" w:hanging="363"/>
      </w:pPr>
      <w:rPr>
        <w:rFonts w:hint="default"/>
        <w:lang w:val="es-ES" w:eastAsia="es-ES" w:bidi="es-ES"/>
      </w:rPr>
    </w:lvl>
    <w:lvl w:ilvl="7">
      <w:start w:val="0"/>
      <w:numFmt w:val="bullet"/>
      <w:lvlText w:val="•"/>
      <w:lvlJc w:val="left"/>
      <w:pPr>
        <w:ind w:left="6957" w:hanging="363"/>
      </w:pPr>
      <w:rPr>
        <w:rFonts w:hint="default"/>
        <w:lang w:val="es-ES" w:eastAsia="es-ES" w:bidi="es-ES"/>
      </w:rPr>
    </w:lvl>
    <w:lvl w:ilvl="8">
      <w:start w:val="0"/>
      <w:numFmt w:val="bullet"/>
      <w:lvlText w:val="•"/>
      <w:lvlJc w:val="left"/>
      <w:pPr>
        <w:ind w:left="7960" w:hanging="363"/>
      </w:pPr>
      <w:rPr>
        <w:rFonts w:hint="default"/>
        <w:lang w:val="es-ES" w:eastAsia="es-ES" w:bidi="es-ES"/>
      </w:rPr>
    </w:lvl>
  </w:abstractNum>
  <w:abstractNum w:abstractNumId="125">
    <w:multiLevelType w:val="hybridMultilevel"/>
    <w:lvl w:ilvl="0">
      <w:start w:val="1"/>
      <w:numFmt w:val="decimal"/>
      <w:lvlText w:val="%1"/>
      <w:lvlJc w:val="left"/>
      <w:pPr>
        <w:ind w:left="575"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24">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23">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21">
    <w:multiLevelType w:val="hybridMultilevel"/>
    <w:lvl w:ilvl="0">
      <w:start w:val="1"/>
      <w:numFmt w:val="decimal"/>
      <w:lvlText w:val="%1"/>
      <w:lvlJc w:val="left"/>
      <w:pPr>
        <w:ind w:left="578"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20">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19">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1"/>
      <w:numFmt w:val="lowerLetter"/>
      <w:lvlText w:val="%2)"/>
      <w:lvlJc w:val="left"/>
      <w:pPr>
        <w:ind w:left="938" w:hanging="364"/>
        <w:jc w:val="left"/>
      </w:pPr>
      <w:rPr>
        <w:rFonts w:hint="default" w:ascii="Arial" w:hAnsi="Arial" w:eastAsia="Arial" w:cs="Arial"/>
        <w:w w:val="100"/>
        <w:sz w:val="20"/>
        <w:szCs w:val="20"/>
        <w:lang w:val="es-ES" w:eastAsia="es-ES" w:bidi="es-ES"/>
      </w:rPr>
    </w:lvl>
    <w:lvl w:ilvl="2">
      <w:start w:val="0"/>
      <w:numFmt w:val="bullet"/>
      <w:lvlText w:val="-"/>
      <w:lvlJc w:val="left"/>
      <w:pPr>
        <w:ind w:left="2467" w:hanging="222"/>
      </w:pPr>
      <w:rPr>
        <w:rFonts w:hint="default" w:ascii="Arial" w:hAnsi="Arial" w:eastAsia="Arial" w:cs="Arial"/>
        <w:w w:val="99"/>
        <w:sz w:val="16"/>
        <w:szCs w:val="16"/>
        <w:lang w:val="es-ES" w:eastAsia="es-ES" w:bidi="es-ES"/>
      </w:rPr>
    </w:lvl>
    <w:lvl w:ilvl="3">
      <w:start w:val="0"/>
      <w:numFmt w:val="bullet"/>
      <w:lvlText w:val="•"/>
      <w:lvlJc w:val="left"/>
      <w:pPr>
        <w:ind w:left="3398" w:hanging="222"/>
      </w:pPr>
      <w:rPr>
        <w:rFonts w:hint="default"/>
        <w:lang w:val="es-ES" w:eastAsia="es-ES" w:bidi="es-ES"/>
      </w:rPr>
    </w:lvl>
    <w:lvl w:ilvl="4">
      <w:start w:val="0"/>
      <w:numFmt w:val="bullet"/>
      <w:lvlText w:val="•"/>
      <w:lvlJc w:val="left"/>
      <w:pPr>
        <w:ind w:left="4336" w:hanging="222"/>
      </w:pPr>
      <w:rPr>
        <w:rFonts w:hint="default"/>
        <w:lang w:val="es-ES" w:eastAsia="es-ES" w:bidi="es-ES"/>
      </w:rPr>
    </w:lvl>
    <w:lvl w:ilvl="5">
      <w:start w:val="0"/>
      <w:numFmt w:val="bullet"/>
      <w:lvlText w:val="•"/>
      <w:lvlJc w:val="left"/>
      <w:pPr>
        <w:ind w:left="5274" w:hanging="222"/>
      </w:pPr>
      <w:rPr>
        <w:rFonts w:hint="default"/>
        <w:lang w:val="es-ES" w:eastAsia="es-ES" w:bidi="es-ES"/>
      </w:rPr>
    </w:lvl>
    <w:lvl w:ilvl="6">
      <w:start w:val="0"/>
      <w:numFmt w:val="bullet"/>
      <w:lvlText w:val="•"/>
      <w:lvlJc w:val="left"/>
      <w:pPr>
        <w:ind w:left="6213" w:hanging="222"/>
      </w:pPr>
      <w:rPr>
        <w:rFonts w:hint="default"/>
        <w:lang w:val="es-ES" w:eastAsia="es-ES" w:bidi="es-ES"/>
      </w:rPr>
    </w:lvl>
    <w:lvl w:ilvl="7">
      <w:start w:val="0"/>
      <w:numFmt w:val="bullet"/>
      <w:lvlText w:val="•"/>
      <w:lvlJc w:val="left"/>
      <w:pPr>
        <w:ind w:left="7151" w:hanging="222"/>
      </w:pPr>
      <w:rPr>
        <w:rFonts w:hint="default"/>
        <w:lang w:val="es-ES" w:eastAsia="es-ES" w:bidi="es-ES"/>
      </w:rPr>
    </w:lvl>
    <w:lvl w:ilvl="8">
      <w:start w:val="0"/>
      <w:numFmt w:val="bullet"/>
      <w:lvlText w:val="•"/>
      <w:lvlJc w:val="left"/>
      <w:pPr>
        <w:ind w:left="8089" w:hanging="222"/>
      </w:pPr>
      <w:rPr>
        <w:rFonts w:hint="default"/>
        <w:lang w:val="es-ES" w:eastAsia="es-ES" w:bidi="es-ES"/>
      </w:rPr>
    </w:lvl>
  </w:abstractNum>
  <w:abstractNum w:abstractNumId="118">
    <w:multiLevelType w:val="hybridMultilevel"/>
    <w:lvl w:ilvl="0">
      <w:start w:val="3"/>
      <w:numFmt w:val="decimal"/>
      <w:lvlText w:val="%1"/>
      <w:lvlJc w:val="left"/>
      <w:pPr>
        <w:ind w:left="842" w:hanging="624"/>
        <w:jc w:val="left"/>
      </w:pPr>
      <w:rPr>
        <w:rFonts w:hint="default" w:ascii="Arial" w:hAnsi="Arial" w:eastAsia="Arial" w:cs="Arial"/>
        <w:b/>
        <w:bCs/>
        <w:w w:val="99"/>
        <w:sz w:val="28"/>
        <w:szCs w:val="28"/>
        <w:lang w:val="es-ES" w:eastAsia="es-ES" w:bidi="es-ES"/>
      </w:rPr>
    </w:lvl>
    <w:lvl w:ilvl="1">
      <w:start w:val="1"/>
      <w:numFmt w:val="decimal"/>
      <w:lvlText w:val="%1.%2"/>
      <w:lvlJc w:val="left"/>
      <w:pPr>
        <w:ind w:left="671" w:hanging="454"/>
        <w:jc w:val="left"/>
      </w:pPr>
      <w:rPr>
        <w:rFonts w:hint="default" w:ascii="Arial" w:hAnsi="Arial" w:eastAsia="Arial" w:cs="Arial"/>
        <w:b/>
        <w:bCs/>
        <w:spacing w:val="-14"/>
        <w:w w:val="100"/>
        <w:sz w:val="24"/>
        <w:szCs w:val="24"/>
        <w:lang w:val="es-ES" w:eastAsia="es-ES" w:bidi="es-ES"/>
      </w:rPr>
    </w:lvl>
    <w:lvl w:ilvl="2">
      <w:start w:val="1"/>
      <w:numFmt w:val="decimal"/>
      <w:lvlText w:val="%1.%2.%3"/>
      <w:lvlJc w:val="left"/>
      <w:pPr>
        <w:ind w:left="938" w:hanging="721"/>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842" w:hanging="624"/>
        <w:jc w:val="left"/>
      </w:pPr>
      <w:rPr>
        <w:rFonts w:hint="default" w:ascii="Arial" w:hAnsi="Arial" w:eastAsia="Arial" w:cs="Arial"/>
        <w:b/>
        <w:bCs/>
        <w:spacing w:val="-1"/>
        <w:w w:val="100"/>
        <w:sz w:val="18"/>
        <w:szCs w:val="18"/>
        <w:lang w:val="es-ES" w:eastAsia="es-ES" w:bidi="es-ES"/>
      </w:rPr>
    </w:lvl>
    <w:lvl w:ilvl="4">
      <w:start w:val="0"/>
      <w:numFmt w:val="bullet"/>
      <w:lvlText w:val="•"/>
      <w:lvlJc w:val="left"/>
      <w:pPr>
        <w:ind w:left="3196" w:hanging="624"/>
      </w:pPr>
      <w:rPr>
        <w:rFonts w:hint="default"/>
        <w:lang w:val="es-ES" w:eastAsia="es-ES" w:bidi="es-ES"/>
      </w:rPr>
    </w:lvl>
    <w:lvl w:ilvl="5">
      <w:start w:val="0"/>
      <w:numFmt w:val="bullet"/>
      <w:lvlText w:val="•"/>
      <w:lvlJc w:val="left"/>
      <w:pPr>
        <w:ind w:left="4324" w:hanging="624"/>
      </w:pPr>
      <w:rPr>
        <w:rFonts w:hint="default"/>
        <w:lang w:val="es-ES" w:eastAsia="es-ES" w:bidi="es-ES"/>
      </w:rPr>
    </w:lvl>
    <w:lvl w:ilvl="6">
      <w:start w:val="0"/>
      <w:numFmt w:val="bullet"/>
      <w:lvlText w:val="•"/>
      <w:lvlJc w:val="left"/>
      <w:pPr>
        <w:ind w:left="5453" w:hanging="624"/>
      </w:pPr>
      <w:rPr>
        <w:rFonts w:hint="default"/>
        <w:lang w:val="es-ES" w:eastAsia="es-ES" w:bidi="es-ES"/>
      </w:rPr>
    </w:lvl>
    <w:lvl w:ilvl="7">
      <w:start w:val="0"/>
      <w:numFmt w:val="bullet"/>
      <w:lvlText w:val="•"/>
      <w:lvlJc w:val="left"/>
      <w:pPr>
        <w:ind w:left="6581" w:hanging="624"/>
      </w:pPr>
      <w:rPr>
        <w:rFonts w:hint="default"/>
        <w:lang w:val="es-ES" w:eastAsia="es-ES" w:bidi="es-ES"/>
      </w:rPr>
    </w:lvl>
    <w:lvl w:ilvl="8">
      <w:start w:val="0"/>
      <w:numFmt w:val="bullet"/>
      <w:lvlText w:val="•"/>
      <w:lvlJc w:val="left"/>
      <w:pPr>
        <w:ind w:left="7709" w:hanging="624"/>
      </w:pPr>
      <w:rPr>
        <w:rFonts w:hint="default"/>
        <w:lang w:val="es-ES" w:eastAsia="es-ES" w:bidi="es-ES"/>
      </w:rPr>
    </w:lvl>
  </w:abstractNum>
  <w:abstractNum w:abstractNumId="117">
    <w:multiLevelType w:val="hybridMultilevel"/>
    <w:lvl w:ilvl="0">
      <w:start w:val="1"/>
      <w:numFmt w:val="decimal"/>
      <w:lvlText w:val="%1"/>
      <w:lvlJc w:val="left"/>
      <w:pPr>
        <w:ind w:left="576" w:hanging="456"/>
        <w:jc w:val="left"/>
      </w:pPr>
      <w:rPr>
        <w:rFonts w:hint="default" w:ascii="Arial" w:hAnsi="Arial" w:eastAsia="Arial" w:cs="Arial"/>
        <w:w w:val="100"/>
        <w:sz w:val="20"/>
        <w:szCs w:val="20"/>
        <w:lang w:val="es-ES" w:eastAsia="es-ES" w:bidi="es-ES"/>
      </w:rPr>
    </w:lvl>
    <w:lvl w:ilvl="1">
      <w:start w:val="1"/>
      <w:numFmt w:val="decimal"/>
      <w:lvlText w:val="(%2)"/>
      <w:lvlJc w:val="left"/>
      <w:pPr>
        <w:ind w:left="1069" w:hanging="284"/>
        <w:jc w:val="left"/>
      </w:pPr>
      <w:rPr>
        <w:rFonts w:hint="default" w:ascii="Arial" w:hAnsi="Arial" w:eastAsia="Arial" w:cs="Arial"/>
        <w:spacing w:val="-1"/>
        <w:w w:val="99"/>
        <w:position w:val="1"/>
        <w:sz w:val="16"/>
        <w:szCs w:val="16"/>
        <w:lang w:val="es-ES" w:eastAsia="es-ES" w:bidi="es-ES"/>
      </w:rPr>
    </w:lvl>
    <w:lvl w:ilvl="2">
      <w:start w:val="0"/>
      <w:numFmt w:val="bullet"/>
      <w:lvlText w:val="•"/>
      <w:lvlJc w:val="left"/>
      <w:pPr>
        <w:ind w:left="2049" w:hanging="284"/>
      </w:pPr>
      <w:rPr>
        <w:rFonts w:hint="default"/>
        <w:lang w:val="es-ES" w:eastAsia="es-ES" w:bidi="es-ES"/>
      </w:rPr>
    </w:lvl>
    <w:lvl w:ilvl="3">
      <w:start w:val="0"/>
      <w:numFmt w:val="bullet"/>
      <w:lvlText w:val="•"/>
      <w:lvlJc w:val="left"/>
      <w:pPr>
        <w:ind w:left="3039" w:hanging="284"/>
      </w:pPr>
      <w:rPr>
        <w:rFonts w:hint="default"/>
        <w:lang w:val="es-ES" w:eastAsia="es-ES" w:bidi="es-ES"/>
      </w:rPr>
    </w:lvl>
    <w:lvl w:ilvl="4">
      <w:start w:val="0"/>
      <w:numFmt w:val="bullet"/>
      <w:lvlText w:val="•"/>
      <w:lvlJc w:val="left"/>
      <w:pPr>
        <w:ind w:left="4028" w:hanging="284"/>
      </w:pPr>
      <w:rPr>
        <w:rFonts w:hint="default"/>
        <w:lang w:val="es-ES" w:eastAsia="es-ES" w:bidi="es-ES"/>
      </w:rPr>
    </w:lvl>
    <w:lvl w:ilvl="5">
      <w:start w:val="0"/>
      <w:numFmt w:val="bullet"/>
      <w:lvlText w:val="•"/>
      <w:lvlJc w:val="left"/>
      <w:pPr>
        <w:ind w:left="5018" w:hanging="284"/>
      </w:pPr>
      <w:rPr>
        <w:rFonts w:hint="default"/>
        <w:lang w:val="es-ES" w:eastAsia="es-ES" w:bidi="es-ES"/>
      </w:rPr>
    </w:lvl>
    <w:lvl w:ilvl="6">
      <w:start w:val="0"/>
      <w:numFmt w:val="bullet"/>
      <w:lvlText w:val="•"/>
      <w:lvlJc w:val="left"/>
      <w:pPr>
        <w:ind w:left="6008" w:hanging="284"/>
      </w:pPr>
      <w:rPr>
        <w:rFonts w:hint="default"/>
        <w:lang w:val="es-ES" w:eastAsia="es-ES" w:bidi="es-ES"/>
      </w:rPr>
    </w:lvl>
    <w:lvl w:ilvl="7">
      <w:start w:val="0"/>
      <w:numFmt w:val="bullet"/>
      <w:lvlText w:val="•"/>
      <w:lvlJc w:val="left"/>
      <w:pPr>
        <w:ind w:left="6997" w:hanging="284"/>
      </w:pPr>
      <w:rPr>
        <w:rFonts w:hint="default"/>
        <w:lang w:val="es-ES" w:eastAsia="es-ES" w:bidi="es-ES"/>
      </w:rPr>
    </w:lvl>
    <w:lvl w:ilvl="8">
      <w:start w:val="0"/>
      <w:numFmt w:val="bullet"/>
      <w:lvlText w:val="•"/>
      <w:lvlJc w:val="left"/>
      <w:pPr>
        <w:ind w:left="7987" w:hanging="284"/>
      </w:pPr>
      <w:rPr>
        <w:rFonts w:hint="default"/>
        <w:lang w:val="es-ES" w:eastAsia="es-ES" w:bidi="es-ES"/>
      </w:rPr>
    </w:lvl>
  </w:abstractNum>
  <w:abstractNum w:abstractNumId="116">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1"/>
      <w:numFmt w:val="lowerLetter"/>
      <w:lvlText w:val="%2)"/>
      <w:lvlJc w:val="left"/>
      <w:pPr>
        <w:ind w:left="938" w:hanging="364"/>
        <w:jc w:val="left"/>
      </w:pPr>
      <w:rPr>
        <w:rFonts w:hint="default" w:ascii="Arial" w:hAnsi="Arial" w:eastAsia="Arial" w:cs="Arial"/>
        <w:w w:val="100"/>
        <w:sz w:val="20"/>
        <w:szCs w:val="20"/>
        <w:lang w:val="es-ES" w:eastAsia="es-ES" w:bidi="es-ES"/>
      </w:rPr>
    </w:lvl>
    <w:lvl w:ilvl="2">
      <w:start w:val="1"/>
      <w:numFmt w:val="lowerRoman"/>
      <w:lvlText w:val="%3)"/>
      <w:lvlJc w:val="left"/>
      <w:pPr>
        <w:ind w:left="1297" w:hanging="415"/>
        <w:jc w:val="left"/>
      </w:pPr>
      <w:rPr>
        <w:rFonts w:hint="default" w:ascii="Arial" w:hAnsi="Arial" w:eastAsia="Arial" w:cs="Arial"/>
        <w:spacing w:val="-1"/>
        <w:w w:val="100"/>
        <w:sz w:val="20"/>
        <w:szCs w:val="20"/>
        <w:lang w:val="es-ES" w:eastAsia="es-ES" w:bidi="es-ES"/>
      </w:rPr>
    </w:lvl>
    <w:lvl w:ilvl="3">
      <w:start w:val="0"/>
      <w:numFmt w:val="bullet"/>
      <w:lvlText w:val="•"/>
      <w:lvlJc w:val="left"/>
      <w:pPr>
        <w:ind w:left="2383" w:hanging="415"/>
      </w:pPr>
      <w:rPr>
        <w:rFonts w:hint="default"/>
        <w:lang w:val="es-ES" w:eastAsia="es-ES" w:bidi="es-ES"/>
      </w:rPr>
    </w:lvl>
    <w:lvl w:ilvl="4">
      <w:start w:val="0"/>
      <w:numFmt w:val="bullet"/>
      <w:lvlText w:val="•"/>
      <w:lvlJc w:val="left"/>
      <w:pPr>
        <w:ind w:left="3466" w:hanging="415"/>
      </w:pPr>
      <w:rPr>
        <w:rFonts w:hint="default"/>
        <w:lang w:val="es-ES" w:eastAsia="es-ES" w:bidi="es-ES"/>
      </w:rPr>
    </w:lvl>
    <w:lvl w:ilvl="5">
      <w:start w:val="0"/>
      <w:numFmt w:val="bullet"/>
      <w:lvlText w:val="•"/>
      <w:lvlJc w:val="left"/>
      <w:pPr>
        <w:ind w:left="4549" w:hanging="415"/>
      </w:pPr>
      <w:rPr>
        <w:rFonts w:hint="default"/>
        <w:lang w:val="es-ES" w:eastAsia="es-ES" w:bidi="es-ES"/>
      </w:rPr>
    </w:lvl>
    <w:lvl w:ilvl="6">
      <w:start w:val="0"/>
      <w:numFmt w:val="bullet"/>
      <w:lvlText w:val="•"/>
      <w:lvlJc w:val="left"/>
      <w:pPr>
        <w:ind w:left="5633" w:hanging="415"/>
      </w:pPr>
      <w:rPr>
        <w:rFonts w:hint="default"/>
        <w:lang w:val="es-ES" w:eastAsia="es-ES" w:bidi="es-ES"/>
      </w:rPr>
    </w:lvl>
    <w:lvl w:ilvl="7">
      <w:start w:val="0"/>
      <w:numFmt w:val="bullet"/>
      <w:lvlText w:val="•"/>
      <w:lvlJc w:val="left"/>
      <w:pPr>
        <w:ind w:left="6716" w:hanging="415"/>
      </w:pPr>
      <w:rPr>
        <w:rFonts w:hint="default"/>
        <w:lang w:val="es-ES" w:eastAsia="es-ES" w:bidi="es-ES"/>
      </w:rPr>
    </w:lvl>
    <w:lvl w:ilvl="8">
      <w:start w:val="0"/>
      <w:numFmt w:val="bullet"/>
      <w:lvlText w:val="•"/>
      <w:lvlJc w:val="left"/>
      <w:pPr>
        <w:ind w:left="7799" w:hanging="415"/>
      </w:pPr>
      <w:rPr>
        <w:rFonts w:hint="default"/>
        <w:lang w:val="es-ES" w:eastAsia="es-ES" w:bidi="es-ES"/>
      </w:rPr>
    </w:lvl>
  </w:abstractNum>
  <w:abstractNum w:abstractNumId="115">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114">
    <w:multiLevelType w:val="hybridMultilevel"/>
    <w:lvl w:ilvl="0">
      <w:start w:val="1"/>
      <w:numFmt w:val="decimal"/>
      <w:lvlText w:val="%1"/>
      <w:lvlJc w:val="left"/>
      <w:pPr>
        <w:ind w:left="842" w:hanging="624"/>
        <w:jc w:val="left"/>
      </w:pPr>
      <w:rPr>
        <w:rFonts w:hint="default" w:ascii="Arial" w:hAnsi="Arial" w:eastAsia="Arial" w:cs="Arial"/>
        <w:b/>
        <w:bCs/>
        <w:w w:val="99"/>
        <w:sz w:val="28"/>
        <w:szCs w:val="28"/>
        <w:lang w:val="es-ES" w:eastAsia="es-ES" w:bidi="es-ES"/>
      </w:rPr>
    </w:lvl>
    <w:lvl w:ilvl="1">
      <w:start w:val="1"/>
      <w:numFmt w:val="decimal"/>
      <w:lvlText w:val="%1.%2"/>
      <w:lvlJc w:val="left"/>
      <w:pPr>
        <w:ind w:left="671" w:hanging="454"/>
        <w:jc w:val="left"/>
      </w:pPr>
      <w:rPr>
        <w:rFonts w:hint="default" w:ascii="Arial" w:hAnsi="Arial" w:eastAsia="Arial" w:cs="Arial"/>
        <w:b/>
        <w:bCs/>
        <w:spacing w:val="-14"/>
        <w:w w:val="100"/>
        <w:sz w:val="24"/>
        <w:szCs w:val="24"/>
        <w:lang w:val="es-ES" w:eastAsia="es-ES" w:bidi="es-ES"/>
      </w:rPr>
    </w:lvl>
    <w:lvl w:ilvl="2">
      <w:start w:val="0"/>
      <w:numFmt w:val="bullet"/>
      <w:lvlText w:val="•"/>
      <w:lvlJc w:val="left"/>
      <w:pPr>
        <w:ind w:left="1854" w:hanging="454"/>
      </w:pPr>
      <w:rPr>
        <w:rFonts w:hint="default"/>
        <w:lang w:val="es-ES" w:eastAsia="es-ES" w:bidi="es-ES"/>
      </w:rPr>
    </w:lvl>
    <w:lvl w:ilvl="3">
      <w:start w:val="0"/>
      <w:numFmt w:val="bullet"/>
      <w:lvlText w:val="•"/>
      <w:lvlJc w:val="left"/>
      <w:pPr>
        <w:ind w:left="2868" w:hanging="454"/>
      </w:pPr>
      <w:rPr>
        <w:rFonts w:hint="default"/>
        <w:lang w:val="es-ES" w:eastAsia="es-ES" w:bidi="es-ES"/>
      </w:rPr>
    </w:lvl>
    <w:lvl w:ilvl="4">
      <w:start w:val="0"/>
      <w:numFmt w:val="bullet"/>
      <w:lvlText w:val="•"/>
      <w:lvlJc w:val="left"/>
      <w:pPr>
        <w:ind w:left="3882" w:hanging="454"/>
      </w:pPr>
      <w:rPr>
        <w:rFonts w:hint="default"/>
        <w:lang w:val="es-ES" w:eastAsia="es-ES" w:bidi="es-ES"/>
      </w:rPr>
    </w:lvl>
    <w:lvl w:ilvl="5">
      <w:start w:val="0"/>
      <w:numFmt w:val="bullet"/>
      <w:lvlText w:val="•"/>
      <w:lvlJc w:val="left"/>
      <w:pPr>
        <w:ind w:left="4896" w:hanging="454"/>
      </w:pPr>
      <w:rPr>
        <w:rFonts w:hint="default"/>
        <w:lang w:val="es-ES" w:eastAsia="es-ES" w:bidi="es-ES"/>
      </w:rPr>
    </w:lvl>
    <w:lvl w:ilvl="6">
      <w:start w:val="0"/>
      <w:numFmt w:val="bullet"/>
      <w:lvlText w:val="•"/>
      <w:lvlJc w:val="left"/>
      <w:pPr>
        <w:ind w:left="5910" w:hanging="454"/>
      </w:pPr>
      <w:rPr>
        <w:rFonts w:hint="default"/>
        <w:lang w:val="es-ES" w:eastAsia="es-ES" w:bidi="es-ES"/>
      </w:rPr>
    </w:lvl>
    <w:lvl w:ilvl="7">
      <w:start w:val="0"/>
      <w:numFmt w:val="bullet"/>
      <w:lvlText w:val="•"/>
      <w:lvlJc w:val="left"/>
      <w:pPr>
        <w:ind w:left="6924" w:hanging="454"/>
      </w:pPr>
      <w:rPr>
        <w:rFonts w:hint="default"/>
        <w:lang w:val="es-ES" w:eastAsia="es-ES" w:bidi="es-ES"/>
      </w:rPr>
    </w:lvl>
    <w:lvl w:ilvl="8">
      <w:start w:val="0"/>
      <w:numFmt w:val="bullet"/>
      <w:lvlText w:val="•"/>
      <w:lvlJc w:val="left"/>
      <w:pPr>
        <w:ind w:left="7938" w:hanging="454"/>
      </w:pPr>
      <w:rPr>
        <w:rFonts w:hint="default"/>
        <w:lang w:val="es-ES" w:eastAsia="es-ES" w:bidi="es-ES"/>
      </w:rPr>
    </w:lvl>
  </w:abstractNum>
  <w:abstractNum w:abstractNumId="113">
    <w:multiLevelType w:val="hybridMultilevel"/>
    <w:lvl w:ilvl="0">
      <w:start w:val="1"/>
      <w:numFmt w:val="lowerLetter"/>
      <w:lvlText w:val="%1)"/>
      <w:lvlJc w:val="left"/>
      <w:pPr>
        <w:ind w:left="1126"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11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1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09">
    <w:multiLevelType w:val="hybridMultilevel"/>
    <w:lvl w:ilvl="0">
      <w:start w:val="3"/>
      <w:numFmt w:val="decimal"/>
      <w:lvlText w:val="%1"/>
      <w:lvlJc w:val="left"/>
      <w:pPr>
        <w:ind w:left="503" w:hanging="285"/>
        <w:jc w:val="left"/>
      </w:pPr>
      <w:rPr>
        <w:rFonts w:hint="default" w:ascii="Arial" w:hAnsi="Arial" w:eastAsia="Arial" w:cs="Arial"/>
        <w:b/>
        <w:bCs/>
        <w:w w:val="99"/>
        <w:sz w:val="28"/>
        <w:szCs w:val="28"/>
        <w:lang w:val="es-ES" w:eastAsia="es-ES" w:bidi="es-ES"/>
      </w:rPr>
    </w:lvl>
    <w:lvl w:ilvl="1">
      <w:start w:val="1"/>
      <w:numFmt w:val="decimal"/>
      <w:lvlText w:val="%1.%2"/>
      <w:lvlJc w:val="left"/>
      <w:pPr>
        <w:ind w:left="674" w:hanging="457"/>
        <w:jc w:val="left"/>
      </w:pPr>
      <w:rPr>
        <w:rFonts w:hint="default" w:ascii="Arial" w:hAnsi="Arial" w:eastAsia="Arial" w:cs="Arial"/>
        <w:b/>
        <w:bCs/>
        <w:w w:val="99"/>
        <w:sz w:val="24"/>
        <w:szCs w:val="24"/>
        <w:lang w:val="es-ES" w:eastAsia="es-ES" w:bidi="es-ES"/>
      </w:rPr>
    </w:lvl>
    <w:lvl w:ilvl="2">
      <w:start w:val="0"/>
      <w:numFmt w:val="bullet"/>
      <w:lvlText w:val="•"/>
      <w:lvlJc w:val="left"/>
      <w:pPr>
        <w:ind w:left="1711" w:hanging="457"/>
      </w:pPr>
      <w:rPr>
        <w:rFonts w:hint="default"/>
        <w:lang w:val="es-ES" w:eastAsia="es-ES" w:bidi="es-ES"/>
      </w:rPr>
    </w:lvl>
    <w:lvl w:ilvl="3">
      <w:start w:val="0"/>
      <w:numFmt w:val="bullet"/>
      <w:lvlText w:val="•"/>
      <w:lvlJc w:val="left"/>
      <w:pPr>
        <w:ind w:left="2743" w:hanging="457"/>
      </w:pPr>
      <w:rPr>
        <w:rFonts w:hint="default"/>
        <w:lang w:val="es-ES" w:eastAsia="es-ES" w:bidi="es-ES"/>
      </w:rPr>
    </w:lvl>
    <w:lvl w:ilvl="4">
      <w:start w:val="0"/>
      <w:numFmt w:val="bullet"/>
      <w:lvlText w:val="•"/>
      <w:lvlJc w:val="left"/>
      <w:pPr>
        <w:ind w:left="3775" w:hanging="457"/>
      </w:pPr>
      <w:rPr>
        <w:rFonts w:hint="default"/>
        <w:lang w:val="es-ES" w:eastAsia="es-ES" w:bidi="es-ES"/>
      </w:rPr>
    </w:lvl>
    <w:lvl w:ilvl="5">
      <w:start w:val="0"/>
      <w:numFmt w:val="bullet"/>
      <w:lvlText w:val="•"/>
      <w:lvlJc w:val="left"/>
      <w:pPr>
        <w:ind w:left="4807" w:hanging="457"/>
      </w:pPr>
      <w:rPr>
        <w:rFonts w:hint="default"/>
        <w:lang w:val="es-ES" w:eastAsia="es-ES" w:bidi="es-ES"/>
      </w:rPr>
    </w:lvl>
    <w:lvl w:ilvl="6">
      <w:start w:val="0"/>
      <w:numFmt w:val="bullet"/>
      <w:lvlText w:val="•"/>
      <w:lvlJc w:val="left"/>
      <w:pPr>
        <w:ind w:left="5839" w:hanging="457"/>
      </w:pPr>
      <w:rPr>
        <w:rFonts w:hint="default"/>
        <w:lang w:val="es-ES" w:eastAsia="es-ES" w:bidi="es-ES"/>
      </w:rPr>
    </w:lvl>
    <w:lvl w:ilvl="7">
      <w:start w:val="0"/>
      <w:numFmt w:val="bullet"/>
      <w:lvlText w:val="•"/>
      <w:lvlJc w:val="left"/>
      <w:pPr>
        <w:ind w:left="6870" w:hanging="457"/>
      </w:pPr>
      <w:rPr>
        <w:rFonts w:hint="default"/>
        <w:lang w:val="es-ES" w:eastAsia="es-ES" w:bidi="es-ES"/>
      </w:rPr>
    </w:lvl>
    <w:lvl w:ilvl="8">
      <w:start w:val="0"/>
      <w:numFmt w:val="bullet"/>
      <w:lvlText w:val="•"/>
      <w:lvlJc w:val="left"/>
      <w:pPr>
        <w:ind w:left="7902" w:hanging="457"/>
      </w:pPr>
      <w:rPr>
        <w:rFonts w:hint="default"/>
        <w:lang w:val="es-ES" w:eastAsia="es-ES" w:bidi="es-ES"/>
      </w:rPr>
    </w:lvl>
  </w:abstractNum>
  <w:abstractNum w:abstractNumId="10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0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0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0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10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0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0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359" w:hanging="454"/>
      </w:pPr>
      <w:rPr>
        <w:rFonts w:hint="default"/>
        <w:lang w:val="es-ES" w:eastAsia="es-ES" w:bidi="es-ES"/>
      </w:rPr>
    </w:lvl>
    <w:lvl w:ilvl="2">
      <w:start w:val="0"/>
      <w:numFmt w:val="bullet"/>
      <w:lvlText w:val="•"/>
      <w:lvlJc w:val="left"/>
      <w:pPr>
        <w:ind w:left="2038" w:hanging="454"/>
      </w:pPr>
      <w:rPr>
        <w:rFonts w:hint="default"/>
        <w:lang w:val="es-ES" w:eastAsia="es-ES" w:bidi="es-ES"/>
      </w:rPr>
    </w:lvl>
    <w:lvl w:ilvl="3">
      <w:start w:val="0"/>
      <w:numFmt w:val="bullet"/>
      <w:lvlText w:val="•"/>
      <w:lvlJc w:val="left"/>
      <w:pPr>
        <w:ind w:left="2717" w:hanging="454"/>
      </w:pPr>
      <w:rPr>
        <w:rFonts w:hint="default"/>
        <w:lang w:val="es-ES" w:eastAsia="es-ES" w:bidi="es-ES"/>
      </w:rPr>
    </w:lvl>
    <w:lvl w:ilvl="4">
      <w:start w:val="0"/>
      <w:numFmt w:val="bullet"/>
      <w:lvlText w:val="•"/>
      <w:lvlJc w:val="left"/>
      <w:pPr>
        <w:ind w:left="3397" w:hanging="454"/>
      </w:pPr>
      <w:rPr>
        <w:rFonts w:hint="default"/>
        <w:lang w:val="es-ES" w:eastAsia="es-ES" w:bidi="es-ES"/>
      </w:rPr>
    </w:lvl>
    <w:lvl w:ilvl="5">
      <w:start w:val="0"/>
      <w:numFmt w:val="bullet"/>
      <w:lvlText w:val="•"/>
      <w:lvlJc w:val="left"/>
      <w:pPr>
        <w:ind w:left="4076" w:hanging="454"/>
      </w:pPr>
      <w:rPr>
        <w:rFonts w:hint="default"/>
        <w:lang w:val="es-ES" w:eastAsia="es-ES" w:bidi="es-ES"/>
      </w:rPr>
    </w:lvl>
    <w:lvl w:ilvl="6">
      <w:start w:val="0"/>
      <w:numFmt w:val="bullet"/>
      <w:lvlText w:val="•"/>
      <w:lvlJc w:val="left"/>
      <w:pPr>
        <w:ind w:left="4755" w:hanging="454"/>
      </w:pPr>
      <w:rPr>
        <w:rFonts w:hint="default"/>
        <w:lang w:val="es-ES" w:eastAsia="es-ES" w:bidi="es-ES"/>
      </w:rPr>
    </w:lvl>
    <w:lvl w:ilvl="7">
      <w:start w:val="0"/>
      <w:numFmt w:val="bullet"/>
      <w:lvlText w:val="•"/>
      <w:lvlJc w:val="left"/>
      <w:pPr>
        <w:ind w:left="5434" w:hanging="454"/>
      </w:pPr>
      <w:rPr>
        <w:rFonts w:hint="default"/>
        <w:lang w:val="es-ES" w:eastAsia="es-ES" w:bidi="es-ES"/>
      </w:rPr>
    </w:lvl>
    <w:lvl w:ilvl="8">
      <w:start w:val="0"/>
      <w:numFmt w:val="bullet"/>
      <w:lvlText w:val="•"/>
      <w:lvlJc w:val="left"/>
      <w:pPr>
        <w:ind w:left="6114" w:hanging="454"/>
      </w:pPr>
      <w:rPr>
        <w:rFonts w:hint="default"/>
        <w:lang w:val="es-ES" w:eastAsia="es-ES" w:bidi="es-ES"/>
      </w:rPr>
    </w:lvl>
  </w:abstractNum>
  <w:abstractNum w:abstractNumId="10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9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98">
    <w:multiLevelType w:val="hybridMultilevel"/>
    <w:lvl w:ilvl="0">
      <w:start w:val="2"/>
      <w:numFmt w:val="decimal"/>
      <w:lvlText w:val="%1"/>
      <w:lvlJc w:val="left"/>
      <w:pPr>
        <w:ind w:left="503" w:hanging="285"/>
        <w:jc w:val="left"/>
      </w:pPr>
      <w:rPr>
        <w:rFonts w:hint="default" w:ascii="Arial" w:hAnsi="Arial" w:eastAsia="Arial" w:cs="Arial"/>
        <w:b/>
        <w:bCs/>
        <w:w w:val="99"/>
        <w:sz w:val="28"/>
        <w:szCs w:val="28"/>
        <w:lang w:val="es-ES" w:eastAsia="es-ES" w:bidi="es-ES"/>
      </w:rPr>
    </w:lvl>
    <w:lvl w:ilvl="1">
      <w:start w:val="1"/>
      <w:numFmt w:val="decimal"/>
      <w:lvlText w:val="%1.%2"/>
      <w:lvlJc w:val="left"/>
      <w:pPr>
        <w:ind w:left="674" w:hanging="457"/>
        <w:jc w:val="left"/>
      </w:pPr>
      <w:rPr>
        <w:rFonts w:hint="default" w:ascii="Arial" w:hAnsi="Arial" w:eastAsia="Arial" w:cs="Arial"/>
        <w:b/>
        <w:bCs/>
        <w:w w:val="99"/>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928" w:hanging="710"/>
        <w:jc w:val="left"/>
      </w:pPr>
      <w:rPr>
        <w:rFonts w:hint="default" w:ascii="Arial" w:hAnsi="Arial" w:eastAsia="Arial" w:cs="Arial"/>
        <w:b/>
        <w:bCs/>
        <w:spacing w:val="-1"/>
        <w:w w:val="100"/>
        <w:sz w:val="20"/>
        <w:szCs w:val="20"/>
        <w:lang w:val="es-ES" w:eastAsia="es-ES" w:bidi="es-ES"/>
      </w:rPr>
    </w:lvl>
    <w:lvl w:ilvl="4">
      <w:start w:val="0"/>
      <w:numFmt w:val="bullet"/>
      <w:lvlText w:val="•"/>
      <w:lvlJc w:val="left"/>
      <w:pPr>
        <w:ind w:left="1856" w:hanging="710"/>
      </w:pPr>
      <w:rPr>
        <w:rFonts w:hint="default"/>
        <w:lang w:val="es-ES" w:eastAsia="es-ES" w:bidi="es-ES"/>
      </w:rPr>
    </w:lvl>
    <w:lvl w:ilvl="5">
      <w:start w:val="0"/>
      <w:numFmt w:val="bullet"/>
      <w:lvlText w:val="•"/>
      <w:lvlJc w:val="left"/>
      <w:pPr>
        <w:ind w:left="2792" w:hanging="710"/>
      </w:pPr>
      <w:rPr>
        <w:rFonts w:hint="default"/>
        <w:lang w:val="es-ES" w:eastAsia="es-ES" w:bidi="es-ES"/>
      </w:rPr>
    </w:lvl>
    <w:lvl w:ilvl="6">
      <w:start w:val="0"/>
      <w:numFmt w:val="bullet"/>
      <w:lvlText w:val="•"/>
      <w:lvlJc w:val="left"/>
      <w:pPr>
        <w:ind w:left="3728" w:hanging="710"/>
      </w:pPr>
      <w:rPr>
        <w:rFonts w:hint="default"/>
        <w:lang w:val="es-ES" w:eastAsia="es-ES" w:bidi="es-ES"/>
      </w:rPr>
    </w:lvl>
    <w:lvl w:ilvl="7">
      <w:start w:val="0"/>
      <w:numFmt w:val="bullet"/>
      <w:lvlText w:val="•"/>
      <w:lvlJc w:val="left"/>
      <w:pPr>
        <w:ind w:left="4664" w:hanging="710"/>
      </w:pPr>
      <w:rPr>
        <w:rFonts w:hint="default"/>
        <w:lang w:val="es-ES" w:eastAsia="es-ES" w:bidi="es-ES"/>
      </w:rPr>
    </w:lvl>
    <w:lvl w:ilvl="8">
      <w:start w:val="0"/>
      <w:numFmt w:val="bullet"/>
      <w:lvlText w:val="•"/>
      <w:lvlJc w:val="left"/>
      <w:pPr>
        <w:ind w:left="5600" w:hanging="710"/>
      </w:pPr>
      <w:rPr>
        <w:rFonts w:hint="default"/>
        <w:lang w:val="es-ES" w:eastAsia="es-ES" w:bidi="es-ES"/>
      </w:rPr>
    </w:lvl>
  </w:abstractNum>
  <w:abstractNum w:abstractNumId="9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4"/>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9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95">
    <w:multiLevelType w:val="hybridMultilevel"/>
    <w:lvl w:ilvl="0">
      <w:start w:val="1"/>
      <w:numFmt w:val="decimal"/>
      <w:lvlText w:val="%1"/>
      <w:lvlJc w:val="left"/>
      <w:pPr>
        <w:ind w:left="503" w:hanging="285"/>
        <w:jc w:val="left"/>
      </w:pPr>
      <w:rPr>
        <w:rFonts w:hint="default" w:ascii="Arial" w:hAnsi="Arial" w:eastAsia="Arial" w:cs="Arial"/>
        <w:b/>
        <w:bCs/>
        <w:w w:val="99"/>
        <w:sz w:val="28"/>
        <w:szCs w:val="28"/>
        <w:lang w:val="es-ES" w:eastAsia="es-ES" w:bidi="es-ES"/>
      </w:rPr>
    </w:lvl>
    <w:lvl w:ilvl="1">
      <w:start w:val="1"/>
      <w:numFmt w:val="decimal"/>
      <w:lvlText w:val="%1.%2"/>
      <w:lvlJc w:val="left"/>
      <w:pPr>
        <w:ind w:left="674" w:hanging="457"/>
        <w:jc w:val="left"/>
      </w:pPr>
      <w:rPr>
        <w:rFonts w:hint="default" w:ascii="Arial" w:hAnsi="Arial" w:eastAsia="Arial" w:cs="Arial"/>
        <w:b/>
        <w:bCs/>
        <w:w w:val="99"/>
        <w:sz w:val="24"/>
        <w:szCs w:val="24"/>
        <w:lang w:val="es-ES" w:eastAsia="es-ES" w:bidi="es-ES"/>
      </w:rPr>
    </w:lvl>
    <w:lvl w:ilvl="2">
      <w:start w:val="0"/>
      <w:numFmt w:val="bullet"/>
      <w:lvlText w:val="•"/>
      <w:lvlJc w:val="left"/>
      <w:pPr>
        <w:ind w:left="1711" w:hanging="457"/>
      </w:pPr>
      <w:rPr>
        <w:rFonts w:hint="default"/>
        <w:lang w:val="es-ES" w:eastAsia="es-ES" w:bidi="es-ES"/>
      </w:rPr>
    </w:lvl>
    <w:lvl w:ilvl="3">
      <w:start w:val="0"/>
      <w:numFmt w:val="bullet"/>
      <w:lvlText w:val="•"/>
      <w:lvlJc w:val="left"/>
      <w:pPr>
        <w:ind w:left="2743" w:hanging="457"/>
      </w:pPr>
      <w:rPr>
        <w:rFonts w:hint="default"/>
        <w:lang w:val="es-ES" w:eastAsia="es-ES" w:bidi="es-ES"/>
      </w:rPr>
    </w:lvl>
    <w:lvl w:ilvl="4">
      <w:start w:val="0"/>
      <w:numFmt w:val="bullet"/>
      <w:lvlText w:val="•"/>
      <w:lvlJc w:val="left"/>
      <w:pPr>
        <w:ind w:left="3775" w:hanging="457"/>
      </w:pPr>
      <w:rPr>
        <w:rFonts w:hint="default"/>
        <w:lang w:val="es-ES" w:eastAsia="es-ES" w:bidi="es-ES"/>
      </w:rPr>
    </w:lvl>
    <w:lvl w:ilvl="5">
      <w:start w:val="0"/>
      <w:numFmt w:val="bullet"/>
      <w:lvlText w:val="•"/>
      <w:lvlJc w:val="left"/>
      <w:pPr>
        <w:ind w:left="4807" w:hanging="457"/>
      </w:pPr>
      <w:rPr>
        <w:rFonts w:hint="default"/>
        <w:lang w:val="es-ES" w:eastAsia="es-ES" w:bidi="es-ES"/>
      </w:rPr>
    </w:lvl>
    <w:lvl w:ilvl="6">
      <w:start w:val="0"/>
      <w:numFmt w:val="bullet"/>
      <w:lvlText w:val="•"/>
      <w:lvlJc w:val="left"/>
      <w:pPr>
        <w:ind w:left="5839" w:hanging="457"/>
      </w:pPr>
      <w:rPr>
        <w:rFonts w:hint="default"/>
        <w:lang w:val="es-ES" w:eastAsia="es-ES" w:bidi="es-ES"/>
      </w:rPr>
    </w:lvl>
    <w:lvl w:ilvl="7">
      <w:start w:val="0"/>
      <w:numFmt w:val="bullet"/>
      <w:lvlText w:val="•"/>
      <w:lvlJc w:val="left"/>
      <w:pPr>
        <w:ind w:left="6870" w:hanging="457"/>
      </w:pPr>
      <w:rPr>
        <w:rFonts w:hint="default"/>
        <w:lang w:val="es-ES" w:eastAsia="es-ES" w:bidi="es-ES"/>
      </w:rPr>
    </w:lvl>
    <w:lvl w:ilvl="8">
      <w:start w:val="0"/>
      <w:numFmt w:val="bullet"/>
      <w:lvlText w:val="•"/>
      <w:lvlJc w:val="left"/>
      <w:pPr>
        <w:ind w:left="7902" w:hanging="457"/>
      </w:pPr>
      <w:rPr>
        <w:rFonts w:hint="default"/>
        <w:lang w:val="es-ES" w:eastAsia="es-ES" w:bidi="es-ES"/>
      </w:rPr>
    </w:lvl>
  </w:abstractNum>
  <w:abstractNum w:abstractNumId="93">
    <w:multiLevelType w:val="hybridMultilevel"/>
    <w:lvl w:ilvl="0">
      <w:start w:val="1"/>
      <w:numFmt w:val="lowerLetter"/>
      <w:lvlText w:val="%1)"/>
      <w:lvlJc w:val="left"/>
      <w:pPr>
        <w:ind w:left="1126" w:hanging="455"/>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5"/>
      </w:pPr>
      <w:rPr>
        <w:rFonts w:hint="default"/>
        <w:lang w:val="es-ES" w:eastAsia="es-ES" w:bidi="es-ES"/>
      </w:rPr>
    </w:lvl>
    <w:lvl w:ilvl="2">
      <w:start w:val="0"/>
      <w:numFmt w:val="bullet"/>
      <w:lvlText w:val="•"/>
      <w:lvlJc w:val="left"/>
      <w:pPr>
        <w:ind w:left="2889" w:hanging="455"/>
      </w:pPr>
      <w:rPr>
        <w:rFonts w:hint="default"/>
        <w:lang w:val="es-ES" w:eastAsia="es-ES" w:bidi="es-ES"/>
      </w:rPr>
    </w:lvl>
    <w:lvl w:ilvl="3">
      <w:start w:val="0"/>
      <w:numFmt w:val="bullet"/>
      <w:lvlText w:val="•"/>
      <w:lvlJc w:val="left"/>
      <w:pPr>
        <w:ind w:left="3773" w:hanging="455"/>
      </w:pPr>
      <w:rPr>
        <w:rFonts w:hint="default"/>
        <w:lang w:val="es-ES" w:eastAsia="es-ES" w:bidi="es-ES"/>
      </w:rPr>
    </w:lvl>
    <w:lvl w:ilvl="4">
      <w:start w:val="0"/>
      <w:numFmt w:val="bullet"/>
      <w:lvlText w:val="•"/>
      <w:lvlJc w:val="left"/>
      <w:pPr>
        <w:ind w:left="4658" w:hanging="455"/>
      </w:pPr>
      <w:rPr>
        <w:rFonts w:hint="default"/>
        <w:lang w:val="es-ES" w:eastAsia="es-ES" w:bidi="es-ES"/>
      </w:rPr>
    </w:lvl>
    <w:lvl w:ilvl="5">
      <w:start w:val="0"/>
      <w:numFmt w:val="bullet"/>
      <w:lvlText w:val="•"/>
      <w:lvlJc w:val="left"/>
      <w:pPr>
        <w:ind w:left="5543" w:hanging="455"/>
      </w:pPr>
      <w:rPr>
        <w:rFonts w:hint="default"/>
        <w:lang w:val="es-ES" w:eastAsia="es-ES" w:bidi="es-ES"/>
      </w:rPr>
    </w:lvl>
    <w:lvl w:ilvl="6">
      <w:start w:val="0"/>
      <w:numFmt w:val="bullet"/>
      <w:lvlText w:val="•"/>
      <w:lvlJc w:val="left"/>
      <w:pPr>
        <w:ind w:left="6427" w:hanging="455"/>
      </w:pPr>
      <w:rPr>
        <w:rFonts w:hint="default"/>
        <w:lang w:val="es-ES" w:eastAsia="es-ES" w:bidi="es-ES"/>
      </w:rPr>
    </w:lvl>
    <w:lvl w:ilvl="7">
      <w:start w:val="0"/>
      <w:numFmt w:val="bullet"/>
      <w:lvlText w:val="•"/>
      <w:lvlJc w:val="left"/>
      <w:pPr>
        <w:ind w:left="7312" w:hanging="455"/>
      </w:pPr>
      <w:rPr>
        <w:rFonts w:hint="default"/>
        <w:lang w:val="es-ES" w:eastAsia="es-ES" w:bidi="es-ES"/>
      </w:rPr>
    </w:lvl>
    <w:lvl w:ilvl="8">
      <w:start w:val="0"/>
      <w:numFmt w:val="bullet"/>
      <w:lvlText w:val="•"/>
      <w:lvlJc w:val="left"/>
      <w:pPr>
        <w:ind w:left="8197" w:hanging="455"/>
      </w:pPr>
      <w:rPr>
        <w:rFonts w:hint="default"/>
        <w:lang w:val="es-ES" w:eastAsia="es-ES" w:bidi="es-ES"/>
      </w:rPr>
    </w:lvl>
  </w:abstractNum>
  <w:abstractNum w:abstractNumId="91">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0"/>
      <w:numFmt w:val="bullet"/>
      <w:lvlText w:val="•"/>
      <w:lvlJc w:val="left"/>
      <w:pPr>
        <w:ind w:left="1518" w:hanging="360"/>
      </w:pPr>
      <w:rPr>
        <w:rFonts w:hint="default"/>
        <w:lang w:val="es-ES" w:eastAsia="es-ES" w:bidi="es-ES"/>
      </w:rPr>
    </w:lvl>
    <w:lvl w:ilvl="2">
      <w:start w:val="0"/>
      <w:numFmt w:val="bullet"/>
      <w:lvlText w:val="•"/>
      <w:lvlJc w:val="left"/>
      <w:pPr>
        <w:ind w:left="2457" w:hanging="360"/>
      </w:pPr>
      <w:rPr>
        <w:rFonts w:hint="default"/>
        <w:lang w:val="es-ES" w:eastAsia="es-ES" w:bidi="es-ES"/>
      </w:rPr>
    </w:lvl>
    <w:lvl w:ilvl="3">
      <w:start w:val="0"/>
      <w:numFmt w:val="bullet"/>
      <w:lvlText w:val="•"/>
      <w:lvlJc w:val="left"/>
      <w:pPr>
        <w:ind w:left="3395" w:hanging="360"/>
      </w:pPr>
      <w:rPr>
        <w:rFonts w:hint="default"/>
        <w:lang w:val="es-ES" w:eastAsia="es-ES" w:bidi="es-ES"/>
      </w:rPr>
    </w:lvl>
    <w:lvl w:ilvl="4">
      <w:start w:val="0"/>
      <w:numFmt w:val="bullet"/>
      <w:lvlText w:val="•"/>
      <w:lvlJc w:val="left"/>
      <w:pPr>
        <w:ind w:left="4334" w:hanging="360"/>
      </w:pPr>
      <w:rPr>
        <w:rFonts w:hint="default"/>
        <w:lang w:val="es-ES" w:eastAsia="es-ES" w:bidi="es-ES"/>
      </w:rPr>
    </w:lvl>
    <w:lvl w:ilvl="5">
      <w:start w:val="0"/>
      <w:numFmt w:val="bullet"/>
      <w:lvlText w:val="•"/>
      <w:lvlJc w:val="left"/>
      <w:pPr>
        <w:ind w:left="5273" w:hanging="360"/>
      </w:pPr>
      <w:rPr>
        <w:rFonts w:hint="default"/>
        <w:lang w:val="es-ES" w:eastAsia="es-ES" w:bidi="es-ES"/>
      </w:rPr>
    </w:lvl>
    <w:lvl w:ilvl="6">
      <w:start w:val="0"/>
      <w:numFmt w:val="bullet"/>
      <w:lvlText w:val="•"/>
      <w:lvlJc w:val="left"/>
      <w:pPr>
        <w:ind w:left="6211" w:hanging="360"/>
      </w:pPr>
      <w:rPr>
        <w:rFonts w:hint="default"/>
        <w:lang w:val="es-ES" w:eastAsia="es-ES" w:bidi="es-ES"/>
      </w:rPr>
    </w:lvl>
    <w:lvl w:ilvl="7">
      <w:start w:val="0"/>
      <w:numFmt w:val="bullet"/>
      <w:lvlText w:val="•"/>
      <w:lvlJc w:val="left"/>
      <w:pPr>
        <w:ind w:left="7150" w:hanging="360"/>
      </w:pPr>
      <w:rPr>
        <w:rFonts w:hint="default"/>
        <w:lang w:val="es-ES" w:eastAsia="es-ES" w:bidi="es-ES"/>
      </w:rPr>
    </w:lvl>
    <w:lvl w:ilvl="8">
      <w:start w:val="0"/>
      <w:numFmt w:val="bullet"/>
      <w:lvlText w:val="•"/>
      <w:lvlJc w:val="left"/>
      <w:pPr>
        <w:ind w:left="8089" w:hanging="360"/>
      </w:pPr>
      <w:rPr>
        <w:rFonts w:hint="default"/>
        <w:lang w:val="es-ES" w:eastAsia="es-ES" w:bidi="es-ES"/>
      </w:rPr>
    </w:lvl>
  </w:abstractNum>
  <w:abstractNum w:abstractNumId="9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8">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7">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6">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1">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80">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79">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7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77">
    <w:multiLevelType w:val="hybridMultilevel"/>
    <w:lvl w:ilvl="0">
      <w:start w:val="5"/>
      <w:numFmt w:val="decimal"/>
      <w:lvlText w:val="%1"/>
      <w:lvlJc w:val="left"/>
      <w:pPr>
        <w:ind w:left="502" w:hanging="284"/>
        <w:jc w:val="left"/>
      </w:pPr>
      <w:rPr>
        <w:rFonts w:hint="default" w:ascii="Arial" w:hAnsi="Arial" w:eastAsia="Arial" w:cs="Arial"/>
        <w:b/>
        <w:bCs/>
        <w:w w:val="99"/>
        <w:sz w:val="28"/>
        <w:szCs w:val="28"/>
        <w:lang w:val="es-ES" w:eastAsia="es-ES" w:bidi="es-ES"/>
      </w:rPr>
    </w:lvl>
    <w:lvl w:ilvl="1">
      <w:start w:val="1"/>
      <w:numFmt w:val="decimal"/>
      <w:lvlText w:val="%1.%2"/>
      <w:lvlJc w:val="left"/>
      <w:pPr>
        <w:ind w:left="785" w:hanging="568"/>
        <w:jc w:val="left"/>
      </w:pPr>
      <w:rPr>
        <w:rFonts w:hint="default" w:ascii="Arial" w:hAnsi="Arial" w:eastAsia="Arial" w:cs="Arial"/>
        <w:b/>
        <w:bCs/>
        <w:spacing w:val="-1"/>
        <w:w w:val="100"/>
        <w:sz w:val="24"/>
        <w:szCs w:val="24"/>
        <w:lang w:val="es-ES" w:eastAsia="es-ES" w:bidi="es-ES"/>
      </w:rPr>
    </w:lvl>
    <w:lvl w:ilvl="2">
      <w:start w:val="1"/>
      <w:numFmt w:val="decimal"/>
      <w:lvlText w:val="%1.%2.%3"/>
      <w:lvlJc w:val="left"/>
      <w:pPr>
        <w:ind w:left="785" w:hanging="568"/>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927" w:hanging="710"/>
        <w:jc w:val="left"/>
      </w:pPr>
      <w:rPr>
        <w:rFonts w:hint="default" w:ascii="Arial" w:hAnsi="Arial" w:eastAsia="Arial" w:cs="Arial"/>
        <w:b/>
        <w:bCs/>
        <w:spacing w:val="-1"/>
        <w:w w:val="100"/>
        <w:sz w:val="20"/>
        <w:szCs w:val="20"/>
        <w:lang w:val="es-ES" w:eastAsia="es-ES" w:bidi="es-ES"/>
      </w:rPr>
    </w:lvl>
    <w:lvl w:ilvl="4">
      <w:start w:val="1"/>
      <w:numFmt w:val="decimal"/>
      <w:lvlText w:val="%1.%2.%3.%4.%5"/>
      <w:lvlJc w:val="left"/>
      <w:pPr>
        <w:ind w:left="1070" w:hanging="853"/>
        <w:jc w:val="left"/>
      </w:pPr>
      <w:rPr>
        <w:rFonts w:hint="default" w:ascii="Arial" w:hAnsi="Arial" w:eastAsia="Arial" w:cs="Arial"/>
        <w:b/>
        <w:bCs/>
        <w:spacing w:val="-1"/>
        <w:w w:val="100"/>
        <w:sz w:val="20"/>
        <w:szCs w:val="20"/>
        <w:lang w:val="es-ES" w:eastAsia="es-ES" w:bidi="es-ES"/>
      </w:rPr>
    </w:lvl>
    <w:lvl w:ilvl="5">
      <w:start w:val="0"/>
      <w:numFmt w:val="bullet"/>
      <w:lvlText w:val="•"/>
      <w:lvlJc w:val="left"/>
      <w:pPr>
        <w:ind w:left="3618" w:hanging="853"/>
      </w:pPr>
      <w:rPr>
        <w:rFonts w:hint="default"/>
        <w:lang w:val="es-ES" w:eastAsia="es-ES" w:bidi="es-ES"/>
      </w:rPr>
    </w:lvl>
    <w:lvl w:ilvl="6">
      <w:start w:val="0"/>
      <w:numFmt w:val="bullet"/>
      <w:lvlText w:val="•"/>
      <w:lvlJc w:val="left"/>
      <w:pPr>
        <w:ind w:left="4888" w:hanging="853"/>
      </w:pPr>
      <w:rPr>
        <w:rFonts w:hint="default"/>
        <w:lang w:val="es-ES" w:eastAsia="es-ES" w:bidi="es-ES"/>
      </w:rPr>
    </w:lvl>
    <w:lvl w:ilvl="7">
      <w:start w:val="0"/>
      <w:numFmt w:val="bullet"/>
      <w:lvlText w:val="•"/>
      <w:lvlJc w:val="left"/>
      <w:pPr>
        <w:ind w:left="6157" w:hanging="853"/>
      </w:pPr>
      <w:rPr>
        <w:rFonts w:hint="default"/>
        <w:lang w:val="es-ES" w:eastAsia="es-ES" w:bidi="es-ES"/>
      </w:rPr>
    </w:lvl>
    <w:lvl w:ilvl="8">
      <w:start w:val="0"/>
      <w:numFmt w:val="bullet"/>
      <w:lvlText w:val="•"/>
      <w:lvlJc w:val="left"/>
      <w:pPr>
        <w:ind w:left="7427" w:hanging="853"/>
      </w:pPr>
      <w:rPr>
        <w:rFonts w:hint="default"/>
        <w:lang w:val="es-ES" w:eastAsia="es-ES" w:bidi="es-ES"/>
      </w:rPr>
    </w:lvl>
  </w:abstractNum>
  <w:abstractNum w:abstractNumId="76">
    <w:multiLevelType w:val="hybridMultilevel"/>
    <w:lvl w:ilvl="0">
      <w:start w:val="1"/>
      <w:numFmt w:val="decimal"/>
      <w:lvlText w:val="%1"/>
      <w:lvlJc w:val="left"/>
      <w:pPr>
        <w:ind w:left="576" w:hanging="360"/>
        <w:jc w:val="left"/>
      </w:pPr>
      <w:rPr>
        <w:rFonts w:hint="default" w:ascii="Arial" w:hAnsi="Arial" w:eastAsia="Arial" w:cs="Arial"/>
        <w:w w:val="100"/>
        <w:sz w:val="20"/>
        <w:szCs w:val="20"/>
        <w:lang w:val="es-ES" w:eastAsia="es-ES" w:bidi="es-ES"/>
      </w:rPr>
    </w:lvl>
    <w:lvl w:ilvl="1">
      <w:start w:val="1"/>
      <w:numFmt w:val="lowerLetter"/>
      <w:lvlText w:val="%2)"/>
      <w:lvlJc w:val="left"/>
      <w:pPr>
        <w:ind w:left="938" w:hanging="363"/>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42" w:hanging="363"/>
      </w:pPr>
      <w:rPr>
        <w:rFonts w:hint="default"/>
        <w:lang w:val="es-ES" w:eastAsia="es-ES" w:bidi="es-ES"/>
      </w:rPr>
    </w:lvl>
    <w:lvl w:ilvl="3">
      <w:start w:val="0"/>
      <w:numFmt w:val="bullet"/>
      <w:lvlText w:val="•"/>
      <w:lvlJc w:val="left"/>
      <w:pPr>
        <w:ind w:left="2945" w:hanging="363"/>
      </w:pPr>
      <w:rPr>
        <w:rFonts w:hint="default"/>
        <w:lang w:val="es-ES" w:eastAsia="es-ES" w:bidi="es-ES"/>
      </w:rPr>
    </w:lvl>
    <w:lvl w:ilvl="4">
      <w:start w:val="0"/>
      <w:numFmt w:val="bullet"/>
      <w:lvlText w:val="•"/>
      <w:lvlJc w:val="left"/>
      <w:pPr>
        <w:ind w:left="3948" w:hanging="363"/>
      </w:pPr>
      <w:rPr>
        <w:rFonts w:hint="default"/>
        <w:lang w:val="es-ES" w:eastAsia="es-ES" w:bidi="es-ES"/>
      </w:rPr>
    </w:lvl>
    <w:lvl w:ilvl="5">
      <w:start w:val="0"/>
      <w:numFmt w:val="bullet"/>
      <w:lvlText w:val="•"/>
      <w:lvlJc w:val="left"/>
      <w:pPr>
        <w:ind w:left="4951" w:hanging="363"/>
      </w:pPr>
      <w:rPr>
        <w:rFonts w:hint="default"/>
        <w:lang w:val="es-ES" w:eastAsia="es-ES" w:bidi="es-ES"/>
      </w:rPr>
    </w:lvl>
    <w:lvl w:ilvl="6">
      <w:start w:val="0"/>
      <w:numFmt w:val="bullet"/>
      <w:lvlText w:val="•"/>
      <w:lvlJc w:val="left"/>
      <w:pPr>
        <w:ind w:left="5954" w:hanging="363"/>
      </w:pPr>
      <w:rPr>
        <w:rFonts w:hint="default"/>
        <w:lang w:val="es-ES" w:eastAsia="es-ES" w:bidi="es-ES"/>
      </w:rPr>
    </w:lvl>
    <w:lvl w:ilvl="7">
      <w:start w:val="0"/>
      <w:numFmt w:val="bullet"/>
      <w:lvlText w:val="•"/>
      <w:lvlJc w:val="left"/>
      <w:pPr>
        <w:ind w:left="6957" w:hanging="363"/>
      </w:pPr>
      <w:rPr>
        <w:rFonts w:hint="default"/>
        <w:lang w:val="es-ES" w:eastAsia="es-ES" w:bidi="es-ES"/>
      </w:rPr>
    </w:lvl>
    <w:lvl w:ilvl="8">
      <w:start w:val="0"/>
      <w:numFmt w:val="bullet"/>
      <w:lvlText w:val="•"/>
      <w:lvlJc w:val="left"/>
      <w:pPr>
        <w:ind w:left="7960" w:hanging="363"/>
      </w:pPr>
      <w:rPr>
        <w:rFonts w:hint="default"/>
        <w:lang w:val="es-ES" w:eastAsia="es-ES" w:bidi="es-ES"/>
      </w:rPr>
    </w:lvl>
  </w:abstractNum>
  <w:abstractNum w:abstractNumId="75">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7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4"/>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102" w:hanging="454"/>
      </w:pPr>
      <w:rPr>
        <w:rFonts w:hint="default"/>
        <w:lang w:val="es-ES" w:eastAsia="es-ES" w:bidi="es-ES"/>
      </w:rPr>
    </w:lvl>
    <w:lvl w:ilvl="3">
      <w:start w:val="0"/>
      <w:numFmt w:val="bullet"/>
      <w:lvlText w:val="•"/>
      <w:lvlJc w:val="left"/>
      <w:pPr>
        <w:ind w:left="3085" w:hanging="454"/>
      </w:pPr>
      <w:rPr>
        <w:rFonts w:hint="default"/>
        <w:lang w:val="es-ES" w:eastAsia="es-ES" w:bidi="es-ES"/>
      </w:rPr>
    </w:lvl>
    <w:lvl w:ilvl="4">
      <w:start w:val="0"/>
      <w:numFmt w:val="bullet"/>
      <w:lvlText w:val="•"/>
      <w:lvlJc w:val="left"/>
      <w:pPr>
        <w:ind w:left="4068" w:hanging="454"/>
      </w:pPr>
      <w:rPr>
        <w:rFonts w:hint="default"/>
        <w:lang w:val="es-ES" w:eastAsia="es-ES" w:bidi="es-ES"/>
      </w:rPr>
    </w:lvl>
    <w:lvl w:ilvl="5">
      <w:start w:val="0"/>
      <w:numFmt w:val="bullet"/>
      <w:lvlText w:val="•"/>
      <w:lvlJc w:val="left"/>
      <w:pPr>
        <w:ind w:left="5051" w:hanging="454"/>
      </w:pPr>
      <w:rPr>
        <w:rFonts w:hint="default"/>
        <w:lang w:val="es-ES" w:eastAsia="es-ES" w:bidi="es-ES"/>
      </w:rPr>
    </w:lvl>
    <w:lvl w:ilvl="6">
      <w:start w:val="0"/>
      <w:numFmt w:val="bullet"/>
      <w:lvlText w:val="•"/>
      <w:lvlJc w:val="left"/>
      <w:pPr>
        <w:ind w:left="6034" w:hanging="454"/>
      </w:pPr>
      <w:rPr>
        <w:rFonts w:hint="default"/>
        <w:lang w:val="es-ES" w:eastAsia="es-ES" w:bidi="es-ES"/>
      </w:rPr>
    </w:lvl>
    <w:lvl w:ilvl="7">
      <w:start w:val="0"/>
      <w:numFmt w:val="bullet"/>
      <w:lvlText w:val="•"/>
      <w:lvlJc w:val="left"/>
      <w:pPr>
        <w:ind w:left="7017" w:hanging="454"/>
      </w:pPr>
      <w:rPr>
        <w:rFonts w:hint="default"/>
        <w:lang w:val="es-ES" w:eastAsia="es-ES" w:bidi="es-ES"/>
      </w:rPr>
    </w:lvl>
    <w:lvl w:ilvl="8">
      <w:start w:val="0"/>
      <w:numFmt w:val="bullet"/>
      <w:lvlText w:val="•"/>
      <w:lvlJc w:val="left"/>
      <w:pPr>
        <w:ind w:left="8000" w:hanging="454"/>
      </w:pPr>
      <w:rPr>
        <w:rFonts w:hint="default"/>
        <w:lang w:val="es-ES" w:eastAsia="es-ES" w:bidi="es-ES"/>
      </w:rPr>
    </w:lvl>
  </w:abstractNum>
  <w:abstractNum w:abstractNumId="73">
    <w:multiLevelType w:val="hybridMultilevel"/>
    <w:lvl w:ilvl="0">
      <w:start w:val="4"/>
      <w:numFmt w:val="decimal"/>
      <w:lvlText w:val="%1"/>
      <w:lvlJc w:val="left"/>
      <w:pPr>
        <w:ind w:left="502" w:hanging="285"/>
        <w:jc w:val="left"/>
      </w:pPr>
      <w:rPr>
        <w:rFonts w:hint="default" w:ascii="Arial" w:hAnsi="Arial" w:eastAsia="Arial" w:cs="Arial"/>
        <w:b/>
        <w:bCs/>
        <w:w w:val="99"/>
        <w:sz w:val="28"/>
        <w:szCs w:val="28"/>
        <w:lang w:val="es-ES" w:eastAsia="es-ES" w:bidi="es-ES"/>
      </w:rPr>
    </w:lvl>
    <w:lvl w:ilvl="1">
      <w:start w:val="1"/>
      <w:numFmt w:val="decimal"/>
      <w:lvlText w:val="%1.%2"/>
      <w:lvlJc w:val="left"/>
      <w:pPr>
        <w:ind w:left="785" w:hanging="568"/>
        <w:jc w:val="left"/>
      </w:pPr>
      <w:rPr>
        <w:rFonts w:hint="default" w:ascii="Arial" w:hAnsi="Arial" w:eastAsia="Arial" w:cs="Arial"/>
        <w:b/>
        <w:bCs/>
        <w:spacing w:val="-1"/>
        <w:w w:val="100"/>
        <w:sz w:val="24"/>
        <w:szCs w:val="24"/>
        <w:lang w:val="es-ES" w:eastAsia="es-ES" w:bidi="es-ES"/>
      </w:rPr>
    </w:lvl>
    <w:lvl w:ilvl="2">
      <w:start w:val="1"/>
      <w:numFmt w:val="decimal"/>
      <w:lvlText w:val="%1.%2.%3"/>
      <w:lvlJc w:val="left"/>
      <w:pPr>
        <w:ind w:left="786" w:hanging="568"/>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2821" w:hanging="568"/>
      </w:pPr>
      <w:rPr>
        <w:rFonts w:hint="default"/>
        <w:lang w:val="es-ES" w:eastAsia="es-ES" w:bidi="es-ES"/>
      </w:rPr>
    </w:lvl>
    <w:lvl w:ilvl="4">
      <w:start w:val="0"/>
      <w:numFmt w:val="bullet"/>
      <w:lvlText w:val="•"/>
      <w:lvlJc w:val="left"/>
      <w:pPr>
        <w:ind w:left="3842" w:hanging="568"/>
      </w:pPr>
      <w:rPr>
        <w:rFonts w:hint="default"/>
        <w:lang w:val="es-ES" w:eastAsia="es-ES" w:bidi="es-ES"/>
      </w:rPr>
    </w:lvl>
    <w:lvl w:ilvl="5">
      <w:start w:val="0"/>
      <w:numFmt w:val="bullet"/>
      <w:lvlText w:val="•"/>
      <w:lvlJc w:val="left"/>
      <w:pPr>
        <w:ind w:left="4862" w:hanging="568"/>
      </w:pPr>
      <w:rPr>
        <w:rFonts w:hint="default"/>
        <w:lang w:val="es-ES" w:eastAsia="es-ES" w:bidi="es-ES"/>
      </w:rPr>
    </w:lvl>
    <w:lvl w:ilvl="6">
      <w:start w:val="0"/>
      <w:numFmt w:val="bullet"/>
      <w:lvlText w:val="•"/>
      <w:lvlJc w:val="left"/>
      <w:pPr>
        <w:ind w:left="5883" w:hanging="568"/>
      </w:pPr>
      <w:rPr>
        <w:rFonts w:hint="default"/>
        <w:lang w:val="es-ES" w:eastAsia="es-ES" w:bidi="es-ES"/>
      </w:rPr>
    </w:lvl>
    <w:lvl w:ilvl="7">
      <w:start w:val="0"/>
      <w:numFmt w:val="bullet"/>
      <w:lvlText w:val="•"/>
      <w:lvlJc w:val="left"/>
      <w:pPr>
        <w:ind w:left="6904" w:hanging="568"/>
      </w:pPr>
      <w:rPr>
        <w:rFonts w:hint="default"/>
        <w:lang w:val="es-ES" w:eastAsia="es-ES" w:bidi="es-ES"/>
      </w:rPr>
    </w:lvl>
    <w:lvl w:ilvl="8">
      <w:start w:val="0"/>
      <w:numFmt w:val="bullet"/>
      <w:lvlText w:val="•"/>
      <w:lvlJc w:val="left"/>
      <w:pPr>
        <w:ind w:left="7924" w:hanging="568"/>
      </w:pPr>
      <w:rPr>
        <w:rFonts w:hint="default"/>
        <w:lang w:val="es-ES" w:eastAsia="es-ES" w:bidi="es-ES"/>
      </w:rPr>
    </w:lvl>
  </w:abstractNum>
  <w:abstractNum w:abstractNumId="7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7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7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69">
    <w:multiLevelType w:val="hybridMultilevel"/>
    <w:lvl w:ilvl="0">
      <w:start w:val="3"/>
      <w:numFmt w:val="decimal"/>
      <w:lvlText w:val="%1"/>
      <w:lvlJc w:val="left"/>
      <w:pPr>
        <w:ind w:left="502" w:hanging="285"/>
        <w:jc w:val="left"/>
      </w:pPr>
      <w:rPr>
        <w:rFonts w:hint="default" w:ascii="Arial" w:hAnsi="Arial" w:eastAsia="Arial" w:cs="Arial"/>
        <w:b/>
        <w:bCs/>
        <w:w w:val="99"/>
        <w:sz w:val="28"/>
        <w:szCs w:val="28"/>
        <w:lang w:val="es-ES" w:eastAsia="es-ES" w:bidi="es-ES"/>
      </w:rPr>
    </w:lvl>
    <w:lvl w:ilvl="1">
      <w:start w:val="1"/>
      <w:numFmt w:val="decimal"/>
      <w:lvlText w:val="%1.%2"/>
      <w:lvlJc w:val="left"/>
      <w:pPr>
        <w:ind w:left="785" w:hanging="568"/>
        <w:jc w:val="left"/>
      </w:pPr>
      <w:rPr>
        <w:rFonts w:hint="default" w:ascii="Arial" w:hAnsi="Arial" w:eastAsia="Arial" w:cs="Arial"/>
        <w:b/>
        <w:bCs/>
        <w:spacing w:val="-1"/>
        <w:w w:val="100"/>
        <w:sz w:val="24"/>
        <w:szCs w:val="24"/>
        <w:lang w:val="es-ES" w:eastAsia="es-ES" w:bidi="es-ES"/>
      </w:rPr>
    </w:lvl>
    <w:lvl w:ilvl="2">
      <w:start w:val="0"/>
      <w:numFmt w:val="bullet"/>
      <w:lvlText w:val="•"/>
      <w:lvlJc w:val="left"/>
      <w:pPr>
        <w:ind w:left="1800" w:hanging="568"/>
      </w:pPr>
      <w:rPr>
        <w:rFonts w:hint="default"/>
        <w:lang w:val="es-ES" w:eastAsia="es-ES" w:bidi="es-ES"/>
      </w:rPr>
    </w:lvl>
    <w:lvl w:ilvl="3">
      <w:start w:val="0"/>
      <w:numFmt w:val="bullet"/>
      <w:lvlText w:val="•"/>
      <w:lvlJc w:val="left"/>
      <w:pPr>
        <w:ind w:left="2821" w:hanging="568"/>
      </w:pPr>
      <w:rPr>
        <w:rFonts w:hint="default"/>
        <w:lang w:val="es-ES" w:eastAsia="es-ES" w:bidi="es-ES"/>
      </w:rPr>
    </w:lvl>
    <w:lvl w:ilvl="4">
      <w:start w:val="0"/>
      <w:numFmt w:val="bullet"/>
      <w:lvlText w:val="•"/>
      <w:lvlJc w:val="left"/>
      <w:pPr>
        <w:ind w:left="3842" w:hanging="568"/>
      </w:pPr>
      <w:rPr>
        <w:rFonts w:hint="default"/>
        <w:lang w:val="es-ES" w:eastAsia="es-ES" w:bidi="es-ES"/>
      </w:rPr>
    </w:lvl>
    <w:lvl w:ilvl="5">
      <w:start w:val="0"/>
      <w:numFmt w:val="bullet"/>
      <w:lvlText w:val="•"/>
      <w:lvlJc w:val="left"/>
      <w:pPr>
        <w:ind w:left="4862" w:hanging="568"/>
      </w:pPr>
      <w:rPr>
        <w:rFonts w:hint="default"/>
        <w:lang w:val="es-ES" w:eastAsia="es-ES" w:bidi="es-ES"/>
      </w:rPr>
    </w:lvl>
    <w:lvl w:ilvl="6">
      <w:start w:val="0"/>
      <w:numFmt w:val="bullet"/>
      <w:lvlText w:val="•"/>
      <w:lvlJc w:val="left"/>
      <w:pPr>
        <w:ind w:left="5883" w:hanging="568"/>
      </w:pPr>
      <w:rPr>
        <w:rFonts w:hint="default"/>
        <w:lang w:val="es-ES" w:eastAsia="es-ES" w:bidi="es-ES"/>
      </w:rPr>
    </w:lvl>
    <w:lvl w:ilvl="7">
      <w:start w:val="0"/>
      <w:numFmt w:val="bullet"/>
      <w:lvlText w:val="•"/>
      <w:lvlJc w:val="left"/>
      <w:pPr>
        <w:ind w:left="6904" w:hanging="568"/>
      </w:pPr>
      <w:rPr>
        <w:rFonts w:hint="default"/>
        <w:lang w:val="es-ES" w:eastAsia="es-ES" w:bidi="es-ES"/>
      </w:rPr>
    </w:lvl>
    <w:lvl w:ilvl="8">
      <w:start w:val="0"/>
      <w:numFmt w:val="bullet"/>
      <w:lvlText w:val="•"/>
      <w:lvlJc w:val="left"/>
      <w:pPr>
        <w:ind w:left="7924" w:hanging="568"/>
      </w:pPr>
      <w:rPr>
        <w:rFonts w:hint="default"/>
        <w:lang w:val="es-ES" w:eastAsia="es-ES" w:bidi="es-ES"/>
      </w:rPr>
    </w:lvl>
  </w:abstractNum>
  <w:abstractNum w:abstractNumId="68">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5"/>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67">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6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6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6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63">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62">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6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6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5"/>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58">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5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5"/>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56">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54">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5"/>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53">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5"/>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52">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5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5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4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48">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4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5"/>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4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45">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4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43">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42">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4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40">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39">
    <w:multiLevelType w:val="hybridMultilevel"/>
    <w:lvl w:ilvl="0">
      <w:start w:val="9"/>
      <w:numFmt w:val="lowerLetter"/>
      <w:lvlText w:val="%1)"/>
      <w:lvlJc w:val="left"/>
      <w:pPr>
        <w:ind w:left="1125" w:hanging="454"/>
        <w:jc w:val="left"/>
      </w:pPr>
      <w:rPr>
        <w:rFonts w:hint="default" w:ascii="Arial" w:hAnsi="Arial" w:eastAsia="Arial" w:cs="Arial"/>
        <w:w w:val="100"/>
        <w:sz w:val="20"/>
        <w:szCs w:val="20"/>
        <w:lang w:val="es-ES" w:eastAsia="es-ES" w:bidi="es-ES"/>
      </w:rPr>
    </w:lvl>
    <w:lvl w:ilvl="1">
      <w:start w:val="0"/>
      <w:numFmt w:val="bullet"/>
      <w:lvlText w:val="•"/>
      <w:lvlJc w:val="left"/>
      <w:pPr>
        <w:ind w:left="2004" w:hanging="454"/>
      </w:pPr>
      <w:rPr>
        <w:rFonts w:hint="default"/>
        <w:lang w:val="es-ES" w:eastAsia="es-ES" w:bidi="es-ES"/>
      </w:rPr>
    </w:lvl>
    <w:lvl w:ilvl="2">
      <w:start w:val="0"/>
      <w:numFmt w:val="bullet"/>
      <w:lvlText w:val="•"/>
      <w:lvlJc w:val="left"/>
      <w:pPr>
        <w:ind w:left="2889" w:hanging="454"/>
      </w:pPr>
      <w:rPr>
        <w:rFonts w:hint="default"/>
        <w:lang w:val="es-ES" w:eastAsia="es-ES" w:bidi="es-ES"/>
      </w:rPr>
    </w:lvl>
    <w:lvl w:ilvl="3">
      <w:start w:val="0"/>
      <w:numFmt w:val="bullet"/>
      <w:lvlText w:val="•"/>
      <w:lvlJc w:val="left"/>
      <w:pPr>
        <w:ind w:left="3773" w:hanging="454"/>
      </w:pPr>
      <w:rPr>
        <w:rFonts w:hint="default"/>
        <w:lang w:val="es-ES" w:eastAsia="es-ES" w:bidi="es-ES"/>
      </w:rPr>
    </w:lvl>
    <w:lvl w:ilvl="4">
      <w:start w:val="0"/>
      <w:numFmt w:val="bullet"/>
      <w:lvlText w:val="•"/>
      <w:lvlJc w:val="left"/>
      <w:pPr>
        <w:ind w:left="4658" w:hanging="454"/>
      </w:pPr>
      <w:rPr>
        <w:rFonts w:hint="default"/>
        <w:lang w:val="es-ES" w:eastAsia="es-ES" w:bidi="es-ES"/>
      </w:rPr>
    </w:lvl>
    <w:lvl w:ilvl="5">
      <w:start w:val="0"/>
      <w:numFmt w:val="bullet"/>
      <w:lvlText w:val="•"/>
      <w:lvlJc w:val="left"/>
      <w:pPr>
        <w:ind w:left="5543" w:hanging="454"/>
      </w:pPr>
      <w:rPr>
        <w:rFonts w:hint="default"/>
        <w:lang w:val="es-ES" w:eastAsia="es-ES" w:bidi="es-ES"/>
      </w:rPr>
    </w:lvl>
    <w:lvl w:ilvl="6">
      <w:start w:val="0"/>
      <w:numFmt w:val="bullet"/>
      <w:lvlText w:val="•"/>
      <w:lvlJc w:val="left"/>
      <w:pPr>
        <w:ind w:left="6427" w:hanging="454"/>
      </w:pPr>
      <w:rPr>
        <w:rFonts w:hint="default"/>
        <w:lang w:val="es-ES" w:eastAsia="es-ES" w:bidi="es-ES"/>
      </w:rPr>
    </w:lvl>
    <w:lvl w:ilvl="7">
      <w:start w:val="0"/>
      <w:numFmt w:val="bullet"/>
      <w:lvlText w:val="•"/>
      <w:lvlJc w:val="left"/>
      <w:pPr>
        <w:ind w:left="7312" w:hanging="454"/>
      </w:pPr>
      <w:rPr>
        <w:rFonts w:hint="default"/>
        <w:lang w:val="es-ES" w:eastAsia="es-ES" w:bidi="es-ES"/>
      </w:rPr>
    </w:lvl>
    <w:lvl w:ilvl="8">
      <w:start w:val="0"/>
      <w:numFmt w:val="bullet"/>
      <w:lvlText w:val="•"/>
      <w:lvlJc w:val="left"/>
      <w:pPr>
        <w:ind w:left="8197" w:hanging="454"/>
      </w:pPr>
      <w:rPr>
        <w:rFonts w:hint="default"/>
        <w:lang w:val="es-ES" w:eastAsia="es-ES" w:bidi="es-ES"/>
      </w:rPr>
    </w:lvl>
  </w:abstractNum>
  <w:abstractNum w:abstractNumId="37">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5"/>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36">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35">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34">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5"/>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33">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32">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5"/>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3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30">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29">
    <w:multiLevelType w:val="hybridMultilevel"/>
    <w:lvl w:ilvl="0">
      <w:start w:val="10"/>
      <w:numFmt w:val="upperLetter"/>
      <w:lvlText w:val="%1)"/>
      <w:lvlJc w:val="left"/>
      <w:pPr>
        <w:ind w:left="1070" w:hanging="399"/>
        <w:jc w:val="left"/>
      </w:pPr>
      <w:rPr>
        <w:rFonts w:hint="default" w:ascii="Arial" w:hAnsi="Arial" w:eastAsia="Arial" w:cs="Arial"/>
        <w:w w:val="100"/>
        <w:sz w:val="20"/>
        <w:szCs w:val="20"/>
        <w:lang w:val="es-ES" w:eastAsia="es-ES" w:bidi="es-ES"/>
      </w:rPr>
    </w:lvl>
    <w:lvl w:ilvl="1">
      <w:start w:val="0"/>
      <w:numFmt w:val="bullet"/>
      <w:lvlText w:val="-"/>
      <w:lvlJc w:val="left"/>
      <w:pPr>
        <w:ind w:left="2032" w:hanging="454"/>
      </w:pPr>
      <w:rPr>
        <w:rFonts w:hint="default" w:ascii="Arial" w:hAnsi="Arial" w:eastAsia="Arial" w:cs="Arial"/>
        <w:w w:val="100"/>
        <w:sz w:val="20"/>
        <w:szCs w:val="20"/>
        <w:lang w:val="es-ES" w:eastAsia="es-ES" w:bidi="es-ES"/>
      </w:rPr>
    </w:lvl>
    <w:lvl w:ilvl="2">
      <w:start w:val="0"/>
      <w:numFmt w:val="bullet"/>
      <w:lvlText w:val="•"/>
      <w:lvlJc w:val="left"/>
      <w:pPr>
        <w:ind w:left="2920" w:hanging="454"/>
      </w:pPr>
      <w:rPr>
        <w:rFonts w:hint="default"/>
        <w:lang w:val="es-ES" w:eastAsia="es-ES" w:bidi="es-ES"/>
      </w:rPr>
    </w:lvl>
    <w:lvl w:ilvl="3">
      <w:start w:val="0"/>
      <w:numFmt w:val="bullet"/>
      <w:lvlText w:val="•"/>
      <w:lvlJc w:val="left"/>
      <w:pPr>
        <w:ind w:left="3801" w:hanging="454"/>
      </w:pPr>
      <w:rPr>
        <w:rFonts w:hint="default"/>
        <w:lang w:val="es-ES" w:eastAsia="es-ES" w:bidi="es-ES"/>
      </w:rPr>
    </w:lvl>
    <w:lvl w:ilvl="4">
      <w:start w:val="0"/>
      <w:numFmt w:val="bullet"/>
      <w:lvlText w:val="•"/>
      <w:lvlJc w:val="left"/>
      <w:pPr>
        <w:ind w:left="4682" w:hanging="454"/>
      </w:pPr>
      <w:rPr>
        <w:rFonts w:hint="default"/>
        <w:lang w:val="es-ES" w:eastAsia="es-ES" w:bidi="es-ES"/>
      </w:rPr>
    </w:lvl>
    <w:lvl w:ilvl="5">
      <w:start w:val="0"/>
      <w:numFmt w:val="bullet"/>
      <w:lvlText w:val="•"/>
      <w:lvlJc w:val="left"/>
      <w:pPr>
        <w:ind w:left="5562" w:hanging="454"/>
      </w:pPr>
      <w:rPr>
        <w:rFonts w:hint="default"/>
        <w:lang w:val="es-ES" w:eastAsia="es-ES" w:bidi="es-ES"/>
      </w:rPr>
    </w:lvl>
    <w:lvl w:ilvl="6">
      <w:start w:val="0"/>
      <w:numFmt w:val="bullet"/>
      <w:lvlText w:val="•"/>
      <w:lvlJc w:val="left"/>
      <w:pPr>
        <w:ind w:left="6443" w:hanging="454"/>
      </w:pPr>
      <w:rPr>
        <w:rFonts w:hint="default"/>
        <w:lang w:val="es-ES" w:eastAsia="es-ES" w:bidi="es-ES"/>
      </w:rPr>
    </w:lvl>
    <w:lvl w:ilvl="7">
      <w:start w:val="0"/>
      <w:numFmt w:val="bullet"/>
      <w:lvlText w:val="•"/>
      <w:lvlJc w:val="left"/>
      <w:pPr>
        <w:ind w:left="7324" w:hanging="454"/>
      </w:pPr>
      <w:rPr>
        <w:rFonts w:hint="default"/>
        <w:lang w:val="es-ES" w:eastAsia="es-ES" w:bidi="es-ES"/>
      </w:rPr>
    </w:lvl>
    <w:lvl w:ilvl="8">
      <w:start w:val="0"/>
      <w:numFmt w:val="bullet"/>
      <w:lvlText w:val="•"/>
      <w:lvlJc w:val="left"/>
      <w:pPr>
        <w:ind w:left="8204" w:hanging="454"/>
      </w:pPr>
      <w:rPr>
        <w:rFonts w:hint="default"/>
        <w:lang w:val="es-ES" w:eastAsia="es-ES" w:bidi="es-ES"/>
      </w:rPr>
    </w:lvl>
  </w:abstractNum>
  <w:abstractNum w:abstractNumId="28">
    <w:multiLevelType w:val="hybridMultilevel"/>
    <w:lvl w:ilvl="0">
      <w:start w:val="8"/>
      <w:numFmt w:val="upperLetter"/>
      <w:lvlText w:val="%1)"/>
      <w:lvlJc w:val="left"/>
      <w:pPr>
        <w:ind w:left="1070" w:hanging="399"/>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2032" w:hanging="454"/>
      </w:pPr>
      <w:rPr>
        <w:rFonts w:hint="default" w:ascii="Arial" w:hAnsi="Arial" w:eastAsia="Arial" w:cs="Arial"/>
        <w:w w:val="100"/>
        <w:sz w:val="20"/>
        <w:szCs w:val="20"/>
        <w:lang w:val="es-ES" w:eastAsia="es-ES" w:bidi="es-ES"/>
      </w:rPr>
    </w:lvl>
    <w:lvl w:ilvl="2">
      <w:start w:val="0"/>
      <w:numFmt w:val="bullet"/>
      <w:lvlText w:val="•"/>
      <w:lvlJc w:val="left"/>
      <w:pPr>
        <w:ind w:left="2920" w:hanging="454"/>
      </w:pPr>
      <w:rPr>
        <w:rFonts w:hint="default"/>
        <w:lang w:val="es-ES" w:eastAsia="es-ES" w:bidi="es-ES"/>
      </w:rPr>
    </w:lvl>
    <w:lvl w:ilvl="3">
      <w:start w:val="0"/>
      <w:numFmt w:val="bullet"/>
      <w:lvlText w:val="•"/>
      <w:lvlJc w:val="left"/>
      <w:pPr>
        <w:ind w:left="3801" w:hanging="454"/>
      </w:pPr>
      <w:rPr>
        <w:rFonts w:hint="default"/>
        <w:lang w:val="es-ES" w:eastAsia="es-ES" w:bidi="es-ES"/>
      </w:rPr>
    </w:lvl>
    <w:lvl w:ilvl="4">
      <w:start w:val="0"/>
      <w:numFmt w:val="bullet"/>
      <w:lvlText w:val="•"/>
      <w:lvlJc w:val="left"/>
      <w:pPr>
        <w:ind w:left="4682" w:hanging="454"/>
      </w:pPr>
      <w:rPr>
        <w:rFonts w:hint="default"/>
        <w:lang w:val="es-ES" w:eastAsia="es-ES" w:bidi="es-ES"/>
      </w:rPr>
    </w:lvl>
    <w:lvl w:ilvl="5">
      <w:start w:val="0"/>
      <w:numFmt w:val="bullet"/>
      <w:lvlText w:val="•"/>
      <w:lvlJc w:val="left"/>
      <w:pPr>
        <w:ind w:left="5562" w:hanging="454"/>
      </w:pPr>
      <w:rPr>
        <w:rFonts w:hint="default"/>
        <w:lang w:val="es-ES" w:eastAsia="es-ES" w:bidi="es-ES"/>
      </w:rPr>
    </w:lvl>
    <w:lvl w:ilvl="6">
      <w:start w:val="0"/>
      <w:numFmt w:val="bullet"/>
      <w:lvlText w:val="•"/>
      <w:lvlJc w:val="left"/>
      <w:pPr>
        <w:ind w:left="6443" w:hanging="454"/>
      </w:pPr>
      <w:rPr>
        <w:rFonts w:hint="default"/>
        <w:lang w:val="es-ES" w:eastAsia="es-ES" w:bidi="es-ES"/>
      </w:rPr>
    </w:lvl>
    <w:lvl w:ilvl="7">
      <w:start w:val="0"/>
      <w:numFmt w:val="bullet"/>
      <w:lvlText w:val="•"/>
      <w:lvlJc w:val="left"/>
      <w:pPr>
        <w:ind w:left="7324" w:hanging="454"/>
      </w:pPr>
      <w:rPr>
        <w:rFonts w:hint="default"/>
        <w:lang w:val="es-ES" w:eastAsia="es-ES" w:bidi="es-ES"/>
      </w:rPr>
    </w:lvl>
    <w:lvl w:ilvl="8">
      <w:start w:val="0"/>
      <w:numFmt w:val="bullet"/>
      <w:lvlText w:val="•"/>
      <w:lvlJc w:val="left"/>
      <w:pPr>
        <w:ind w:left="8204" w:hanging="454"/>
      </w:pPr>
      <w:rPr>
        <w:rFonts w:hint="default"/>
        <w:lang w:val="es-ES" w:eastAsia="es-ES" w:bidi="es-ES"/>
      </w:rPr>
    </w:lvl>
  </w:abstractNum>
  <w:abstractNum w:abstractNumId="27">
    <w:multiLevelType w:val="hybridMultilevel"/>
    <w:lvl w:ilvl="0">
      <w:start w:val="2"/>
      <w:numFmt w:val="upperLetter"/>
      <w:lvlText w:val="%1)"/>
      <w:lvlJc w:val="left"/>
      <w:pPr>
        <w:ind w:left="1070" w:hanging="399"/>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2032" w:hanging="454"/>
      </w:pPr>
      <w:rPr>
        <w:rFonts w:hint="default" w:ascii="Arial" w:hAnsi="Arial" w:eastAsia="Arial" w:cs="Arial"/>
        <w:w w:val="100"/>
        <w:sz w:val="20"/>
        <w:szCs w:val="20"/>
        <w:lang w:val="es-ES" w:eastAsia="es-ES" w:bidi="es-ES"/>
      </w:rPr>
    </w:lvl>
    <w:lvl w:ilvl="2">
      <w:start w:val="0"/>
      <w:numFmt w:val="bullet"/>
      <w:lvlText w:val="·"/>
      <w:lvlJc w:val="left"/>
      <w:pPr>
        <w:ind w:left="2486" w:hanging="455"/>
      </w:pPr>
      <w:rPr>
        <w:rFonts w:hint="default" w:ascii="Arial" w:hAnsi="Arial" w:eastAsia="Arial" w:cs="Arial"/>
        <w:w w:val="100"/>
        <w:sz w:val="20"/>
        <w:szCs w:val="20"/>
        <w:lang w:val="es-ES" w:eastAsia="es-ES" w:bidi="es-ES"/>
      </w:rPr>
    </w:lvl>
    <w:lvl w:ilvl="3">
      <w:start w:val="0"/>
      <w:numFmt w:val="bullet"/>
      <w:lvlText w:val="•"/>
      <w:lvlJc w:val="left"/>
      <w:pPr>
        <w:ind w:left="3415" w:hanging="455"/>
      </w:pPr>
      <w:rPr>
        <w:rFonts w:hint="default"/>
        <w:lang w:val="es-ES" w:eastAsia="es-ES" w:bidi="es-ES"/>
      </w:rPr>
    </w:lvl>
    <w:lvl w:ilvl="4">
      <w:start w:val="0"/>
      <w:numFmt w:val="bullet"/>
      <w:lvlText w:val="•"/>
      <w:lvlJc w:val="left"/>
      <w:pPr>
        <w:ind w:left="4351" w:hanging="455"/>
      </w:pPr>
      <w:rPr>
        <w:rFonts w:hint="default"/>
        <w:lang w:val="es-ES" w:eastAsia="es-ES" w:bidi="es-ES"/>
      </w:rPr>
    </w:lvl>
    <w:lvl w:ilvl="5">
      <w:start w:val="0"/>
      <w:numFmt w:val="bullet"/>
      <w:lvlText w:val="•"/>
      <w:lvlJc w:val="left"/>
      <w:pPr>
        <w:ind w:left="5287" w:hanging="455"/>
      </w:pPr>
      <w:rPr>
        <w:rFonts w:hint="default"/>
        <w:lang w:val="es-ES" w:eastAsia="es-ES" w:bidi="es-ES"/>
      </w:rPr>
    </w:lvl>
    <w:lvl w:ilvl="6">
      <w:start w:val="0"/>
      <w:numFmt w:val="bullet"/>
      <w:lvlText w:val="•"/>
      <w:lvlJc w:val="left"/>
      <w:pPr>
        <w:ind w:left="6223" w:hanging="455"/>
      </w:pPr>
      <w:rPr>
        <w:rFonts w:hint="default"/>
        <w:lang w:val="es-ES" w:eastAsia="es-ES" w:bidi="es-ES"/>
      </w:rPr>
    </w:lvl>
    <w:lvl w:ilvl="7">
      <w:start w:val="0"/>
      <w:numFmt w:val="bullet"/>
      <w:lvlText w:val="•"/>
      <w:lvlJc w:val="left"/>
      <w:pPr>
        <w:ind w:left="7159" w:hanging="455"/>
      </w:pPr>
      <w:rPr>
        <w:rFonts w:hint="default"/>
        <w:lang w:val="es-ES" w:eastAsia="es-ES" w:bidi="es-ES"/>
      </w:rPr>
    </w:lvl>
    <w:lvl w:ilvl="8">
      <w:start w:val="0"/>
      <w:numFmt w:val="bullet"/>
      <w:lvlText w:val="•"/>
      <w:lvlJc w:val="left"/>
      <w:pPr>
        <w:ind w:left="8094" w:hanging="455"/>
      </w:pPr>
      <w:rPr>
        <w:rFonts w:hint="default"/>
        <w:lang w:val="es-ES" w:eastAsia="es-ES" w:bidi="es-ES"/>
      </w:rPr>
    </w:lvl>
  </w:abstractNum>
  <w:abstractNum w:abstractNumId="26">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4260" w:hanging="454"/>
      </w:pPr>
      <w:rPr>
        <w:rFonts w:hint="default"/>
        <w:lang w:val="es-ES" w:eastAsia="es-ES" w:bidi="es-ES"/>
      </w:rPr>
    </w:lvl>
    <w:lvl w:ilvl="2">
      <w:start w:val="0"/>
      <w:numFmt w:val="bullet"/>
      <w:lvlText w:val="•"/>
      <w:lvlJc w:val="left"/>
      <w:pPr>
        <w:ind w:left="4894" w:hanging="454"/>
      </w:pPr>
      <w:rPr>
        <w:rFonts w:hint="default"/>
        <w:lang w:val="es-ES" w:eastAsia="es-ES" w:bidi="es-ES"/>
      </w:rPr>
    </w:lvl>
    <w:lvl w:ilvl="3">
      <w:start w:val="0"/>
      <w:numFmt w:val="bullet"/>
      <w:lvlText w:val="•"/>
      <w:lvlJc w:val="left"/>
      <w:pPr>
        <w:ind w:left="5528" w:hanging="454"/>
      </w:pPr>
      <w:rPr>
        <w:rFonts w:hint="default"/>
        <w:lang w:val="es-ES" w:eastAsia="es-ES" w:bidi="es-ES"/>
      </w:rPr>
    </w:lvl>
    <w:lvl w:ilvl="4">
      <w:start w:val="0"/>
      <w:numFmt w:val="bullet"/>
      <w:lvlText w:val="•"/>
      <w:lvlJc w:val="left"/>
      <w:pPr>
        <w:ind w:left="6162" w:hanging="454"/>
      </w:pPr>
      <w:rPr>
        <w:rFonts w:hint="default"/>
        <w:lang w:val="es-ES" w:eastAsia="es-ES" w:bidi="es-ES"/>
      </w:rPr>
    </w:lvl>
    <w:lvl w:ilvl="5">
      <w:start w:val="0"/>
      <w:numFmt w:val="bullet"/>
      <w:lvlText w:val="•"/>
      <w:lvlJc w:val="left"/>
      <w:pPr>
        <w:ind w:left="6796" w:hanging="454"/>
      </w:pPr>
      <w:rPr>
        <w:rFonts w:hint="default"/>
        <w:lang w:val="es-ES" w:eastAsia="es-ES" w:bidi="es-ES"/>
      </w:rPr>
    </w:lvl>
    <w:lvl w:ilvl="6">
      <w:start w:val="0"/>
      <w:numFmt w:val="bullet"/>
      <w:lvlText w:val="•"/>
      <w:lvlJc w:val="left"/>
      <w:pPr>
        <w:ind w:left="7430" w:hanging="454"/>
      </w:pPr>
      <w:rPr>
        <w:rFonts w:hint="default"/>
        <w:lang w:val="es-ES" w:eastAsia="es-ES" w:bidi="es-ES"/>
      </w:rPr>
    </w:lvl>
    <w:lvl w:ilvl="7">
      <w:start w:val="0"/>
      <w:numFmt w:val="bullet"/>
      <w:lvlText w:val="•"/>
      <w:lvlJc w:val="left"/>
      <w:pPr>
        <w:ind w:left="8064" w:hanging="454"/>
      </w:pPr>
      <w:rPr>
        <w:rFonts w:hint="default"/>
        <w:lang w:val="es-ES" w:eastAsia="es-ES" w:bidi="es-ES"/>
      </w:rPr>
    </w:lvl>
    <w:lvl w:ilvl="8">
      <w:start w:val="0"/>
      <w:numFmt w:val="bullet"/>
      <w:lvlText w:val="•"/>
      <w:lvlJc w:val="left"/>
      <w:pPr>
        <w:ind w:left="8698" w:hanging="454"/>
      </w:pPr>
      <w:rPr>
        <w:rFonts w:hint="default"/>
        <w:lang w:val="es-ES" w:eastAsia="es-ES" w:bidi="es-ES"/>
      </w:rPr>
    </w:lvl>
  </w:abstractNum>
  <w:abstractNum w:abstractNumId="2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5"/>
        <w:jc w:val="left"/>
      </w:pPr>
      <w:rPr>
        <w:rFonts w:hint="default" w:ascii="Arial" w:hAnsi="Arial" w:eastAsia="Arial" w:cs="Arial"/>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23">
    <w:multiLevelType w:val="hybridMultilevel"/>
    <w:lvl w:ilvl="0">
      <w:start w:val="19"/>
      <w:numFmt w:val="upperLetter"/>
      <w:lvlText w:val="%1)"/>
      <w:lvlJc w:val="left"/>
      <w:pPr>
        <w:ind w:left="960" w:hanging="382"/>
        <w:jc w:val="left"/>
      </w:pPr>
      <w:rPr>
        <w:rFonts w:hint="default" w:ascii="Arial" w:hAnsi="Arial" w:eastAsia="Arial" w:cs="Arial"/>
        <w:spacing w:val="-1"/>
        <w:w w:val="100"/>
        <w:sz w:val="20"/>
        <w:szCs w:val="20"/>
        <w:lang w:val="es-ES" w:eastAsia="es-ES" w:bidi="es-ES"/>
      </w:rPr>
    </w:lvl>
    <w:lvl w:ilvl="1">
      <w:start w:val="18"/>
      <w:numFmt w:val="upperLetter"/>
      <w:lvlText w:val="%2)"/>
      <w:lvlJc w:val="left"/>
      <w:pPr>
        <w:ind w:left="1073" w:hanging="400"/>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032" w:hanging="454"/>
      </w:pPr>
      <w:rPr>
        <w:rFonts w:hint="default" w:ascii="Arial" w:hAnsi="Arial" w:eastAsia="Arial" w:cs="Arial"/>
        <w:w w:val="100"/>
        <w:sz w:val="20"/>
        <w:szCs w:val="20"/>
        <w:lang w:val="es-ES" w:eastAsia="es-ES" w:bidi="es-ES"/>
      </w:rPr>
    </w:lvl>
    <w:lvl w:ilvl="3">
      <w:start w:val="0"/>
      <w:numFmt w:val="bullet"/>
      <w:lvlText w:val="·"/>
      <w:lvlJc w:val="left"/>
      <w:pPr>
        <w:ind w:left="2486" w:hanging="455"/>
      </w:pPr>
      <w:rPr>
        <w:rFonts w:hint="default" w:ascii="Arial" w:hAnsi="Arial" w:eastAsia="Arial" w:cs="Arial"/>
        <w:w w:val="100"/>
        <w:sz w:val="20"/>
        <w:szCs w:val="20"/>
        <w:lang w:val="es-ES" w:eastAsia="es-ES" w:bidi="es-ES"/>
      </w:rPr>
    </w:lvl>
    <w:lvl w:ilvl="4">
      <w:start w:val="0"/>
      <w:numFmt w:val="bullet"/>
      <w:lvlText w:val="•"/>
      <w:lvlJc w:val="left"/>
      <w:pPr>
        <w:ind w:left="3549" w:hanging="455"/>
      </w:pPr>
      <w:rPr>
        <w:rFonts w:hint="default"/>
        <w:lang w:val="es-ES" w:eastAsia="es-ES" w:bidi="es-ES"/>
      </w:rPr>
    </w:lvl>
    <w:lvl w:ilvl="5">
      <w:start w:val="0"/>
      <w:numFmt w:val="bullet"/>
      <w:lvlText w:val="•"/>
      <w:lvlJc w:val="left"/>
      <w:pPr>
        <w:ind w:left="4618" w:hanging="455"/>
      </w:pPr>
      <w:rPr>
        <w:rFonts w:hint="default"/>
        <w:lang w:val="es-ES" w:eastAsia="es-ES" w:bidi="es-ES"/>
      </w:rPr>
    </w:lvl>
    <w:lvl w:ilvl="6">
      <w:start w:val="0"/>
      <w:numFmt w:val="bullet"/>
      <w:lvlText w:val="•"/>
      <w:lvlJc w:val="left"/>
      <w:pPr>
        <w:ind w:left="5688" w:hanging="455"/>
      </w:pPr>
      <w:rPr>
        <w:rFonts w:hint="default"/>
        <w:lang w:val="es-ES" w:eastAsia="es-ES" w:bidi="es-ES"/>
      </w:rPr>
    </w:lvl>
    <w:lvl w:ilvl="7">
      <w:start w:val="0"/>
      <w:numFmt w:val="bullet"/>
      <w:lvlText w:val="•"/>
      <w:lvlJc w:val="left"/>
      <w:pPr>
        <w:ind w:left="6757" w:hanging="455"/>
      </w:pPr>
      <w:rPr>
        <w:rFonts w:hint="default"/>
        <w:lang w:val="es-ES" w:eastAsia="es-ES" w:bidi="es-ES"/>
      </w:rPr>
    </w:lvl>
    <w:lvl w:ilvl="8">
      <w:start w:val="0"/>
      <w:numFmt w:val="bullet"/>
      <w:lvlText w:val="•"/>
      <w:lvlJc w:val="left"/>
      <w:pPr>
        <w:ind w:left="7827" w:hanging="455"/>
      </w:pPr>
      <w:rPr>
        <w:rFonts w:hint="default"/>
        <w:lang w:val="es-ES" w:eastAsia="es-ES" w:bidi="es-ES"/>
      </w:rPr>
    </w:lvl>
  </w:abstractNum>
  <w:abstractNum w:abstractNumId="22">
    <w:multiLevelType w:val="hybridMultilevel"/>
    <w:lvl w:ilvl="0">
      <w:start w:val="3"/>
      <w:numFmt w:val="upperLetter"/>
      <w:lvlText w:val="%1)"/>
      <w:lvlJc w:val="left"/>
      <w:pPr>
        <w:ind w:left="960" w:hanging="382"/>
        <w:jc w:val="left"/>
      </w:pPr>
      <w:rPr>
        <w:rFonts w:hint="default" w:ascii="Arial" w:hAnsi="Arial" w:eastAsia="Arial" w:cs="Arial"/>
        <w:w w:val="100"/>
        <w:sz w:val="20"/>
        <w:szCs w:val="20"/>
        <w:lang w:val="es-ES" w:eastAsia="es-ES" w:bidi="es-ES"/>
      </w:rPr>
    </w:lvl>
    <w:lvl w:ilvl="1">
      <w:start w:val="0"/>
      <w:numFmt w:val="bullet"/>
      <w:lvlText w:val="•"/>
      <w:lvlJc w:val="left"/>
      <w:pPr>
        <w:ind w:left="1860" w:hanging="382"/>
      </w:pPr>
      <w:rPr>
        <w:rFonts w:hint="default"/>
        <w:lang w:val="es-ES" w:eastAsia="es-ES" w:bidi="es-ES"/>
      </w:rPr>
    </w:lvl>
    <w:lvl w:ilvl="2">
      <w:start w:val="0"/>
      <w:numFmt w:val="bullet"/>
      <w:lvlText w:val="•"/>
      <w:lvlJc w:val="left"/>
      <w:pPr>
        <w:ind w:left="2761" w:hanging="382"/>
      </w:pPr>
      <w:rPr>
        <w:rFonts w:hint="default"/>
        <w:lang w:val="es-ES" w:eastAsia="es-ES" w:bidi="es-ES"/>
      </w:rPr>
    </w:lvl>
    <w:lvl w:ilvl="3">
      <w:start w:val="0"/>
      <w:numFmt w:val="bullet"/>
      <w:lvlText w:val="•"/>
      <w:lvlJc w:val="left"/>
      <w:pPr>
        <w:ind w:left="3661" w:hanging="382"/>
      </w:pPr>
      <w:rPr>
        <w:rFonts w:hint="default"/>
        <w:lang w:val="es-ES" w:eastAsia="es-ES" w:bidi="es-ES"/>
      </w:rPr>
    </w:lvl>
    <w:lvl w:ilvl="4">
      <w:start w:val="0"/>
      <w:numFmt w:val="bullet"/>
      <w:lvlText w:val="•"/>
      <w:lvlJc w:val="left"/>
      <w:pPr>
        <w:ind w:left="4562" w:hanging="382"/>
      </w:pPr>
      <w:rPr>
        <w:rFonts w:hint="default"/>
        <w:lang w:val="es-ES" w:eastAsia="es-ES" w:bidi="es-ES"/>
      </w:rPr>
    </w:lvl>
    <w:lvl w:ilvl="5">
      <w:start w:val="0"/>
      <w:numFmt w:val="bullet"/>
      <w:lvlText w:val="•"/>
      <w:lvlJc w:val="left"/>
      <w:pPr>
        <w:ind w:left="5463" w:hanging="382"/>
      </w:pPr>
      <w:rPr>
        <w:rFonts w:hint="default"/>
        <w:lang w:val="es-ES" w:eastAsia="es-ES" w:bidi="es-ES"/>
      </w:rPr>
    </w:lvl>
    <w:lvl w:ilvl="6">
      <w:start w:val="0"/>
      <w:numFmt w:val="bullet"/>
      <w:lvlText w:val="•"/>
      <w:lvlJc w:val="left"/>
      <w:pPr>
        <w:ind w:left="6363" w:hanging="382"/>
      </w:pPr>
      <w:rPr>
        <w:rFonts w:hint="default"/>
        <w:lang w:val="es-ES" w:eastAsia="es-ES" w:bidi="es-ES"/>
      </w:rPr>
    </w:lvl>
    <w:lvl w:ilvl="7">
      <w:start w:val="0"/>
      <w:numFmt w:val="bullet"/>
      <w:lvlText w:val="•"/>
      <w:lvlJc w:val="left"/>
      <w:pPr>
        <w:ind w:left="7264" w:hanging="382"/>
      </w:pPr>
      <w:rPr>
        <w:rFonts w:hint="default"/>
        <w:lang w:val="es-ES" w:eastAsia="es-ES" w:bidi="es-ES"/>
      </w:rPr>
    </w:lvl>
    <w:lvl w:ilvl="8">
      <w:start w:val="0"/>
      <w:numFmt w:val="bullet"/>
      <w:lvlText w:val="•"/>
      <w:lvlJc w:val="left"/>
      <w:pPr>
        <w:ind w:left="8165" w:hanging="382"/>
      </w:pPr>
      <w:rPr>
        <w:rFonts w:hint="default"/>
        <w:lang w:val="es-ES" w:eastAsia="es-ES" w:bidi="es-ES"/>
      </w:rPr>
    </w:lvl>
  </w:abstractNum>
  <w:abstractNum w:abstractNumId="21">
    <w:multiLevelType w:val="hybridMultilevel"/>
    <w:lvl w:ilvl="0">
      <w:start w:val="1"/>
      <w:numFmt w:val="decimal"/>
      <w:lvlText w:val="%1"/>
      <w:lvlJc w:val="left"/>
      <w:pPr>
        <w:ind w:left="644" w:hanging="427"/>
        <w:jc w:val="left"/>
      </w:pPr>
      <w:rPr>
        <w:rFonts w:hint="default" w:ascii="Arial" w:hAnsi="Arial" w:eastAsia="Arial" w:cs="Arial"/>
        <w:w w:val="100"/>
        <w:sz w:val="20"/>
        <w:szCs w:val="20"/>
        <w:lang w:val="es-ES" w:eastAsia="es-ES" w:bidi="es-ES"/>
      </w:rPr>
    </w:lvl>
    <w:lvl w:ilvl="1">
      <w:start w:val="0"/>
      <w:numFmt w:val="bullet"/>
      <w:lvlText w:val="•"/>
      <w:lvlJc w:val="left"/>
      <w:pPr>
        <w:ind w:left="1860" w:hanging="427"/>
      </w:pPr>
      <w:rPr>
        <w:rFonts w:hint="default"/>
        <w:lang w:val="es-ES" w:eastAsia="es-ES" w:bidi="es-ES"/>
      </w:rPr>
    </w:lvl>
    <w:lvl w:ilvl="2">
      <w:start w:val="0"/>
      <w:numFmt w:val="bullet"/>
      <w:lvlText w:val="•"/>
      <w:lvlJc w:val="left"/>
      <w:pPr>
        <w:ind w:left="1910" w:hanging="427"/>
      </w:pPr>
      <w:rPr>
        <w:rFonts w:hint="default"/>
        <w:lang w:val="es-ES" w:eastAsia="es-ES" w:bidi="es-ES"/>
      </w:rPr>
    </w:lvl>
    <w:lvl w:ilvl="3">
      <w:start w:val="0"/>
      <w:numFmt w:val="bullet"/>
      <w:lvlText w:val="•"/>
      <w:lvlJc w:val="left"/>
      <w:pPr>
        <w:ind w:left="1960" w:hanging="427"/>
      </w:pPr>
      <w:rPr>
        <w:rFonts w:hint="default"/>
        <w:lang w:val="es-ES" w:eastAsia="es-ES" w:bidi="es-ES"/>
      </w:rPr>
    </w:lvl>
    <w:lvl w:ilvl="4">
      <w:start w:val="0"/>
      <w:numFmt w:val="bullet"/>
      <w:lvlText w:val="•"/>
      <w:lvlJc w:val="left"/>
      <w:pPr>
        <w:ind w:left="2011" w:hanging="427"/>
      </w:pPr>
      <w:rPr>
        <w:rFonts w:hint="default"/>
        <w:lang w:val="es-ES" w:eastAsia="es-ES" w:bidi="es-ES"/>
      </w:rPr>
    </w:lvl>
    <w:lvl w:ilvl="5">
      <w:start w:val="0"/>
      <w:numFmt w:val="bullet"/>
      <w:lvlText w:val="•"/>
      <w:lvlJc w:val="left"/>
      <w:pPr>
        <w:ind w:left="2061" w:hanging="427"/>
      </w:pPr>
      <w:rPr>
        <w:rFonts w:hint="default"/>
        <w:lang w:val="es-ES" w:eastAsia="es-ES" w:bidi="es-ES"/>
      </w:rPr>
    </w:lvl>
    <w:lvl w:ilvl="6">
      <w:start w:val="0"/>
      <w:numFmt w:val="bullet"/>
      <w:lvlText w:val="•"/>
      <w:lvlJc w:val="left"/>
      <w:pPr>
        <w:ind w:left="2112" w:hanging="427"/>
      </w:pPr>
      <w:rPr>
        <w:rFonts w:hint="default"/>
        <w:lang w:val="es-ES" w:eastAsia="es-ES" w:bidi="es-ES"/>
      </w:rPr>
    </w:lvl>
    <w:lvl w:ilvl="7">
      <w:start w:val="0"/>
      <w:numFmt w:val="bullet"/>
      <w:lvlText w:val="•"/>
      <w:lvlJc w:val="left"/>
      <w:pPr>
        <w:ind w:left="2162" w:hanging="427"/>
      </w:pPr>
      <w:rPr>
        <w:rFonts w:hint="default"/>
        <w:lang w:val="es-ES" w:eastAsia="es-ES" w:bidi="es-ES"/>
      </w:rPr>
    </w:lvl>
    <w:lvl w:ilvl="8">
      <w:start w:val="0"/>
      <w:numFmt w:val="bullet"/>
      <w:lvlText w:val="•"/>
      <w:lvlJc w:val="left"/>
      <w:pPr>
        <w:ind w:left="2213" w:hanging="427"/>
      </w:pPr>
      <w:rPr>
        <w:rFonts w:hint="default"/>
        <w:lang w:val="es-ES" w:eastAsia="es-ES" w:bidi="es-ES"/>
      </w:rPr>
    </w:lvl>
  </w:abstractNum>
  <w:abstractNum w:abstractNumId="20">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5" w:hanging="455"/>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19">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8">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7">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6">
    <w:multiLevelType w:val="hybridMultilevel"/>
    <w:lvl w:ilvl="0">
      <w:start w:val="3"/>
      <w:numFmt w:val="upperLetter"/>
      <w:lvlText w:val="%1)"/>
      <w:lvlJc w:val="left"/>
      <w:pPr>
        <w:ind w:left="960" w:hanging="382"/>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860" w:hanging="382"/>
      </w:pPr>
      <w:rPr>
        <w:rFonts w:hint="default"/>
        <w:lang w:val="es-ES" w:eastAsia="es-ES" w:bidi="es-ES"/>
      </w:rPr>
    </w:lvl>
    <w:lvl w:ilvl="2">
      <w:start w:val="0"/>
      <w:numFmt w:val="bullet"/>
      <w:lvlText w:val="•"/>
      <w:lvlJc w:val="left"/>
      <w:pPr>
        <w:ind w:left="2761" w:hanging="382"/>
      </w:pPr>
      <w:rPr>
        <w:rFonts w:hint="default"/>
        <w:lang w:val="es-ES" w:eastAsia="es-ES" w:bidi="es-ES"/>
      </w:rPr>
    </w:lvl>
    <w:lvl w:ilvl="3">
      <w:start w:val="0"/>
      <w:numFmt w:val="bullet"/>
      <w:lvlText w:val="•"/>
      <w:lvlJc w:val="left"/>
      <w:pPr>
        <w:ind w:left="3661" w:hanging="382"/>
      </w:pPr>
      <w:rPr>
        <w:rFonts w:hint="default"/>
        <w:lang w:val="es-ES" w:eastAsia="es-ES" w:bidi="es-ES"/>
      </w:rPr>
    </w:lvl>
    <w:lvl w:ilvl="4">
      <w:start w:val="0"/>
      <w:numFmt w:val="bullet"/>
      <w:lvlText w:val="•"/>
      <w:lvlJc w:val="left"/>
      <w:pPr>
        <w:ind w:left="4562" w:hanging="382"/>
      </w:pPr>
      <w:rPr>
        <w:rFonts w:hint="default"/>
        <w:lang w:val="es-ES" w:eastAsia="es-ES" w:bidi="es-ES"/>
      </w:rPr>
    </w:lvl>
    <w:lvl w:ilvl="5">
      <w:start w:val="0"/>
      <w:numFmt w:val="bullet"/>
      <w:lvlText w:val="•"/>
      <w:lvlJc w:val="left"/>
      <w:pPr>
        <w:ind w:left="5463" w:hanging="382"/>
      </w:pPr>
      <w:rPr>
        <w:rFonts w:hint="default"/>
        <w:lang w:val="es-ES" w:eastAsia="es-ES" w:bidi="es-ES"/>
      </w:rPr>
    </w:lvl>
    <w:lvl w:ilvl="6">
      <w:start w:val="0"/>
      <w:numFmt w:val="bullet"/>
      <w:lvlText w:val="•"/>
      <w:lvlJc w:val="left"/>
      <w:pPr>
        <w:ind w:left="6363" w:hanging="382"/>
      </w:pPr>
      <w:rPr>
        <w:rFonts w:hint="default"/>
        <w:lang w:val="es-ES" w:eastAsia="es-ES" w:bidi="es-ES"/>
      </w:rPr>
    </w:lvl>
    <w:lvl w:ilvl="7">
      <w:start w:val="0"/>
      <w:numFmt w:val="bullet"/>
      <w:lvlText w:val="•"/>
      <w:lvlJc w:val="left"/>
      <w:pPr>
        <w:ind w:left="7264" w:hanging="382"/>
      </w:pPr>
      <w:rPr>
        <w:rFonts w:hint="default"/>
        <w:lang w:val="es-ES" w:eastAsia="es-ES" w:bidi="es-ES"/>
      </w:rPr>
    </w:lvl>
    <w:lvl w:ilvl="8">
      <w:start w:val="0"/>
      <w:numFmt w:val="bullet"/>
      <w:lvlText w:val="•"/>
      <w:lvlJc w:val="left"/>
      <w:pPr>
        <w:ind w:left="8165" w:hanging="382"/>
      </w:pPr>
      <w:rPr>
        <w:rFonts w:hint="default"/>
        <w:lang w:val="es-ES" w:eastAsia="es-ES" w:bidi="es-ES"/>
      </w:rPr>
    </w:lvl>
  </w:abstractNum>
  <w:abstractNum w:abstractNumId="15">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4264" w:hanging="360"/>
        <w:jc w:val="left"/>
      </w:pPr>
      <w:rPr>
        <w:rFonts w:hint="default" w:ascii="Arial" w:hAnsi="Arial" w:eastAsia="Arial" w:cs="Arial"/>
        <w:b/>
        <w:bCs/>
        <w:w w:val="99"/>
        <w:sz w:val="16"/>
        <w:szCs w:val="16"/>
        <w:lang w:val="es-ES" w:eastAsia="es-ES" w:bidi="es-ES"/>
      </w:rPr>
    </w:lvl>
    <w:lvl w:ilvl="2">
      <w:start w:val="0"/>
      <w:numFmt w:val="bullet"/>
      <w:lvlText w:val="•"/>
      <w:lvlJc w:val="left"/>
      <w:pPr>
        <w:ind w:left="4894" w:hanging="360"/>
      </w:pPr>
      <w:rPr>
        <w:rFonts w:hint="default"/>
        <w:lang w:val="es-ES" w:eastAsia="es-ES" w:bidi="es-ES"/>
      </w:rPr>
    </w:lvl>
    <w:lvl w:ilvl="3">
      <w:start w:val="0"/>
      <w:numFmt w:val="bullet"/>
      <w:lvlText w:val="•"/>
      <w:lvlJc w:val="left"/>
      <w:pPr>
        <w:ind w:left="5528" w:hanging="360"/>
      </w:pPr>
      <w:rPr>
        <w:rFonts w:hint="default"/>
        <w:lang w:val="es-ES" w:eastAsia="es-ES" w:bidi="es-ES"/>
      </w:rPr>
    </w:lvl>
    <w:lvl w:ilvl="4">
      <w:start w:val="0"/>
      <w:numFmt w:val="bullet"/>
      <w:lvlText w:val="•"/>
      <w:lvlJc w:val="left"/>
      <w:pPr>
        <w:ind w:left="6162" w:hanging="360"/>
      </w:pPr>
      <w:rPr>
        <w:rFonts w:hint="default"/>
        <w:lang w:val="es-ES" w:eastAsia="es-ES" w:bidi="es-ES"/>
      </w:rPr>
    </w:lvl>
    <w:lvl w:ilvl="5">
      <w:start w:val="0"/>
      <w:numFmt w:val="bullet"/>
      <w:lvlText w:val="•"/>
      <w:lvlJc w:val="left"/>
      <w:pPr>
        <w:ind w:left="6796" w:hanging="360"/>
      </w:pPr>
      <w:rPr>
        <w:rFonts w:hint="default"/>
        <w:lang w:val="es-ES" w:eastAsia="es-ES" w:bidi="es-ES"/>
      </w:rPr>
    </w:lvl>
    <w:lvl w:ilvl="6">
      <w:start w:val="0"/>
      <w:numFmt w:val="bullet"/>
      <w:lvlText w:val="•"/>
      <w:lvlJc w:val="left"/>
      <w:pPr>
        <w:ind w:left="7430" w:hanging="360"/>
      </w:pPr>
      <w:rPr>
        <w:rFonts w:hint="default"/>
        <w:lang w:val="es-ES" w:eastAsia="es-ES" w:bidi="es-ES"/>
      </w:rPr>
    </w:lvl>
    <w:lvl w:ilvl="7">
      <w:start w:val="0"/>
      <w:numFmt w:val="bullet"/>
      <w:lvlText w:val="•"/>
      <w:lvlJc w:val="left"/>
      <w:pPr>
        <w:ind w:left="8064" w:hanging="360"/>
      </w:pPr>
      <w:rPr>
        <w:rFonts w:hint="default"/>
        <w:lang w:val="es-ES" w:eastAsia="es-ES" w:bidi="es-ES"/>
      </w:rPr>
    </w:lvl>
    <w:lvl w:ilvl="8">
      <w:start w:val="0"/>
      <w:numFmt w:val="bullet"/>
      <w:lvlText w:val="•"/>
      <w:lvlJc w:val="left"/>
      <w:pPr>
        <w:ind w:left="8698" w:hanging="360"/>
      </w:pPr>
      <w:rPr>
        <w:rFonts w:hint="default"/>
        <w:lang w:val="es-ES" w:eastAsia="es-ES" w:bidi="es-ES"/>
      </w:rPr>
    </w:lvl>
  </w:abstractNum>
  <w:abstractNum w:abstractNumId="14">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5"/>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102" w:hanging="455"/>
      </w:pPr>
      <w:rPr>
        <w:rFonts w:hint="default"/>
        <w:lang w:val="es-ES" w:eastAsia="es-ES" w:bidi="es-ES"/>
      </w:rPr>
    </w:lvl>
    <w:lvl w:ilvl="3">
      <w:start w:val="0"/>
      <w:numFmt w:val="bullet"/>
      <w:lvlText w:val="•"/>
      <w:lvlJc w:val="left"/>
      <w:pPr>
        <w:ind w:left="3085" w:hanging="455"/>
      </w:pPr>
      <w:rPr>
        <w:rFonts w:hint="default"/>
        <w:lang w:val="es-ES" w:eastAsia="es-ES" w:bidi="es-ES"/>
      </w:rPr>
    </w:lvl>
    <w:lvl w:ilvl="4">
      <w:start w:val="0"/>
      <w:numFmt w:val="bullet"/>
      <w:lvlText w:val="•"/>
      <w:lvlJc w:val="left"/>
      <w:pPr>
        <w:ind w:left="4068" w:hanging="455"/>
      </w:pPr>
      <w:rPr>
        <w:rFonts w:hint="default"/>
        <w:lang w:val="es-ES" w:eastAsia="es-ES" w:bidi="es-ES"/>
      </w:rPr>
    </w:lvl>
    <w:lvl w:ilvl="5">
      <w:start w:val="0"/>
      <w:numFmt w:val="bullet"/>
      <w:lvlText w:val="•"/>
      <w:lvlJc w:val="left"/>
      <w:pPr>
        <w:ind w:left="5051" w:hanging="455"/>
      </w:pPr>
      <w:rPr>
        <w:rFonts w:hint="default"/>
        <w:lang w:val="es-ES" w:eastAsia="es-ES" w:bidi="es-ES"/>
      </w:rPr>
    </w:lvl>
    <w:lvl w:ilvl="6">
      <w:start w:val="0"/>
      <w:numFmt w:val="bullet"/>
      <w:lvlText w:val="•"/>
      <w:lvlJc w:val="left"/>
      <w:pPr>
        <w:ind w:left="6034" w:hanging="455"/>
      </w:pPr>
      <w:rPr>
        <w:rFonts w:hint="default"/>
        <w:lang w:val="es-ES" w:eastAsia="es-ES" w:bidi="es-ES"/>
      </w:rPr>
    </w:lvl>
    <w:lvl w:ilvl="7">
      <w:start w:val="0"/>
      <w:numFmt w:val="bullet"/>
      <w:lvlText w:val="•"/>
      <w:lvlJc w:val="left"/>
      <w:pPr>
        <w:ind w:left="7017" w:hanging="455"/>
      </w:pPr>
      <w:rPr>
        <w:rFonts w:hint="default"/>
        <w:lang w:val="es-ES" w:eastAsia="es-ES" w:bidi="es-ES"/>
      </w:rPr>
    </w:lvl>
    <w:lvl w:ilvl="8">
      <w:start w:val="0"/>
      <w:numFmt w:val="bullet"/>
      <w:lvlText w:val="•"/>
      <w:lvlJc w:val="left"/>
      <w:pPr>
        <w:ind w:left="8000" w:hanging="455"/>
      </w:pPr>
      <w:rPr>
        <w:rFonts w:hint="default"/>
        <w:lang w:val="es-ES" w:eastAsia="es-ES" w:bidi="es-ES"/>
      </w:rPr>
    </w:lvl>
  </w:abstractNum>
  <w:abstractNum w:abstractNumId="13">
    <w:multiLevelType w:val="hybridMultilevel"/>
    <w:lvl w:ilvl="0">
      <w:start w:val="2"/>
      <w:numFmt w:val="decimal"/>
      <w:lvlText w:val="%1"/>
      <w:lvlJc w:val="left"/>
      <w:pPr>
        <w:ind w:left="502" w:hanging="285"/>
        <w:jc w:val="left"/>
      </w:pPr>
      <w:rPr>
        <w:rFonts w:hint="default" w:ascii="Arial" w:hAnsi="Arial" w:eastAsia="Arial" w:cs="Arial"/>
        <w:b/>
        <w:bCs/>
        <w:w w:val="99"/>
        <w:sz w:val="28"/>
        <w:szCs w:val="28"/>
        <w:lang w:val="es-ES" w:eastAsia="es-ES" w:bidi="es-ES"/>
      </w:rPr>
    </w:lvl>
    <w:lvl w:ilvl="1">
      <w:start w:val="1"/>
      <w:numFmt w:val="decimal"/>
      <w:lvlText w:val="%1.%2"/>
      <w:lvlJc w:val="left"/>
      <w:pPr>
        <w:ind w:left="785" w:hanging="568"/>
        <w:jc w:val="left"/>
      </w:pPr>
      <w:rPr>
        <w:rFonts w:hint="default" w:ascii="Arial" w:hAnsi="Arial" w:eastAsia="Arial" w:cs="Arial"/>
        <w:b/>
        <w:bCs/>
        <w:spacing w:val="-1"/>
        <w:w w:val="100"/>
        <w:sz w:val="24"/>
        <w:szCs w:val="24"/>
        <w:lang w:val="es-ES" w:eastAsia="es-ES" w:bidi="es-ES"/>
      </w:rPr>
    </w:lvl>
    <w:lvl w:ilvl="2">
      <w:start w:val="1"/>
      <w:numFmt w:val="decimal"/>
      <w:lvlText w:val="%1.%2.%3"/>
      <w:lvlJc w:val="left"/>
      <w:pPr>
        <w:ind w:left="785" w:hanging="567"/>
        <w:jc w:val="left"/>
      </w:pPr>
      <w:rPr>
        <w:rFonts w:hint="default" w:ascii="Arial" w:hAnsi="Arial" w:eastAsia="Arial" w:cs="Arial"/>
        <w:b/>
        <w:bCs/>
        <w:spacing w:val="-1"/>
        <w:w w:val="100"/>
        <w:sz w:val="20"/>
        <w:szCs w:val="20"/>
        <w:lang w:val="es-ES" w:eastAsia="es-ES" w:bidi="es-ES"/>
      </w:rPr>
    </w:lvl>
    <w:lvl w:ilvl="3">
      <w:start w:val="1"/>
      <w:numFmt w:val="decimal"/>
      <w:lvlText w:val="%1.%2.%3.%4"/>
      <w:lvlJc w:val="left"/>
      <w:pPr>
        <w:ind w:left="927" w:hanging="710"/>
        <w:jc w:val="left"/>
      </w:pPr>
      <w:rPr>
        <w:rFonts w:hint="default" w:ascii="Arial" w:hAnsi="Arial" w:eastAsia="Arial" w:cs="Arial"/>
        <w:b/>
        <w:bCs/>
        <w:spacing w:val="-1"/>
        <w:w w:val="100"/>
        <w:sz w:val="20"/>
        <w:szCs w:val="20"/>
        <w:lang w:val="es-ES" w:eastAsia="es-ES" w:bidi="es-ES"/>
      </w:rPr>
    </w:lvl>
    <w:lvl w:ilvl="4">
      <w:start w:val="1"/>
      <w:numFmt w:val="decimal"/>
      <w:lvlText w:val="%1.%2.%3.%4.%5"/>
      <w:lvlJc w:val="left"/>
      <w:pPr>
        <w:ind w:left="1070" w:hanging="852"/>
        <w:jc w:val="left"/>
      </w:pPr>
      <w:rPr>
        <w:rFonts w:hint="default" w:ascii="Arial" w:hAnsi="Arial" w:eastAsia="Arial" w:cs="Arial"/>
        <w:b/>
        <w:bCs/>
        <w:spacing w:val="-1"/>
        <w:w w:val="100"/>
        <w:sz w:val="20"/>
        <w:szCs w:val="20"/>
        <w:lang w:val="es-ES" w:eastAsia="es-ES" w:bidi="es-ES"/>
      </w:rPr>
    </w:lvl>
    <w:lvl w:ilvl="5">
      <w:start w:val="0"/>
      <w:numFmt w:val="bullet"/>
      <w:lvlText w:val="•"/>
      <w:lvlJc w:val="left"/>
      <w:pPr>
        <w:ind w:left="3618" w:hanging="852"/>
      </w:pPr>
      <w:rPr>
        <w:rFonts w:hint="default"/>
        <w:lang w:val="es-ES" w:eastAsia="es-ES" w:bidi="es-ES"/>
      </w:rPr>
    </w:lvl>
    <w:lvl w:ilvl="6">
      <w:start w:val="0"/>
      <w:numFmt w:val="bullet"/>
      <w:lvlText w:val="•"/>
      <w:lvlJc w:val="left"/>
      <w:pPr>
        <w:ind w:left="4888" w:hanging="852"/>
      </w:pPr>
      <w:rPr>
        <w:rFonts w:hint="default"/>
        <w:lang w:val="es-ES" w:eastAsia="es-ES" w:bidi="es-ES"/>
      </w:rPr>
    </w:lvl>
    <w:lvl w:ilvl="7">
      <w:start w:val="0"/>
      <w:numFmt w:val="bullet"/>
      <w:lvlText w:val="•"/>
      <w:lvlJc w:val="left"/>
      <w:pPr>
        <w:ind w:left="6157" w:hanging="852"/>
      </w:pPr>
      <w:rPr>
        <w:rFonts w:hint="default"/>
        <w:lang w:val="es-ES" w:eastAsia="es-ES" w:bidi="es-ES"/>
      </w:rPr>
    </w:lvl>
    <w:lvl w:ilvl="8">
      <w:start w:val="0"/>
      <w:numFmt w:val="bullet"/>
      <w:lvlText w:val="•"/>
      <w:lvlJc w:val="left"/>
      <w:pPr>
        <w:ind w:left="7427" w:hanging="852"/>
      </w:pPr>
      <w:rPr>
        <w:rFonts w:hint="default"/>
        <w:lang w:val="es-ES" w:eastAsia="es-ES" w:bidi="es-ES"/>
      </w:rPr>
    </w:lvl>
  </w:abstractNum>
  <w:abstractNum w:abstractNumId="12">
    <w:multiLevelType w:val="hybridMultilevel"/>
    <w:lvl w:ilvl="0">
      <w:start w:val="1"/>
      <w:numFmt w:val="decimal"/>
      <w:lvlText w:val="%1"/>
      <w:lvlJc w:val="left"/>
      <w:pPr>
        <w:ind w:left="671" w:hanging="454"/>
        <w:jc w:val="left"/>
      </w:pPr>
      <w:rPr>
        <w:rFonts w:hint="default" w:ascii="Arial" w:hAnsi="Arial" w:eastAsia="Arial" w:cs="Arial"/>
        <w:w w:val="100"/>
        <w:sz w:val="20"/>
        <w:szCs w:val="20"/>
        <w:lang w:val="es-ES" w:eastAsia="es-ES" w:bidi="es-ES"/>
      </w:rPr>
    </w:lvl>
    <w:lvl w:ilvl="1">
      <w:start w:val="1"/>
      <w:numFmt w:val="lowerLetter"/>
      <w:lvlText w:val="%2)"/>
      <w:lvlJc w:val="left"/>
      <w:pPr>
        <w:ind w:left="1126" w:hanging="455"/>
        <w:jc w:val="left"/>
      </w:pPr>
      <w:rPr>
        <w:rFonts w:hint="default" w:ascii="Arial" w:hAnsi="Arial" w:eastAsia="Arial" w:cs="Arial"/>
        <w:spacing w:val="-1"/>
        <w:w w:val="100"/>
        <w:sz w:val="20"/>
        <w:szCs w:val="20"/>
        <w:lang w:val="es-ES" w:eastAsia="es-ES" w:bidi="es-ES"/>
      </w:rPr>
    </w:lvl>
    <w:lvl w:ilvl="2">
      <w:start w:val="1"/>
      <w:numFmt w:val="lowerRoman"/>
      <w:lvlText w:val="%3)"/>
      <w:lvlJc w:val="left"/>
      <w:pPr>
        <w:ind w:left="1298" w:hanging="415"/>
        <w:jc w:val="left"/>
      </w:pPr>
      <w:rPr>
        <w:rFonts w:hint="default" w:ascii="Arial" w:hAnsi="Arial" w:eastAsia="Arial" w:cs="Arial"/>
        <w:w w:val="100"/>
        <w:sz w:val="20"/>
        <w:szCs w:val="20"/>
        <w:lang w:val="es-ES" w:eastAsia="es-ES" w:bidi="es-ES"/>
      </w:rPr>
    </w:lvl>
    <w:lvl w:ilvl="3">
      <w:start w:val="0"/>
      <w:numFmt w:val="bullet"/>
      <w:lvlText w:val="•"/>
      <w:lvlJc w:val="left"/>
      <w:pPr>
        <w:ind w:left="2383" w:hanging="415"/>
      </w:pPr>
      <w:rPr>
        <w:rFonts w:hint="default"/>
        <w:lang w:val="es-ES" w:eastAsia="es-ES" w:bidi="es-ES"/>
      </w:rPr>
    </w:lvl>
    <w:lvl w:ilvl="4">
      <w:start w:val="0"/>
      <w:numFmt w:val="bullet"/>
      <w:lvlText w:val="•"/>
      <w:lvlJc w:val="left"/>
      <w:pPr>
        <w:ind w:left="3466" w:hanging="415"/>
      </w:pPr>
      <w:rPr>
        <w:rFonts w:hint="default"/>
        <w:lang w:val="es-ES" w:eastAsia="es-ES" w:bidi="es-ES"/>
      </w:rPr>
    </w:lvl>
    <w:lvl w:ilvl="5">
      <w:start w:val="0"/>
      <w:numFmt w:val="bullet"/>
      <w:lvlText w:val="•"/>
      <w:lvlJc w:val="left"/>
      <w:pPr>
        <w:ind w:left="4549" w:hanging="415"/>
      </w:pPr>
      <w:rPr>
        <w:rFonts w:hint="default"/>
        <w:lang w:val="es-ES" w:eastAsia="es-ES" w:bidi="es-ES"/>
      </w:rPr>
    </w:lvl>
    <w:lvl w:ilvl="6">
      <w:start w:val="0"/>
      <w:numFmt w:val="bullet"/>
      <w:lvlText w:val="•"/>
      <w:lvlJc w:val="left"/>
      <w:pPr>
        <w:ind w:left="5633" w:hanging="415"/>
      </w:pPr>
      <w:rPr>
        <w:rFonts w:hint="default"/>
        <w:lang w:val="es-ES" w:eastAsia="es-ES" w:bidi="es-ES"/>
      </w:rPr>
    </w:lvl>
    <w:lvl w:ilvl="7">
      <w:start w:val="0"/>
      <w:numFmt w:val="bullet"/>
      <w:lvlText w:val="•"/>
      <w:lvlJc w:val="left"/>
      <w:pPr>
        <w:ind w:left="6716" w:hanging="415"/>
      </w:pPr>
      <w:rPr>
        <w:rFonts w:hint="default"/>
        <w:lang w:val="es-ES" w:eastAsia="es-ES" w:bidi="es-ES"/>
      </w:rPr>
    </w:lvl>
    <w:lvl w:ilvl="8">
      <w:start w:val="0"/>
      <w:numFmt w:val="bullet"/>
      <w:lvlText w:val="•"/>
      <w:lvlJc w:val="left"/>
      <w:pPr>
        <w:ind w:left="7799" w:hanging="415"/>
      </w:pPr>
      <w:rPr>
        <w:rFonts w:hint="default"/>
        <w:lang w:val="es-ES" w:eastAsia="es-ES" w:bidi="es-ES"/>
      </w:rPr>
    </w:lvl>
  </w:abstractNum>
  <w:abstractNum w:abstractNumId="11">
    <w:multiLevelType w:val="hybridMultilevel"/>
    <w:lvl w:ilvl="0">
      <w:start w:val="1"/>
      <w:numFmt w:val="decimal"/>
      <w:lvlText w:val="%1"/>
      <w:lvlJc w:val="left"/>
      <w:pPr>
        <w:ind w:left="672" w:hanging="454"/>
        <w:jc w:val="left"/>
      </w:pPr>
      <w:rPr>
        <w:rFonts w:hint="default" w:ascii="Arial" w:hAnsi="Arial" w:eastAsia="Arial" w:cs="Arial"/>
        <w:w w:val="100"/>
        <w:sz w:val="20"/>
        <w:szCs w:val="20"/>
        <w:lang w:val="es-ES" w:eastAsia="es-ES" w:bidi="es-ES"/>
      </w:rPr>
    </w:lvl>
    <w:lvl w:ilvl="1">
      <w:start w:val="0"/>
      <w:numFmt w:val="bullet"/>
      <w:lvlText w:val="•"/>
      <w:lvlJc w:val="left"/>
      <w:pPr>
        <w:ind w:left="1608" w:hanging="454"/>
      </w:pPr>
      <w:rPr>
        <w:rFonts w:hint="default"/>
        <w:lang w:val="es-ES" w:eastAsia="es-ES" w:bidi="es-ES"/>
      </w:rPr>
    </w:lvl>
    <w:lvl w:ilvl="2">
      <w:start w:val="0"/>
      <w:numFmt w:val="bullet"/>
      <w:lvlText w:val="•"/>
      <w:lvlJc w:val="left"/>
      <w:pPr>
        <w:ind w:left="2537" w:hanging="454"/>
      </w:pPr>
      <w:rPr>
        <w:rFonts w:hint="default"/>
        <w:lang w:val="es-ES" w:eastAsia="es-ES" w:bidi="es-ES"/>
      </w:rPr>
    </w:lvl>
    <w:lvl w:ilvl="3">
      <w:start w:val="0"/>
      <w:numFmt w:val="bullet"/>
      <w:lvlText w:val="•"/>
      <w:lvlJc w:val="left"/>
      <w:pPr>
        <w:ind w:left="3465" w:hanging="454"/>
      </w:pPr>
      <w:rPr>
        <w:rFonts w:hint="default"/>
        <w:lang w:val="es-ES" w:eastAsia="es-ES" w:bidi="es-ES"/>
      </w:rPr>
    </w:lvl>
    <w:lvl w:ilvl="4">
      <w:start w:val="0"/>
      <w:numFmt w:val="bullet"/>
      <w:lvlText w:val="•"/>
      <w:lvlJc w:val="left"/>
      <w:pPr>
        <w:ind w:left="4394" w:hanging="454"/>
      </w:pPr>
      <w:rPr>
        <w:rFonts w:hint="default"/>
        <w:lang w:val="es-ES" w:eastAsia="es-ES" w:bidi="es-ES"/>
      </w:rPr>
    </w:lvl>
    <w:lvl w:ilvl="5">
      <w:start w:val="0"/>
      <w:numFmt w:val="bullet"/>
      <w:lvlText w:val="•"/>
      <w:lvlJc w:val="left"/>
      <w:pPr>
        <w:ind w:left="5323" w:hanging="454"/>
      </w:pPr>
      <w:rPr>
        <w:rFonts w:hint="default"/>
        <w:lang w:val="es-ES" w:eastAsia="es-ES" w:bidi="es-ES"/>
      </w:rPr>
    </w:lvl>
    <w:lvl w:ilvl="6">
      <w:start w:val="0"/>
      <w:numFmt w:val="bullet"/>
      <w:lvlText w:val="•"/>
      <w:lvlJc w:val="left"/>
      <w:pPr>
        <w:ind w:left="6251" w:hanging="454"/>
      </w:pPr>
      <w:rPr>
        <w:rFonts w:hint="default"/>
        <w:lang w:val="es-ES" w:eastAsia="es-ES" w:bidi="es-ES"/>
      </w:rPr>
    </w:lvl>
    <w:lvl w:ilvl="7">
      <w:start w:val="0"/>
      <w:numFmt w:val="bullet"/>
      <w:lvlText w:val="•"/>
      <w:lvlJc w:val="left"/>
      <w:pPr>
        <w:ind w:left="7180" w:hanging="454"/>
      </w:pPr>
      <w:rPr>
        <w:rFonts w:hint="default"/>
        <w:lang w:val="es-ES" w:eastAsia="es-ES" w:bidi="es-ES"/>
      </w:rPr>
    </w:lvl>
    <w:lvl w:ilvl="8">
      <w:start w:val="0"/>
      <w:numFmt w:val="bullet"/>
      <w:lvlText w:val="•"/>
      <w:lvlJc w:val="left"/>
      <w:pPr>
        <w:ind w:left="8109" w:hanging="454"/>
      </w:pPr>
      <w:rPr>
        <w:rFonts w:hint="default"/>
        <w:lang w:val="es-ES" w:eastAsia="es-ES" w:bidi="es-ES"/>
      </w:rPr>
    </w:lvl>
  </w:abstractNum>
  <w:abstractNum w:abstractNumId="10">
    <w:multiLevelType w:val="hybridMultilevel"/>
    <w:lvl w:ilvl="0">
      <w:start w:val="1"/>
      <w:numFmt w:val="decimal"/>
      <w:lvlText w:val="%1"/>
      <w:lvlJc w:val="left"/>
      <w:pPr>
        <w:ind w:left="502" w:hanging="285"/>
        <w:jc w:val="left"/>
      </w:pPr>
      <w:rPr>
        <w:rFonts w:hint="default" w:ascii="Arial" w:hAnsi="Arial" w:eastAsia="Arial" w:cs="Arial"/>
        <w:b/>
        <w:bCs/>
        <w:w w:val="99"/>
        <w:sz w:val="28"/>
        <w:szCs w:val="28"/>
        <w:lang w:val="es-ES" w:eastAsia="es-ES" w:bidi="es-ES"/>
      </w:rPr>
    </w:lvl>
    <w:lvl w:ilvl="1">
      <w:start w:val="1"/>
      <w:numFmt w:val="decimal"/>
      <w:lvlText w:val="%1.%2"/>
      <w:lvlJc w:val="left"/>
      <w:pPr>
        <w:ind w:left="785" w:hanging="568"/>
        <w:jc w:val="left"/>
      </w:pPr>
      <w:rPr>
        <w:rFonts w:hint="default" w:ascii="Arial" w:hAnsi="Arial" w:eastAsia="Arial" w:cs="Arial"/>
        <w:b/>
        <w:bCs/>
        <w:spacing w:val="-1"/>
        <w:w w:val="100"/>
        <w:sz w:val="24"/>
        <w:szCs w:val="24"/>
        <w:lang w:val="es-ES" w:eastAsia="es-ES" w:bidi="es-ES"/>
      </w:rPr>
    </w:lvl>
    <w:lvl w:ilvl="2">
      <w:start w:val="0"/>
      <w:numFmt w:val="bullet"/>
      <w:lvlText w:val="•"/>
      <w:lvlJc w:val="left"/>
      <w:pPr>
        <w:ind w:left="1800" w:hanging="568"/>
      </w:pPr>
      <w:rPr>
        <w:rFonts w:hint="default"/>
        <w:lang w:val="es-ES" w:eastAsia="es-ES" w:bidi="es-ES"/>
      </w:rPr>
    </w:lvl>
    <w:lvl w:ilvl="3">
      <w:start w:val="0"/>
      <w:numFmt w:val="bullet"/>
      <w:lvlText w:val="•"/>
      <w:lvlJc w:val="left"/>
      <w:pPr>
        <w:ind w:left="2821" w:hanging="568"/>
      </w:pPr>
      <w:rPr>
        <w:rFonts w:hint="default"/>
        <w:lang w:val="es-ES" w:eastAsia="es-ES" w:bidi="es-ES"/>
      </w:rPr>
    </w:lvl>
    <w:lvl w:ilvl="4">
      <w:start w:val="0"/>
      <w:numFmt w:val="bullet"/>
      <w:lvlText w:val="•"/>
      <w:lvlJc w:val="left"/>
      <w:pPr>
        <w:ind w:left="3842" w:hanging="568"/>
      </w:pPr>
      <w:rPr>
        <w:rFonts w:hint="default"/>
        <w:lang w:val="es-ES" w:eastAsia="es-ES" w:bidi="es-ES"/>
      </w:rPr>
    </w:lvl>
    <w:lvl w:ilvl="5">
      <w:start w:val="0"/>
      <w:numFmt w:val="bullet"/>
      <w:lvlText w:val="•"/>
      <w:lvlJc w:val="left"/>
      <w:pPr>
        <w:ind w:left="4862" w:hanging="568"/>
      </w:pPr>
      <w:rPr>
        <w:rFonts w:hint="default"/>
        <w:lang w:val="es-ES" w:eastAsia="es-ES" w:bidi="es-ES"/>
      </w:rPr>
    </w:lvl>
    <w:lvl w:ilvl="6">
      <w:start w:val="0"/>
      <w:numFmt w:val="bullet"/>
      <w:lvlText w:val="•"/>
      <w:lvlJc w:val="left"/>
      <w:pPr>
        <w:ind w:left="5883" w:hanging="568"/>
      </w:pPr>
      <w:rPr>
        <w:rFonts w:hint="default"/>
        <w:lang w:val="es-ES" w:eastAsia="es-ES" w:bidi="es-ES"/>
      </w:rPr>
    </w:lvl>
    <w:lvl w:ilvl="7">
      <w:start w:val="0"/>
      <w:numFmt w:val="bullet"/>
      <w:lvlText w:val="•"/>
      <w:lvlJc w:val="left"/>
      <w:pPr>
        <w:ind w:left="6904" w:hanging="568"/>
      </w:pPr>
      <w:rPr>
        <w:rFonts w:hint="default"/>
        <w:lang w:val="es-ES" w:eastAsia="es-ES" w:bidi="es-ES"/>
      </w:rPr>
    </w:lvl>
    <w:lvl w:ilvl="8">
      <w:start w:val="0"/>
      <w:numFmt w:val="bullet"/>
      <w:lvlText w:val="•"/>
      <w:lvlJc w:val="left"/>
      <w:pPr>
        <w:ind w:left="7924" w:hanging="568"/>
      </w:pPr>
      <w:rPr>
        <w:rFonts w:hint="default"/>
        <w:lang w:val="es-ES" w:eastAsia="es-ES" w:bidi="es-ES"/>
      </w:rPr>
    </w:lvl>
  </w:abstractNum>
  <w:abstractNum w:abstractNumId="9">
    <w:multiLevelType w:val="hybridMultilevel"/>
    <w:lvl w:ilvl="0">
      <w:start w:val="1"/>
      <w:numFmt w:val="decimal"/>
      <w:lvlText w:val="%1"/>
      <w:lvlJc w:val="left"/>
      <w:pPr>
        <w:ind w:left="862" w:hanging="360"/>
        <w:jc w:val="left"/>
      </w:pPr>
      <w:rPr>
        <w:rFonts w:hint="default" w:ascii="Arial" w:hAnsi="Arial" w:eastAsia="Arial" w:cs="Arial"/>
        <w:b/>
        <w:bCs/>
        <w:w w:val="100"/>
        <w:sz w:val="20"/>
        <w:szCs w:val="20"/>
        <w:lang w:val="es-ES" w:eastAsia="es-ES" w:bidi="es-ES"/>
      </w:rPr>
    </w:lvl>
    <w:lvl w:ilvl="1">
      <w:start w:val="1"/>
      <w:numFmt w:val="decimal"/>
      <w:lvlText w:val="%1.%2"/>
      <w:lvlJc w:val="left"/>
      <w:pPr>
        <w:ind w:left="1222" w:hanging="360"/>
        <w:jc w:val="left"/>
      </w:pPr>
      <w:rPr>
        <w:rFonts w:hint="default" w:ascii="Arial" w:hAnsi="Arial" w:eastAsia="Arial" w:cs="Arial"/>
        <w:w w:val="100"/>
        <w:sz w:val="20"/>
        <w:szCs w:val="20"/>
        <w:lang w:val="es-ES" w:eastAsia="es-ES" w:bidi="es-ES"/>
      </w:rPr>
    </w:lvl>
    <w:lvl w:ilvl="2">
      <w:start w:val="0"/>
      <w:numFmt w:val="bullet"/>
      <w:lvlText w:val="•"/>
      <w:lvlJc w:val="left"/>
      <w:pPr>
        <w:ind w:left="1220" w:hanging="360"/>
      </w:pPr>
      <w:rPr>
        <w:rFonts w:hint="default"/>
        <w:lang w:val="es-ES" w:eastAsia="es-ES" w:bidi="es-ES"/>
      </w:rPr>
    </w:lvl>
    <w:lvl w:ilvl="3">
      <w:start w:val="0"/>
      <w:numFmt w:val="bullet"/>
      <w:lvlText w:val="•"/>
      <w:lvlJc w:val="left"/>
      <w:pPr>
        <w:ind w:left="2313" w:hanging="360"/>
      </w:pPr>
      <w:rPr>
        <w:rFonts w:hint="default"/>
        <w:lang w:val="es-ES" w:eastAsia="es-ES" w:bidi="es-ES"/>
      </w:rPr>
    </w:lvl>
    <w:lvl w:ilvl="4">
      <w:start w:val="0"/>
      <w:numFmt w:val="bullet"/>
      <w:lvlText w:val="•"/>
      <w:lvlJc w:val="left"/>
      <w:pPr>
        <w:ind w:left="3406" w:hanging="360"/>
      </w:pPr>
      <w:rPr>
        <w:rFonts w:hint="default"/>
        <w:lang w:val="es-ES" w:eastAsia="es-ES" w:bidi="es-ES"/>
      </w:rPr>
    </w:lvl>
    <w:lvl w:ilvl="5">
      <w:start w:val="0"/>
      <w:numFmt w:val="bullet"/>
      <w:lvlText w:val="•"/>
      <w:lvlJc w:val="left"/>
      <w:pPr>
        <w:ind w:left="4499" w:hanging="360"/>
      </w:pPr>
      <w:rPr>
        <w:rFonts w:hint="default"/>
        <w:lang w:val="es-ES" w:eastAsia="es-ES" w:bidi="es-ES"/>
      </w:rPr>
    </w:lvl>
    <w:lvl w:ilvl="6">
      <w:start w:val="0"/>
      <w:numFmt w:val="bullet"/>
      <w:lvlText w:val="•"/>
      <w:lvlJc w:val="left"/>
      <w:pPr>
        <w:ind w:left="5593" w:hanging="360"/>
      </w:pPr>
      <w:rPr>
        <w:rFonts w:hint="default"/>
        <w:lang w:val="es-ES" w:eastAsia="es-ES" w:bidi="es-ES"/>
      </w:rPr>
    </w:lvl>
    <w:lvl w:ilvl="7">
      <w:start w:val="0"/>
      <w:numFmt w:val="bullet"/>
      <w:lvlText w:val="•"/>
      <w:lvlJc w:val="left"/>
      <w:pPr>
        <w:ind w:left="6686" w:hanging="360"/>
      </w:pPr>
      <w:rPr>
        <w:rFonts w:hint="default"/>
        <w:lang w:val="es-ES" w:eastAsia="es-ES" w:bidi="es-ES"/>
      </w:rPr>
    </w:lvl>
    <w:lvl w:ilvl="8">
      <w:start w:val="0"/>
      <w:numFmt w:val="bullet"/>
      <w:lvlText w:val="•"/>
      <w:lvlJc w:val="left"/>
      <w:pPr>
        <w:ind w:left="7779" w:hanging="360"/>
      </w:pPr>
      <w:rPr>
        <w:rFonts w:hint="default"/>
        <w:lang w:val="es-ES" w:eastAsia="es-ES" w:bidi="es-ES"/>
      </w:rPr>
    </w:lvl>
  </w:abstractNum>
  <w:abstractNum w:abstractNumId="8">
    <w:multiLevelType w:val="hybridMultilevel"/>
    <w:lvl w:ilvl="0">
      <w:start w:val="1"/>
      <w:numFmt w:val="decimal"/>
      <w:lvlText w:val="%1"/>
      <w:lvlJc w:val="left"/>
      <w:pPr>
        <w:ind w:left="862" w:hanging="360"/>
        <w:jc w:val="left"/>
      </w:pPr>
      <w:rPr>
        <w:rFonts w:hint="default" w:ascii="Arial" w:hAnsi="Arial" w:eastAsia="Arial" w:cs="Arial"/>
        <w:b/>
        <w:bCs/>
        <w:w w:val="100"/>
        <w:sz w:val="20"/>
        <w:szCs w:val="20"/>
        <w:lang w:val="es-ES" w:eastAsia="es-ES" w:bidi="es-ES"/>
      </w:rPr>
    </w:lvl>
    <w:lvl w:ilvl="1">
      <w:start w:val="1"/>
      <w:numFmt w:val="decimal"/>
      <w:lvlText w:val="%1.%2"/>
      <w:lvlJc w:val="left"/>
      <w:pPr>
        <w:ind w:left="1222" w:hanging="360"/>
        <w:jc w:val="left"/>
      </w:pPr>
      <w:rPr>
        <w:rFonts w:hint="default" w:ascii="Arial" w:hAnsi="Arial" w:eastAsia="Arial" w:cs="Arial"/>
        <w:w w:val="100"/>
        <w:sz w:val="20"/>
        <w:szCs w:val="20"/>
        <w:lang w:val="es-ES" w:eastAsia="es-ES" w:bidi="es-ES"/>
      </w:rPr>
    </w:lvl>
    <w:lvl w:ilvl="2">
      <w:start w:val="0"/>
      <w:numFmt w:val="bullet"/>
      <w:lvlText w:val="•"/>
      <w:lvlJc w:val="left"/>
      <w:pPr>
        <w:ind w:left="2191" w:hanging="360"/>
      </w:pPr>
      <w:rPr>
        <w:rFonts w:hint="default"/>
        <w:lang w:val="es-ES" w:eastAsia="es-ES" w:bidi="es-ES"/>
      </w:rPr>
    </w:lvl>
    <w:lvl w:ilvl="3">
      <w:start w:val="0"/>
      <w:numFmt w:val="bullet"/>
      <w:lvlText w:val="•"/>
      <w:lvlJc w:val="left"/>
      <w:pPr>
        <w:ind w:left="3163" w:hanging="360"/>
      </w:pPr>
      <w:rPr>
        <w:rFonts w:hint="default"/>
        <w:lang w:val="es-ES" w:eastAsia="es-ES" w:bidi="es-ES"/>
      </w:rPr>
    </w:lvl>
    <w:lvl w:ilvl="4">
      <w:start w:val="0"/>
      <w:numFmt w:val="bullet"/>
      <w:lvlText w:val="•"/>
      <w:lvlJc w:val="left"/>
      <w:pPr>
        <w:ind w:left="4135" w:hanging="360"/>
      </w:pPr>
      <w:rPr>
        <w:rFonts w:hint="default"/>
        <w:lang w:val="es-ES" w:eastAsia="es-ES" w:bidi="es-ES"/>
      </w:rPr>
    </w:lvl>
    <w:lvl w:ilvl="5">
      <w:start w:val="0"/>
      <w:numFmt w:val="bullet"/>
      <w:lvlText w:val="•"/>
      <w:lvlJc w:val="left"/>
      <w:pPr>
        <w:ind w:left="5107" w:hanging="360"/>
      </w:pPr>
      <w:rPr>
        <w:rFonts w:hint="default"/>
        <w:lang w:val="es-ES" w:eastAsia="es-ES" w:bidi="es-ES"/>
      </w:rPr>
    </w:lvl>
    <w:lvl w:ilvl="6">
      <w:start w:val="0"/>
      <w:numFmt w:val="bullet"/>
      <w:lvlText w:val="•"/>
      <w:lvlJc w:val="left"/>
      <w:pPr>
        <w:ind w:left="6079" w:hanging="360"/>
      </w:pPr>
      <w:rPr>
        <w:rFonts w:hint="default"/>
        <w:lang w:val="es-ES" w:eastAsia="es-ES" w:bidi="es-ES"/>
      </w:rPr>
    </w:lvl>
    <w:lvl w:ilvl="7">
      <w:start w:val="0"/>
      <w:numFmt w:val="bullet"/>
      <w:lvlText w:val="•"/>
      <w:lvlJc w:val="left"/>
      <w:pPr>
        <w:ind w:left="7050" w:hanging="360"/>
      </w:pPr>
      <w:rPr>
        <w:rFonts w:hint="default"/>
        <w:lang w:val="es-ES" w:eastAsia="es-ES" w:bidi="es-ES"/>
      </w:rPr>
    </w:lvl>
    <w:lvl w:ilvl="8">
      <w:start w:val="0"/>
      <w:numFmt w:val="bullet"/>
      <w:lvlText w:val="•"/>
      <w:lvlJc w:val="left"/>
      <w:pPr>
        <w:ind w:left="8022" w:hanging="360"/>
      </w:pPr>
      <w:rPr>
        <w:rFonts w:hint="default"/>
        <w:lang w:val="es-ES" w:eastAsia="es-ES" w:bidi="es-ES"/>
      </w:rPr>
    </w:lvl>
  </w:abstractNum>
  <w:abstractNum w:abstractNumId="7">
    <w:multiLevelType w:val="hybridMultilevel"/>
    <w:lvl w:ilvl="0">
      <w:start w:val="1"/>
      <w:numFmt w:val="decimal"/>
      <w:lvlText w:val="%1"/>
      <w:lvlJc w:val="left"/>
      <w:pPr>
        <w:ind w:left="862" w:hanging="360"/>
        <w:jc w:val="left"/>
      </w:pPr>
      <w:rPr>
        <w:rFonts w:hint="default" w:ascii="Arial" w:hAnsi="Arial" w:eastAsia="Arial" w:cs="Arial"/>
        <w:b/>
        <w:bCs/>
        <w:w w:val="100"/>
        <w:sz w:val="20"/>
        <w:szCs w:val="20"/>
        <w:lang w:val="es-ES" w:eastAsia="es-ES" w:bidi="es-ES"/>
      </w:rPr>
    </w:lvl>
    <w:lvl w:ilvl="1">
      <w:start w:val="1"/>
      <w:numFmt w:val="decimal"/>
      <w:lvlText w:val="%1.%2"/>
      <w:lvlJc w:val="left"/>
      <w:pPr>
        <w:ind w:left="1222" w:hanging="360"/>
        <w:jc w:val="left"/>
      </w:pPr>
      <w:rPr>
        <w:rFonts w:hint="default" w:ascii="Arial" w:hAnsi="Arial" w:eastAsia="Arial" w:cs="Arial"/>
        <w:w w:val="100"/>
        <w:sz w:val="20"/>
        <w:szCs w:val="20"/>
        <w:lang w:val="es-ES" w:eastAsia="es-ES" w:bidi="es-ES"/>
      </w:rPr>
    </w:lvl>
    <w:lvl w:ilvl="2">
      <w:start w:val="0"/>
      <w:numFmt w:val="bullet"/>
      <w:lvlText w:val="•"/>
      <w:lvlJc w:val="left"/>
      <w:pPr>
        <w:ind w:left="2191" w:hanging="360"/>
      </w:pPr>
      <w:rPr>
        <w:rFonts w:hint="default"/>
        <w:lang w:val="es-ES" w:eastAsia="es-ES" w:bidi="es-ES"/>
      </w:rPr>
    </w:lvl>
    <w:lvl w:ilvl="3">
      <w:start w:val="0"/>
      <w:numFmt w:val="bullet"/>
      <w:lvlText w:val="•"/>
      <w:lvlJc w:val="left"/>
      <w:pPr>
        <w:ind w:left="3163" w:hanging="360"/>
      </w:pPr>
      <w:rPr>
        <w:rFonts w:hint="default"/>
        <w:lang w:val="es-ES" w:eastAsia="es-ES" w:bidi="es-ES"/>
      </w:rPr>
    </w:lvl>
    <w:lvl w:ilvl="4">
      <w:start w:val="0"/>
      <w:numFmt w:val="bullet"/>
      <w:lvlText w:val="•"/>
      <w:lvlJc w:val="left"/>
      <w:pPr>
        <w:ind w:left="4135" w:hanging="360"/>
      </w:pPr>
      <w:rPr>
        <w:rFonts w:hint="default"/>
        <w:lang w:val="es-ES" w:eastAsia="es-ES" w:bidi="es-ES"/>
      </w:rPr>
    </w:lvl>
    <w:lvl w:ilvl="5">
      <w:start w:val="0"/>
      <w:numFmt w:val="bullet"/>
      <w:lvlText w:val="•"/>
      <w:lvlJc w:val="left"/>
      <w:pPr>
        <w:ind w:left="5107" w:hanging="360"/>
      </w:pPr>
      <w:rPr>
        <w:rFonts w:hint="default"/>
        <w:lang w:val="es-ES" w:eastAsia="es-ES" w:bidi="es-ES"/>
      </w:rPr>
    </w:lvl>
    <w:lvl w:ilvl="6">
      <w:start w:val="0"/>
      <w:numFmt w:val="bullet"/>
      <w:lvlText w:val="•"/>
      <w:lvlJc w:val="left"/>
      <w:pPr>
        <w:ind w:left="6079" w:hanging="360"/>
      </w:pPr>
      <w:rPr>
        <w:rFonts w:hint="default"/>
        <w:lang w:val="es-ES" w:eastAsia="es-ES" w:bidi="es-ES"/>
      </w:rPr>
    </w:lvl>
    <w:lvl w:ilvl="7">
      <w:start w:val="0"/>
      <w:numFmt w:val="bullet"/>
      <w:lvlText w:val="•"/>
      <w:lvlJc w:val="left"/>
      <w:pPr>
        <w:ind w:left="7050" w:hanging="360"/>
      </w:pPr>
      <w:rPr>
        <w:rFonts w:hint="default"/>
        <w:lang w:val="es-ES" w:eastAsia="es-ES" w:bidi="es-ES"/>
      </w:rPr>
    </w:lvl>
    <w:lvl w:ilvl="8">
      <w:start w:val="0"/>
      <w:numFmt w:val="bullet"/>
      <w:lvlText w:val="•"/>
      <w:lvlJc w:val="left"/>
      <w:pPr>
        <w:ind w:left="8022" w:hanging="360"/>
      </w:pPr>
      <w:rPr>
        <w:rFonts w:hint="default"/>
        <w:lang w:val="es-ES" w:eastAsia="es-ES" w:bidi="es-ES"/>
      </w:rPr>
    </w:lvl>
  </w:abstractNum>
  <w:abstractNum w:abstractNumId="6">
    <w:multiLevelType w:val="hybridMultilevel"/>
    <w:lvl w:ilvl="0">
      <w:start w:val="1"/>
      <w:numFmt w:val="decimal"/>
      <w:lvlText w:val="%1"/>
      <w:lvlJc w:val="left"/>
      <w:pPr>
        <w:ind w:left="862" w:hanging="360"/>
        <w:jc w:val="left"/>
      </w:pPr>
      <w:rPr>
        <w:rFonts w:hint="default" w:ascii="Arial" w:hAnsi="Arial" w:eastAsia="Arial" w:cs="Arial"/>
        <w:b/>
        <w:bCs/>
        <w:w w:val="100"/>
        <w:sz w:val="20"/>
        <w:szCs w:val="20"/>
        <w:lang w:val="es-ES" w:eastAsia="es-ES" w:bidi="es-ES"/>
      </w:rPr>
    </w:lvl>
    <w:lvl w:ilvl="1">
      <w:start w:val="1"/>
      <w:numFmt w:val="decimal"/>
      <w:lvlText w:val="%1.%2"/>
      <w:lvlJc w:val="left"/>
      <w:pPr>
        <w:ind w:left="1222" w:hanging="360"/>
        <w:jc w:val="left"/>
      </w:pPr>
      <w:rPr>
        <w:rFonts w:hint="default" w:ascii="Arial" w:hAnsi="Arial" w:eastAsia="Arial" w:cs="Arial"/>
        <w:w w:val="100"/>
        <w:sz w:val="20"/>
        <w:szCs w:val="20"/>
        <w:lang w:val="es-ES" w:eastAsia="es-ES" w:bidi="es-ES"/>
      </w:rPr>
    </w:lvl>
    <w:lvl w:ilvl="2">
      <w:start w:val="0"/>
      <w:numFmt w:val="bullet"/>
      <w:lvlText w:val="•"/>
      <w:lvlJc w:val="left"/>
      <w:pPr>
        <w:ind w:left="2191" w:hanging="360"/>
      </w:pPr>
      <w:rPr>
        <w:rFonts w:hint="default"/>
        <w:lang w:val="es-ES" w:eastAsia="es-ES" w:bidi="es-ES"/>
      </w:rPr>
    </w:lvl>
    <w:lvl w:ilvl="3">
      <w:start w:val="0"/>
      <w:numFmt w:val="bullet"/>
      <w:lvlText w:val="•"/>
      <w:lvlJc w:val="left"/>
      <w:pPr>
        <w:ind w:left="3163" w:hanging="360"/>
      </w:pPr>
      <w:rPr>
        <w:rFonts w:hint="default"/>
        <w:lang w:val="es-ES" w:eastAsia="es-ES" w:bidi="es-ES"/>
      </w:rPr>
    </w:lvl>
    <w:lvl w:ilvl="4">
      <w:start w:val="0"/>
      <w:numFmt w:val="bullet"/>
      <w:lvlText w:val="•"/>
      <w:lvlJc w:val="left"/>
      <w:pPr>
        <w:ind w:left="4135" w:hanging="360"/>
      </w:pPr>
      <w:rPr>
        <w:rFonts w:hint="default"/>
        <w:lang w:val="es-ES" w:eastAsia="es-ES" w:bidi="es-ES"/>
      </w:rPr>
    </w:lvl>
    <w:lvl w:ilvl="5">
      <w:start w:val="0"/>
      <w:numFmt w:val="bullet"/>
      <w:lvlText w:val="•"/>
      <w:lvlJc w:val="left"/>
      <w:pPr>
        <w:ind w:left="5107" w:hanging="360"/>
      </w:pPr>
      <w:rPr>
        <w:rFonts w:hint="default"/>
        <w:lang w:val="es-ES" w:eastAsia="es-ES" w:bidi="es-ES"/>
      </w:rPr>
    </w:lvl>
    <w:lvl w:ilvl="6">
      <w:start w:val="0"/>
      <w:numFmt w:val="bullet"/>
      <w:lvlText w:val="•"/>
      <w:lvlJc w:val="left"/>
      <w:pPr>
        <w:ind w:left="6079" w:hanging="360"/>
      </w:pPr>
      <w:rPr>
        <w:rFonts w:hint="default"/>
        <w:lang w:val="es-ES" w:eastAsia="es-ES" w:bidi="es-ES"/>
      </w:rPr>
    </w:lvl>
    <w:lvl w:ilvl="7">
      <w:start w:val="0"/>
      <w:numFmt w:val="bullet"/>
      <w:lvlText w:val="•"/>
      <w:lvlJc w:val="left"/>
      <w:pPr>
        <w:ind w:left="7050" w:hanging="360"/>
      </w:pPr>
      <w:rPr>
        <w:rFonts w:hint="default"/>
        <w:lang w:val="es-ES" w:eastAsia="es-ES" w:bidi="es-ES"/>
      </w:rPr>
    </w:lvl>
    <w:lvl w:ilvl="8">
      <w:start w:val="0"/>
      <w:numFmt w:val="bullet"/>
      <w:lvlText w:val="•"/>
      <w:lvlJc w:val="left"/>
      <w:pPr>
        <w:ind w:left="8022" w:hanging="360"/>
      </w:pPr>
      <w:rPr>
        <w:rFonts w:hint="default"/>
        <w:lang w:val="es-ES" w:eastAsia="es-ES" w:bidi="es-ES"/>
      </w:rPr>
    </w:lvl>
  </w:abstractNum>
  <w:abstractNum w:abstractNumId="5">
    <w:multiLevelType w:val="hybridMultilevel"/>
    <w:lvl w:ilvl="0">
      <w:start w:val="1"/>
      <w:numFmt w:val="decimal"/>
      <w:lvlText w:val="%1"/>
      <w:lvlJc w:val="left"/>
      <w:pPr>
        <w:ind w:left="862" w:hanging="360"/>
        <w:jc w:val="left"/>
      </w:pPr>
      <w:rPr>
        <w:rFonts w:hint="default" w:ascii="Arial" w:hAnsi="Arial" w:eastAsia="Arial" w:cs="Arial"/>
        <w:b/>
        <w:bCs/>
        <w:w w:val="100"/>
        <w:sz w:val="20"/>
        <w:szCs w:val="20"/>
        <w:lang w:val="es-ES" w:eastAsia="es-ES" w:bidi="es-ES"/>
      </w:rPr>
    </w:lvl>
    <w:lvl w:ilvl="1">
      <w:start w:val="1"/>
      <w:numFmt w:val="decimal"/>
      <w:lvlText w:val="%1.%2"/>
      <w:lvlJc w:val="left"/>
      <w:pPr>
        <w:ind w:left="1210" w:hanging="348"/>
        <w:jc w:val="left"/>
      </w:pPr>
      <w:rPr>
        <w:rFonts w:hint="default" w:ascii="Arial" w:hAnsi="Arial" w:eastAsia="Arial" w:cs="Arial"/>
        <w:w w:val="100"/>
        <w:sz w:val="20"/>
        <w:szCs w:val="20"/>
        <w:lang w:val="es-ES" w:eastAsia="es-ES" w:bidi="es-ES"/>
      </w:rPr>
    </w:lvl>
    <w:lvl w:ilvl="2">
      <w:start w:val="0"/>
      <w:numFmt w:val="bullet"/>
      <w:lvlText w:val="•"/>
      <w:lvlJc w:val="left"/>
      <w:pPr>
        <w:ind w:left="2191" w:hanging="348"/>
      </w:pPr>
      <w:rPr>
        <w:rFonts w:hint="default"/>
        <w:lang w:val="es-ES" w:eastAsia="es-ES" w:bidi="es-ES"/>
      </w:rPr>
    </w:lvl>
    <w:lvl w:ilvl="3">
      <w:start w:val="0"/>
      <w:numFmt w:val="bullet"/>
      <w:lvlText w:val="•"/>
      <w:lvlJc w:val="left"/>
      <w:pPr>
        <w:ind w:left="3163" w:hanging="348"/>
      </w:pPr>
      <w:rPr>
        <w:rFonts w:hint="default"/>
        <w:lang w:val="es-ES" w:eastAsia="es-ES" w:bidi="es-ES"/>
      </w:rPr>
    </w:lvl>
    <w:lvl w:ilvl="4">
      <w:start w:val="0"/>
      <w:numFmt w:val="bullet"/>
      <w:lvlText w:val="•"/>
      <w:lvlJc w:val="left"/>
      <w:pPr>
        <w:ind w:left="4135" w:hanging="348"/>
      </w:pPr>
      <w:rPr>
        <w:rFonts w:hint="default"/>
        <w:lang w:val="es-ES" w:eastAsia="es-ES" w:bidi="es-ES"/>
      </w:rPr>
    </w:lvl>
    <w:lvl w:ilvl="5">
      <w:start w:val="0"/>
      <w:numFmt w:val="bullet"/>
      <w:lvlText w:val="•"/>
      <w:lvlJc w:val="left"/>
      <w:pPr>
        <w:ind w:left="5107" w:hanging="348"/>
      </w:pPr>
      <w:rPr>
        <w:rFonts w:hint="default"/>
        <w:lang w:val="es-ES" w:eastAsia="es-ES" w:bidi="es-ES"/>
      </w:rPr>
    </w:lvl>
    <w:lvl w:ilvl="6">
      <w:start w:val="0"/>
      <w:numFmt w:val="bullet"/>
      <w:lvlText w:val="•"/>
      <w:lvlJc w:val="left"/>
      <w:pPr>
        <w:ind w:left="6079" w:hanging="348"/>
      </w:pPr>
      <w:rPr>
        <w:rFonts w:hint="default"/>
        <w:lang w:val="es-ES" w:eastAsia="es-ES" w:bidi="es-ES"/>
      </w:rPr>
    </w:lvl>
    <w:lvl w:ilvl="7">
      <w:start w:val="0"/>
      <w:numFmt w:val="bullet"/>
      <w:lvlText w:val="•"/>
      <w:lvlJc w:val="left"/>
      <w:pPr>
        <w:ind w:left="7050" w:hanging="348"/>
      </w:pPr>
      <w:rPr>
        <w:rFonts w:hint="default"/>
        <w:lang w:val="es-ES" w:eastAsia="es-ES" w:bidi="es-ES"/>
      </w:rPr>
    </w:lvl>
    <w:lvl w:ilvl="8">
      <w:start w:val="0"/>
      <w:numFmt w:val="bullet"/>
      <w:lvlText w:val="•"/>
      <w:lvlJc w:val="left"/>
      <w:pPr>
        <w:ind w:left="8022" w:hanging="348"/>
      </w:pPr>
      <w:rPr>
        <w:rFonts w:hint="default"/>
        <w:lang w:val="es-ES" w:eastAsia="es-ES" w:bidi="es-ES"/>
      </w:rPr>
    </w:lvl>
  </w:abstractNum>
  <w:abstractNum w:abstractNumId="4">
    <w:multiLevelType w:val="hybridMultilevel"/>
    <w:lvl w:ilvl="0">
      <w:start w:val="1"/>
      <w:numFmt w:val="decimal"/>
      <w:lvlText w:val="%1"/>
      <w:lvlJc w:val="left"/>
      <w:pPr>
        <w:ind w:left="955" w:hanging="454"/>
        <w:jc w:val="left"/>
      </w:pPr>
      <w:rPr>
        <w:rFonts w:hint="default" w:ascii="Arial" w:hAnsi="Arial" w:eastAsia="Arial" w:cs="Arial"/>
        <w:w w:val="100"/>
        <w:sz w:val="20"/>
        <w:szCs w:val="20"/>
        <w:lang w:val="es-ES" w:eastAsia="es-ES" w:bidi="es-ES"/>
      </w:rPr>
    </w:lvl>
    <w:lvl w:ilvl="1">
      <w:start w:val="0"/>
      <w:numFmt w:val="bullet"/>
      <w:lvlText w:val="•"/>
      <w:lvlJc w:val="left"/>
      <w:pPr>
        <w:ind w:left="1860" w:hanging="454"/>
      </w:pPr>
      <w:rPr>
        <w:rFonts w:hint="default"/>
        <w:lang w:val="es-ES" w:eastAsia="es-ES" w:bidi="es-ES"/>
      </w:rPr>
    </w:lvl>
    <w:lvl w:ilvl="2">
      <w:start w:val="0"/>
      <w:numFmt w:val="bullet"/>
      <w:lvlText w:val="•"/>
      <w:lvlJc w:val="left"/>
      <w:pPr>
        <w:ind w:left="2761" w:hanging="454"/>
      </w:pPr>
      <w:rPr>
        <w:rFonts w:hint="default"/>
        <w:lang w:val="es-ES" w:eastAsia="es-ES" w:bidi="es-ES"/>
      </w:rPr>
    </w:lvl>
    <w:lvl w:ilvl="3">
      <w:start w:val="0"/>
      <w:numFmt w:val="bullet"/>
      <w:lvlText w:val="•"/>
      <w:lvlJc w:val="left"/>
      <w:pPr>
        <w:ind w:left="3661" w:hanging="454"/>
      </w:pPr>
      <w:rPr>
        <w:rFonts w:hint="default"/>
        <w:lang w:val="es-ES" w:eastAsia="es-ES" w:bidi="es-ES"/>
      </w:rPr>
    </w:lvl>
    <w:lvl w:ilvl="4">
      <w:start w:val="0"/>
      <w:numFmt w:val="bullet"/>
      <w:lvlText w:val="•"/>
      <w:lvlJc w:val="left"/>
      <w:pPr>
        <w:ind w:left="4562" w:hanging="454"/>
      </w:pPr>
      <w:rPr>
        <w:rFonts w:hint="default"/>
        <w:lang w:val="es-ES" w:eastAsia="es-ES" w:bidi="es-ES"/>
      </w:rPr>
    </w:lvl>
    <w:lvl w:ilvl="5">
      <w:start w:val="0"/>
      <w:numFmt w:val="bullet"/>
      <w:lvlText w:val="•"/>
      <w:lvlJc w:val="left"/>
      <w:pPr>
        <w:ind w:left="5463" w:hanging="454"/>
      </w:pPr>
      <w:rPr>
        <w:rFonts w:hint="default"/>
        <w:lang w:val="es-ES" w:eastAsia="es-ES" w:bidi="es-ES"/>
      </w:rPr>
    </w:lvl>
    <w:lvl w:ilvl="6">
      <w:start w:val="0"/>
      <w:numFmt w:val="bullet"/>
      <w:lvlText w:val="•"/>
      <w:lvlJc w:val="left"/>
      <w:pPr>
        <w:ind w:left="6363" w:hanging="454"/>
      </w:pPr>
      <w:rPr>
        <w:rFonts w:hint="default"/>
        <w:lang w:val="es-ES" w:eastAsia="es-ES" w:bidi="es-ES"/>
      </w:rPr>
    </w:lvl>
    <w:lvl w:ilvl="7">
      <w:start w:val="0"/>
      <w:numFmt w:val="bullet"/>
      <w:lvlText w:val="•"/>
      <w:lvlJc w:val="left"/>
      <w:pPr>
        <w:ind w:left="7264" w:hanging="454"/>
      </w:pPr>
      <w:rPr>
        <w:rFonts w:hint="default"/>
        <w:lang w:val="es-ES" w:eastAsia="es-ES" w:bidi="es-ES"/>
      </w:rPr>
    </w:lvl>
    <w:lvl w:ilvl="8">
      <w:start w:val="0"/>
      <w:numFmt w:val="bullet"/>
      <w:lvlText w:val="•"/>
      <w:lvlJc w:val="left"/>
      <w:pPr>
        <w:ind w:left="8165" w:hanging="454"/>
      </w:pPr>
      <w:rPr>
        <w:rFonts w:hint="default"/>
        <w:lang w:val="es-ES" w:eastAsia="es-ES" w:bidi="es-ES"/>
      </w:rPr>
    </w:lvl>
  </w:abstractNum>
  <w:abstractNum w:abstractNumId="3">
    <w:multiLevelType w:val="hybridMultilevel"/>
    <w:lvl w:ilvl="0">
      <w:start w:val="13"/>
      <w:numFmt w:val="decimal"/>
      <w:lvlText w:val="%1"/>
      <w:lvlJc w:val="left"/>
      <w:pPr>
        <w:ind w:left="1210" w:hanging="708"/>
        <w:jc w:val="left"/>
      </w:pPr>
      <w:rPr>
        <w:rFonts w:hint="default"/>
        <w:lang w:val="es-ES" w:eastAsia="es-ES" w:bidi="es-ES"/>
      </w:rPr>
    </w:lvl>
    <w:lvl w:ilvl="1">
      <w:start w:val="1"/>
      <w:numFmt w:val="decimal"/>
      <w:lvlText w:val="%1.%2"/>
      <w:lvlJc w:val="left"/>
      <w:pPr>
        <w:ind w:left="1210" w:hanging="708"/>
        <w:jc w:val="left"/>
      </w:pPr>
      <w:rPr>
        <w:rFonts w:hint="default" w:ascii="Arial" w:hAnsi="Arial" w:eastAsia="Arial" w:cs="Arial"/>
        <w:b/>
        <w:bCs/>
        <w:w w:val="100"/>
        <w:sz w:val="20"/>
        <w:szCs w:val="20"/>
        <w:lang w:val="es-ES" w:eastAsia="es-ES" w:bidi="es-ES"/>
      </w:rPr>
    </w:lvl>
    <w:lvl w:ilvl="2">
      <w:start w:val="0"/>
      <w:numFmt w:val="bullet"/>
      <w:lvlText w:val="•"/>
      <w:lvlJc w:val="left"/>
      <w:pPr>
        <w:ind w:left="2969" w:hanging="708"/>
      </w:pPr>
      <w:rPr>
        <w:rFonts w:hint="default"/>
        <w:lang w:val="es-ES" w:eastAsia="es-ES" w:bidi="es-ES"/>
      </w:rPr>
    </w:lvl>
    <w:lvl w:ilvl="3">
      <w:start w:val="0"/>
      <w:numFmt w:val="bullet"/>
      <w:lvlText w:val="•"/>
      <w:lvlJc w:val="left"/>
      <w:pPr>
        <w:ind w:left="3843" w:hanging="708"/>
      </w:pPr>
      <w:rPr>
        <w:rFonts w:hint="default"/>
        <w:lang w:val="es-ES" w:eastAsia="es-ES" w:bidi="es-ES"/>
      </w:rPr>
    </w:lvl>
    <w:lvl w:ilvl="4">
      <w:start w:val="0"/>
      <w:numFmt w:val="bullet"/>
      <w:lvlText w:val="•"/>
      <w:lvlJc w:val="left"/>
      <w:pPr>
        <w:ind w:left="4718" w:hanging="708"/>
      </w:pPr>
      <w:rPr>
        <w:rFonts w:hint="default"/>
        <w:lang w:val="es-ES" w:eastAsia="es-ES" w:bidi="es-ES"/>
      </w:rPr>
    </w:lvl>
    <w:lvl w:ilvl="5">
      <w:start w:val="0"/>
      <w:numFmt w:val="bullet"/>
      <w:lvlText w:val="•"/>
      <w:lvlJc w:val="left"/>
      <w:pPr>
        <w:ind w:left="5593" w:hanging="708"/>
      </w:pPr>
      <w:rPr>
        <w:rFonts w:hint="default"/>
        <w:lang w:val="es-ES" w:eastAsia="es-ES" w:bidi="es-ES"/>
      </w:rPr>
    </w:lvl>
    <w:lvl w:ilvl="6">
      <w:start w:val="0"/>
      <w:numFmt w:val="bullet"/>
      <w:lvlText w:val="•"/>
      <w:lvlJc w:val="left"/>
      <w:pPr>
        <w:ind w:left="6467" w:hanging="708"/>
      </w:pPr>
      <w:rPr>
        <w:rFonts w:hint="default"/>
        <w:lang w:val="es-ES" w:eastAsia="es-ES" w:bidi="es-ES"/>
      </w:rPr>
    </w:lvl>
    <w:lvl w:ilvl="7">
      <w:start w:val="0"/>
      <w:numFmt w:val="bullet"/>
      <w:lvlText w:val="•"/>
      <w:lvlJc w:val="left"/>
      <w:pPr>
        <w:ind w:left="7342" w:hanging="708"/>
      </w:pPr>
      <w:rPr>
        <w:rFonts w:hint="default"/>
        <w:lang w:val="es-ES" w:eastAsia="es-ES" w:bidi="es-ES"/>
      </w:rPr>
    </w:lvl>
    <w:lvl w:ilvl="8">
      <w:start w:val="0"/>
      <w:numFmt w:val="bullet"/>
      <w:lvlText w:val="•"/>
      <w:lvlJc w:val="left"/>
      <w:pPr>
        <w:ind w:left="8217" w:hanging="708"/>
      </w:pPr>
      <w:rPr>
        <w:rFonts w:hint="default"/>
        <w:lang w:val="es-ES" w:eastAsia="es-ES" w:bidi="es-ES"/>
      </w:rPr>
    </w:lvl>
  </w:abstractNum>
  <w:abstractNum w:abstractNumId="2">
    <w:multiLevelType w:val="hybridMultilevel"/>
    <w:lvl w:ilvl="0">
      <w:start w:val="1"/>
      <w:numFmt w:val="decimal"/>
      <w:lvlText w:val="%1."/>
      <w:lvlJc w:val="left"/>
      <w:pPr>
        <w:ind w:left="862" w:hanging="360"/>
        <w:jc w:val="left"/>
      </w:pPr>
      <w:rPr>
        <w:rFonts w:hint="default" w:ascii="Arial" w:hAnsi="Arial" w:eastAsia="Arial" w:cs="Arial"/>
        <w:w w:val="100"/>
        <w:sz w:val="20"/>
        <w:szCs w:val="20"/>
        <w:lang w:val="es-ES" w:eastAsia="es-ES" w:bidi="es-ES"/>
      </w:rPr>
    </w:lvl>
    <w:lvl w:ilvl="1">
      <w:start w:val="0"/>
      <w:numFmt w:val="bullet"/>
      <w:lvlText w:val="•"/>
      <w:lvlJc w:val="left"/>
      <w:pPr>
        <w:ind w:left="1120" w:hanging="360"/>
      </w:pPr>
      <w:rPr>
        <w:rFonts w:hint="default"/>
        <w:lang w:val="es-ES" w:eastAsia="es-ES" w:bidi="es-ES"/>
      </w:rPr>
    </w:lvl>
    <w:lvl w:ilvl="2">
      <w:start w:val="0"/>
      <w:numFmt w:val="bullet"/>
      <w:lvlText w:val="•"/>
      <w:lvlJc w:val="left"/>
      <w:pPr>
        <w:ind w:left="2102" w:hanging="360"/>
      </w:pPr>
      <w:rPr>
        <w:rFonts w:hint="default"/>
        <w:lang w:val="es-ES" w:eastAsia="es-ES" w:bidi="es-ES"/>
      </w:rPr>
    </w:lvl>
    <w:lvl w:ilvl="3">
      <w:start w:val="0"/>
      <w:numFmt w:val="bullet"/>
      <w:lvlText w:val="•"/>
      <w:lvlJc w:val="left"/>
      <w:pPr>
        <w:ind w:left="3085" w:hanging="360"/>
      </w:pPr>
      <w:rPr>
        <w:rFonts w:hint="default"/>
        <w:lang w:val="es-ES" w:eastAsia="es-ES" w:bidi="es-ES"/>
      </w:rPr>
    </w:lvl>
    <w:lvl w:ilvl="4">
      <w:start w:val="0"/>
      <w:numFmt w:val="bullet"/>
      <w:lvlText w:val="•"/>
      <w:lvlJc w:val="left"/>
      <w:pPr>
        <w:ind w:left="4068" w:hanging="360"/>
      </w:pPr>
      <w:rPr>
        <w:rFonts w:hint="default"/>
        <w:lang w:val="es-ES" w:eastAsia="es-ES" w:bidi="es-ES"/>
      </w:rPr>
    </w:lvl>
    <w:lvl w:ilvl="5">
      <w:start w:val="0"/>
      <w:numFmt w:val="bullet"/>
      <w:lvlText w:val="•"/>
      <w:lvlJc w:val="left"/>
      <w:pPr>
        <w:ind w:left="5051" w:hanging="360"/>
      </w:pPr>
      <w:rPr>
        <w:rFonts w:hint="default"/>
        <w:lang w:val="es-ES" w:eastAsia="es-ES" w:bidi="es-ES"/>
      </w:rPr>
    </w:lvl>
    <w:lvl w:ilvl="6">
      <w:start w:val="0"/>
      <w:numFmt w:val="bullet"/>
      <w:lvlText w:val="•"/>
      <w:lvlJc w:val="left"/>
      <w:pPr>
        <w:ind w:left="6034" w:hanging="360"/>
      </w:pPr>
      <w:rPr>
        <w:rFonts w:hint="default"/>
        <w:lang w:val="es-ES" w:eastAsia="es-ES" w:bidi="es-ES"/>
      </w:rPr>
    </w:lvl>
    <w:lvl w:ilvl="7">
      <w:start w:val="0"/>
      <w:numFmt w:val="bullet"/>
      <w:lvlText w:val="•"/>
      <w:lvlJc w:val="left"/>
      <w:pPr>
        <w:ind w:left="7017" w:hanging="360"/>
      </w:pPr>
      <w:rPr>
        <w:rFonts w:hint="default"/>
        <w:lang w:val="es-ES" w:eastAsia="es-ES" w:bidi="es-ES"/>
      </w:rPr>
    </w:lvl>
    <w:lvl w:ilvl="8">
      <w:start w:val="0"/>
      <w:numFmt w:val="bullet"/>
      <w:lvlText w:val="•"/>
      <w:lvlJc w:val="left"/>
      <w:pPr>
        <w:ind w:left="8000" w:hanging="360"/>
      </w:pPr>
      <w:rPr>
        <w:rFonts w:hint="default"/>
        <w:lang w:val="es-ES" w:eastAsia="es-ES" w:bidi="es-ES"/>
      </w:rPr>
    </w:lvl>
  </w:abstractNum>
  <w:abstractNum w:abstractNumId="1">
    <w:multiLevelType w:val="hybridMultilevel"/>
    <w:lvl w:ilvl="0">
      <w:start w:val="1"/>
      <w:numFmt w:val="upperRoman"/>
      <w:lvlText w:val="%1"/>
      <w:lvlJc w:val="left"/>
      <w:pPr>
        <w:ind w:left="1210" w:hanging="708"/>
        <w:jc w:val="left"/>
      </w:pPr>
      <w:rPr>
        <w:rFonts w:hint="default" w:ascii="Arial" w:hAnsi="Arial" w:eastAsia="Arial" w:cs="Arial"/>
        <w:b/>
        <w:bCs/>
        <w:w w:val="99"/>
        <w:sz w:val="28"/>
        <w:szCs w:val="28"/>
        <w:lang w:val="es-ES" w:eastAsia="es-ES" w:bidi="es-ES"/>
      </w:rPr>
    </w:lvl>
    <w:lvl w:ilvl="1">
      <w:start w:val="0"/>
      <w:numFmt w:val="bullet"/>
      <w:lvlText w:val="•"/>
      <w:lvlJc w:val="left"/>
      <w:pPr>
        <w:ind w:left="2094" w:hanging="708"/>
      </w:pPr>
      <w:rPr>
        <w:rFonts w:hint="default"/>
        <w:lang w:val="es-ES" w:eastAsia="es-ES" w:bidi="es-ES"/>
      </w:rPr>
    </w:lvl>
    <w:lvl w:ilvl="2">
      <w:start w:val="0"/>
      <w:numFmt w:val="bullet"/>
      <w:lvlText w:val="•"/>
      <w:lvlJc w:val="left"/>
      <w:pPr>
        <w:ind w:left="2969" w:hanging="708"/>
      </w:pPr>
      <w:rPr>
        <w:rFonts w:hint="default"/>
        <w:lang w:val="es-ES" w:eastAsia="es-ES" w:bidi="es-ES"/>
      </w:rPr>
    </w:lvl>
    <w:lvl w:ilvl="3">
      <w:start w:val="0"/>
      <w:numFmt w:val="bullet"/>
      <w:lvlText w:val="•"/>
      <w:lvlJc w:val="left"/>
      <w:pPr>
        <w:ind w:left="3843" w:hanging="708"/>
      </w:pPr>
      <w:rPr>
        <w:rFonts w:hint="default"/>
        <w:lang w:val="es-ES" w:eastAsia="es-ES" w:bidi="es-ES"/>
      </w:rPr>
    </w:lvl>
    <w:lvl w:ilvl="4">
      <w:start w:val="0"/>
      <w:numFmt w:val="bullet"/>
      <w:lvlText w:val="•"/>
      <w:lvlJc w:val="left"/>
      <w:pPr>
        <w:ind w:left="4718" w:hanging="708"/>
      </w:pPr>
      <w:rPr>
        <w:rFonts w:hint="default"/>
        <w:lang w:val="es-ES" w:eastAsia="es-ES" w:bidi="es-ES"/>
      </w:rPr>
    </w:lvl>
    <w:lvl w:ilvl="5">
      <w:start w:val="0"/>
      <w:numFmt w:val="bullet"/>
      <w:lvlText w:val="•"/>
      <w:lvlJc w:val="left"/>
      <w:pPr>
        <w:ind w:left="5593" w:hanging="708"/>
      </w:pPr>
      <w:rPr>
        <w:rFonts w:hint="default"/>
        <w:lang w:val="es-ES" w:eastAsia="es-ES" w:bidi="es-ES"/>
      </w:rPr>
    </w:lvl>
    <w:lvl w:ilvl="6">
      <w:start w:val="0"/>
      <w:numFmt w:val="bullet"/>
      <w:lvlText w:val="•"/>
      <w:lvlJc w:val="left"/>
      <w:pPr>
        <w:ind w:left="6467" w:hanging="708"/>
      </w:pPr>
      <w:rPr>
        <w:rFonts w:hint="default"/>
        <w:lang w:val="es-ES" w:eastAsia="es-ES" w:bidi="es-ES"/>
      </w:rPr>
    </w:lvl>
    <w:lvl w:ilvl="7">
      <w:start w:val="0"/>
      <w:numFmt w:val="bullet"/>
      <w:lvlText w:val="•"/>
      <w:lvlJc w:val="left"/>
      <w:pPr>
        <w:ind w:left="7342" w:hanging="708"/>
      </w:pPr>
      <w:rPr>
        <w:rFonts w:hint="default"/>
        <w:lang w:val="es-ES" w:eastAsia="es-ES" w:bidi="es-ES"/>
      </w:rPr>
    </w:lvl>
    <w:lvl w:ilvl="8">
      <w:start w:val="0"/>
      <w:numFmt w:val="bullet"/>
      <w:lvlText w:val="•"/>
      <w:lvlJc w:val="left"/>
      <w:pPr>
        <w:ind w:left="8217" w:hanging="708"/>
      </w:pPr>
      <w:rPr>
        <w:rFonts w:hint="default"/>
        <w:lang w:val="es-ES" w:eastAsia="es-ES" w:bidi="es-ES"/>
      </w:rPr>
    </w:lvl>
  </w:abstractNum>
  <w:abstractNum w:abstractNumId="0">
    <w:multiLevelType w:val="hybridMultilevel"/>
    <w:lvl w:ilvl="0">
      <w:start w:val="0"/>
      <w:numFmt w:val="bullet"/>
      <w:lvlText w:val="-"/>
      <w:lvlJc w:val="left"/>
      <w:pPr>
        <w:ind w:left="2203" w:hanging="284"/>
      </w:pPr>
      <w:rPr>
        <w:rFonts w:hint="default" w:ascii="Arial" w:hAnsi="Arial" w:eastAsia="Arial" w:cs="Arial"/>
        <w:w w:val="100"/>
        <w:sz w:val="20"/>
        <w:szCs w:val="20"/>
        <w:lang w:val="es-ES" w:eastAsia="es-ES" w:bidi="es-ES"/>
      </w:rPr>
    </w:lvl>
    <w:lvl w:ilvl="1">
      <w:start w:val="0"/>
      <w:numFmt w:val="bullet"/>
      <w:lvlText w:val="•"/>
      <w:lvlJc w:val="left"/>
      <w:pPr>
        <w:ind w:left="2976" w:hanging="284"/>
      </w:pPr>
      <w:rPr>
        <w:rFonts w:hint="default"/>
        <w:lang w:val="es-ES" w:eastAsia="es-ES" w:bidi="es-ES"/>
      </w:rPr>
    </w:lvl>
    <w:lvl w:ilvl="2">
      <w:start w:val="0"/>
      <w:numFmt w:val="bullet"/>
      <w:lvlText w:val="•"/>
      <w:lvlJc w:val="left"/>
      <w:pPr>
        <w:ind w:left="3753" w:hanging="284"/>
      </w:pPr>
      <w:rPr>
        <w:rFonts w:hint="default"/>
        <w:lang w:val="es-ES" w:eastAsia="es-ES" w:bidi="es-ES"/>
      </w:rPr>
    </w:lvl>
    <w:lvl w:ilvl="3">
      <w:start w:val="0"/>
      <w:numFmt w:val="bullet"/>
      <w:lvlText w:val="•"/>
      <w:lvlJc w:val="left"/>
      <w:pPr>
        <w:ind w:left="4529" w:hanging="284"/>
      </w:pPr>
      <w:rPr>
        <w:rFonts w:hint="default"/>
        <w:lang w:val="es-ES" w:eastAsia="es-ES" w:bidi="es-ES"/>
      </w:rPr>
    </w:lvl>
    <w:lvl w:ilvl="4">
      <w:start w:val="0"/>
      <w:numFmt w:val="bullet"/>
      <w:lvlText w:val="•"/>
      <w:lvlJc w:val="left"/>
      <w:pPr>
        <w:ind w:left="5306" w:hanging="284"/>
      </w:pPr>
      <w:rPr>
        <w:rFonts w:hint="default"/>
        <w:lang w:val="es-ES" w:eastAsia="es-ES" w:bidi="es-ES"/>
      </w:rPr>
    </w:lvl>
    <w:lvl w:ilvl="5">
      <w:start w:val="0"/>
      <w:numFmt w:val="bullet"/>
      <w:lvlText w:val="•"/>
      <w:lvlJc w:val="left"/>
      <w:pPr>
        <w:ind w:left="6083" w:hanging="284"/>
      </w:pPr>
      <w:rPr>
        <w:rFonts w:hint="default"/>
        <w:lang w:val="es-ES" w:eastAsia="es-ES" w:bidi="es-ES"/>
      </w:rPr>
    </w:lvl>
    <w:lvl w:ilvl="6">
      <w:start w:val="0"/>
      <w:numFmt w:val="bullet"/>
      <w:lvlText w:val="•"/>
      <w:lvlJc w:val="left"/>
      <w:pPr>
        <w:ind w:left="6859" w:hanging="284"/>
      </w:pPr>
      <w:rPr>
        <w:rFonts w:hint="default"/>
        <w:lang w:val="es-ES" w:eastAsia="es-ES" w:bidi="es-ES"/>
      </w:rPr>
    </w:lvl>
    <w:lvl w:ilvl="7">
      <w:start w:val="0"/>
      <w:numFmt w:val="bullet"/>
      <w:lvlText w:val="•"/>
      <w:lvlJc w:val="left"/>
      <w:pPr>
        <w:ind w:left="7636" w:hanging="284"/>
      </w:pPr>
      <w:rPr>
        <w:rFonts w:hint="default"/>
        <w:lang w:val="es-ES" w:eastAsia="es-ES" w:bidi="es-ES"/>
      </w:rPr>
    </w:lvl>
    <w:lvl w:ilvl="8">
      <w:start w:val="0"/>
      <w:numFmt w:val="bullet"/>
      <w:lvlText w:val="•"/>
      <w:lvlJc w:val="left"/>
      <w:pPr>
        <w:ind w:left="8413" w:hanging="284"/>
      </w:pPr>
      <w:rPr>
        <w:rFonts w:hint="default"/>
        <w:lang w:val="es-ES" w:eastAsia="es-ES" w:bidi="es-ES"/>
      </w:rPr>
    </w:lvl>
  </w:abstractNum>
  <w:num w:numId="280">
    <w:abstractNumId w:val="279"/>
  </w:num>
  <w:num w:numId="279">
    <w:abstractNumId w:val="278"/>
  </w:num>
  <w:num w:numId="278">
    <w:abstractNumId w:val="277"/>
  </w:num>
  <w:num w:numId="232">
    <w:abstractNumId w:val="231"/>
  </w:num>
  <w:num w:numId="211">
    <w:abstractNumId w:val="210"/>
  </w:num>
  <w:num w:numId="180">
    <w:abstractNumId w:val="179"/>
  </w:num>
  <w:num w:numId="164">
    <w:abstractNumId w:val="163"/>
  </w:num>
  <w:num w:numId="158">
    <w:abstractNumId w:val="157"/>
  </w:num>
  <w:num w:numId="135">
    <w:abstractNumId w:val="134"/>
  </w:num>
  <w:num w:numId="123">
    <w:abstractNumId w:val="122"/>
  </w:num>
  <w:num w:numId="113">
    <w:abstractNumId w:val="112"/>
  </w:num>
  <w:num w:numId="104">
    <w:abstractNumId w:val="103"/>
  </w:num>
  <w:num w:numId="95">
    <w:abstractNumId w:val="94"/>
  </w:num>
  <w:num w:numId="93">
    <w:abstractNumId w:val="92"/>
  </w:num>
  <w:num w:numId="60">
    <w:abstractNumId w:val="59"/>
  </w:num>
  <w:num w:numId="56">
    <w:abstractNumId w:val="55"/>
  </w:num>
  <w:num w:numId="39">
    <w:abstractNumId w:val="38"/>
  </w:num>
  <w:num w:numId="26">
    <w:abstractNumId w:val="25"/>
  </w:num>
  <w:num w:numId="281">
    <w:abstractNumId w:val="280"/>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3">
    <w:abstractNumId w:val="162"/>
  </w:num>
  <w:num w:numId="162">
    <w:abstractNumId w:val="161"/>
  </w:num>
  <w:num w:numId="161">
    <w:abstractNumId w:val="160"/>
  </w:num>
  <w:num w:numId="160">
    <w:abstractNumId w:val="159"/>
  </w:num>
  <w:num w:numId="159">
    <w:abstractNumId w:val="158"/>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4">
    <w:abstractNumId w:val="93"/>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59">
    <w:abstractNumId w:val="58"/>
  </w:num>
  <w:num w:numId="58">
    <w:abstractNumId w:val="57"/>
  </w:num>
  <w:num w:numId="57">
    <w:abstractNumId w:val="56"/>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0"/>
      <w:szCs w:val="20"/>
      <w:lang w:val="es-ES" w:eastAsia="es-ES" w:bidi="es-ES"/>
    </w:rPr>
  </w:style>
  <w:style w:styleId="Heading1" w:type="paragraph">
    <w:name w:val="Heading 1"/>
    <w:basedOn w:val="Normal"/>
    <w:uiPriority w:val="1"/>
    <w:qFormat/>
    <w:pPr>
      <w:spacing w:before="93" w:line="368" w:lineRule="exact"/>
      <w:ind w:left="218"/>
      <w:outlineLvl w:val="1"/>
    </w:pPr>
    <w:rPr>
      <w:rFonts w:ascii="Arial" w:hAnsi="Arial" w:eastAsia="Arial" w:cs="Arial"/>
      <w:b/>
      <w:bCs/>
      <w:sz w:val="32"/>
      <w:szCs w:val="32"/>
      <w:lang w:val="es-ES" w:eastAsia="es-ES" w:bidi="es-ES"/>
    </w:rPr>
  </w:style>
  <w:style w:styleId="Heading2" w:type="paragraph">
    <w:name w:val="Heading 2"/>
    <w:basedOn w:val="Normal"/>
    <w:uiPriority w:val="1"/>
    <w:qFormat/>
    <w:pPr>
      <w:ind w:left="218"/>
      <w:outlineLvl w:val="2"/>
    </w:pPr>
    <w:rPr>
      <w:rFonts w:ascii="Arial" w:hAnsi="Arial" w:eastAsia="Arial" w:cs="Arial"/>
      <w:b/>
      <w:bCs/>
      <w:sz w:val="28"/>
      <w:szCs w:val="28"/>
      <w:lang w:val="es-ES" w:eastAsia="es-ES" w:bidi="es-ES"/>
    </w:rPr>
  </w:style>
  <w:style w:styleId="Heading3" w:type="paragraph">
    <w:name w:val="Heading 3"/>
    <w:basedOn w:val="Normal"/>
    <w:uiPriority w:val="1"/>
    <w:qFormat/>
    <w:pPr>
      <w:ind w:left="672" w:hanging="455"/>
      <w:outlineLvl w:val="3"/>
    </w:pPr>
    <w:rPr>
      <w:rFonts w:ascii="Arial" w:hAnsi="Arial" w:eastAsia="Arial" w:cs="Arial"/>
      <w:b/>
      <w:bCs/>
      <w:sz w:val="24"/>
      <w:szCs w:val="24"/>
      <w:lang w:val="es-ES" w:eastAsia="es-ES" w:bidi="es-ES"/>
    </w:rPr>
  </w:style>
  <w:style w:styleId="Heading4" w:type="paragraph">
    <w:name w:val="Heading 4"/>
    <w:basedOn w:val="Normal"/>
    <w:uiPriority w:val="1"/>
    <w:qFormat/>
    <w:pPr>
      <w:spacing w:before="92"/>
      <w:ind w:left="672" w:hanging="454"/>
      <w:outlineLvl w:val="4"/>
    </w:pPr>
    <w:rPr>
      <w:rFonts w:ascii="Arial" w:hAnsi="Arial" w:eastAsia="Arial" w:cs="Arial"/>
      <w:b/>
      <w:bCs/>
      <w:i/>
      <w:sz w:val="24"/>
      <w:szCs w:val="24"/>
      <w:lang w:val="es-ES" w:eastAsia="es-ES" w:bidi="es-ES"/>
    </w:rPr>
  </w:style>
  <w:style w:styleId="Heading5" w:type="paragraph">
    <w:name w:val="Heading 5"/>
    <w:basedOn w:val="Normal"/>
    <w:uiPriority w:val="1"/>
    <w:qFormat/>
    <w:pPr>
      <w:ind w:left="218"/>
      <w:outlineLvl w:val="5"/>
    </w:pPr>
    <w:rPr>
      <w:rFonts w:ascii="Arial" w:hAnsi="Arial" w:eastAsia="Arial" w:cs="Arial"/>
      <w:b/>
      <w:bCs/>
      <w:sz w:val="20"/>
      <w:szCs w:val="20"/>
      <w:lang w:val="es-ES" w:eastAsia="es-ES" w:bidi="es-ES"/>
    </w:rPr>
  </w:style>
  <w:style w:styleId="Heading6" w:type="paragraph">
    <w:name w:val="Heading 6"/>
    <w:basedOn w:val="Normal"/>
    <w:uiPriority w:val="1"/>
    <w:qFormat/>
    <w:pPr>
      <w:ind w:left="938" w:hanging="721"/>
      <w:outlineLvl w:val="6"/>
    </w:pPr>
    <w:rPr>
      <w:rFonts w:ascii="Arial" w:hAnsi="Arial" w:eastAsia="Arial" w:cs="Arial"/>
      <w:b/>
      <w:bCs/>
      <w:i/>
      <w:sz w:val="20"/>
      <w:szCs w:val="20"/>
      <w:lang w:val="es-ES" w:eastAsia="es-ES" w:bidi="es-ES"/>
    </w:rPr>
  </w:style>
  <w:style w:styleId="ListParagraph" w:type="paragraph">
    <w:name w:val="List Paragraph"/>
    <w:basedOn w:val="Normal"/>
    <w:uiPriority w:val="1"/>
    <w:qFormat/>
    <w:pPr>
      <w:spacing w:before="60"/>
      <w:ind w:left="672" w:hanging="454"/>
    </w:pPr>
    <w:rPr>
      <w:rFonts w:ascii="Arial" w:hAnsi="Arial" w:eastAsia="Arial" w:cs="Arial"/>
      <w:lang w:val="es-ES" w:eastAsia="es-ES" w:bidi="es-ES"/>
    </w:rPr>
  </w:style>
  <w:style w:styleId="TableParagraph" w:type="paragraph">
    <w:name w:val="Table Paragraph"/>
    <w:basedOn w:val="Normal"/>
    <w:uiPriority w:val="1"/>
    <w:qFormat/>
    <w:pPr>
      <w:jc w:val="center"/>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jpeg"/><Relationship Id="rId113" Type="http://schemas.openxmlformats.org/officeDocument/2006/relationships/header" Target="header3.xml"/><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png"/><Relationship Id="rId128" Type="http://schemas.openxmlformats.org/officeDocument/2006/relationships/image" Target="media/image119.png"/><Relationship Id="rId129" Type="http://schemas.openxmlformats.org/officeDocument/2006/relationships/image" Target="media/image120.pn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footer" Target="footer3.xml"/><Relationship Id="rId144" Type="http://schemas.openxmlformats.org/officeDocument/2006/relationships/footer" Target="footer4.xml"/><Relationship Id="rId145" Type="http://schemas.openxmlformats.org/officeDocument/2006/relationships/footer" Target="footer5.xml"/><Relationship Id="rId146" Type="http://schemas.openxmlformats.org/officeDocument/2006/relationships/footer" Target="footer6.xml"/><Relationship Id="rId147" Type="http://schemas.openxmlformats.org/officeDocument/2006/relationships/image" Target="media/image134.png"/><Relationship Id="rId148" Type="http://schemas.openxmlformats.org/officeDocument/2006/relationships/image" Target="media/image135.png"/><Relationship Id="rId149" Type="http://schemas.openxmlformats.org/officeDocument/2006/relationships/header" Target="header4.xml"/><Relationship Id="rId150" Type="http://schemas.openxmlformats.org/officeDocument/2006/relationships/footer" Target="footer7.xml"/><Relationship Id="rId151" Type="http://schemas.openxmlformats.org/officeDocument/2006/relationships/footer" Target="footer8.xml"/><Relationship Id="rId152" Type="http://schemas.openxmlformats.org/officeDocument/2006/relationships/footer" Target="footer9.xml"/><Relationship Id="rId153" Type="http://schemas.openxmlformats.org/officeDocument/2006/relationships/footer" Target="footer10.xml"/><Relationship Id="rId154" Type="http://schemas.openxmlformats.org/officeDocument/2006/relationships/image" Target="media/image136.png"/><Relationship Id="rId155" Type="http://schemas.openxmlformats.org/officeDocument/2006/relationships/image" Target="media/image137.png"/><Relationship Id="rId156" Type="http://schemas.openxmlformats.org/officeDocument/2006/relationships/image" Target="media/image138.png"/><Relationship Id="rId157" Type="http://schemas.openxmlformats.org/officeDocument/2006/relationships/image" Target="media/image139.png"/><Relationship Id="rId158" Type="http://schemas.openxmlformats.org/officeDocument/2006/relationships/image" Target="media/image140.png"/><Relationship Id="rId159" Type="http://schemas.openxmlformats.org/officeDocument/2006/relationships/image" Target="media/image141.png"/><Relationship Id="rId160" Type="http://schemas.openxmlformats.org/officeDocument/2006/relationships/image" Target="media/image142.png"/><Relationship Id="rId161" Type="http://schemas.openxmlformats.org/officeDocument/2006/relationships/image" Target="media/image143.png"/><Relationship Id="rId162" Type="http://schemas.openxmlformats.org/officeDocument/2006/relationships/image" Target="media/image144.png"/><Relationship Id="rId163" Type="http://schemas.openxmlformats.org/officeDocument/2006/relationships/image" Target="media/image145.png"/><Relationship Id="rId164" Type="http://schemas.openxmlformats.org/officeDocument/2006/relationships/footer" Target="footer11.xml"/><Relationship Id="rId165" Type="http://schemas.openxmlformats.org/officeDocument/2006/relationships/footer" Target="footer12.xml"/><Relationship Id="rId1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 Ministerio de Vivienda España</dc:creator>
  <dcterms:created xsi:type="dcterms:W3CDTF">2019-03-05T08:30:19Z</dcterms:created>
  <dcterms:modified xsi:type="dcterms:W3CDTF">2019-03-05T08:30:19Z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2018-06-29T00:00:00Z</vt:filetime>
  </property>
  <property fmtid="{D5CDD505-2E9C-101B-9397-08002B2CF9AE}" pid="3" name="Creator">
    <vt:lpwstr>Adobe Acrobat Pro 9.0.0</vt:lpwstr>
  </property>
  <property fmtid="{D5CDD505-2E9C-101B-9397-08002B2CF9AE}" pid="4" name="LastSaved">
    <vt:filetime>2019-03-05T00:00:00Z</vt:filetime>
  </property>
</Properties>
</file>