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32" w:rsidRDefault="006D38AD">
      <w:pPr>
        <w:pStyle w:val="Heading2"/>
      </w:pPr>
      <w:r>
        <w:rPr>
          <w:noProof/>
          <w:sz w:val="20"/>
        </w:rPr>
        <w:pict>
          <v:shapetype id="_x0000_t202" coordsize="21600,21600" o:spt="202" path="m,l,21600r21600,l21600,xe">
            <v:stroke joinstyle="miter"/>
            <v:path gradientshapeok="t" o:connecttype="rect"/>
          </v:shapetype>
          <v:shape id="_x0000_s1049" type="#_x0000_t202" style="position:absolute;left:0;text-align:left;margin-left:-9pt;margin-top:13.55pt;width:207pt;height:59.15pt;z-index:251658240" stroked="f" strokecolor="silver" strokeweight=".25pt">
            <v:textbox inset=",0,,0">
              <w:txbxContent>
                <w:p w:rsidR="003B2332" w:rsidRDefault="003B2332" w:rsidP="006D38AD">
                  <w:pPr>
                    <w:jc w:val="center"/>
                    <w:rPr>
                      <w:rFonts w:ascii="Arial" w:hAnsi="Arial" w:cs="Arial"/>
                      <w:sz w:val="14"/>
                    </w:rPr>
                  </w:pPr>
                  <w:proofErr w:type="gramStart"/>
                  <w:r>
                    <w:rPr>
                      <w:rFonts w:ascii="Arial" w:hAnsi="Arial" w:cs="Arial"/>
                      <w:sz w:val="14"/>
                    </w:rPr>
                    <w:t>san</w:t>
                  </w:r>
                  <w:proofErr w:type="gramEnd"/>
                  <w:r>
                    <w:rPr>
                      <w:rFonts w:ascii="Arial" w:hAnsi="Arial" w:cs="Arial"/>
                      <w:sz w:val="14"/>
                    </w:rPr>
                    <w:t xml:space="preserve"> </w:t>
                  </w:r>
                  <w:proofErr w:type="spellStart"/>
                  <w:r>
                    <w:rPr>
                      <w:rFonts w:ascii="Arial" w:hAnsi="Arial" w:cs="Arial"/>
                      <w:sz w:val="14"/>
                    </w:rPr>
                    <w:t>vicente</w:t>
                  </w:r>
                  <w:proofErr w:type="spellEnd"/>
                  <w:r>
                    <w:rPr>
                      <w:rFonts w:ascii="Arial" w:hAnsi="Arial" w:cs="Arial"/>
                      <w:sz w:val="14"/>
                    </w:rPr>
                    <w:t xml:space="preserve"> 222. 2A.</w:t>
                  </w:r>
                  <w:r>
                    <w:rPr>
                      <w:rFonts w:ascii="Arial" w:hAnsi="Arial" w:cs="Arial"/>
                      <w:sz w:val="14"/>
                    </w:rPr>
                    <w:tab/>
                    <w:t>46007</w:t>
                  </w:r>
                  <w:r>
                    <w:rPr>
                      <w:rFonts w:ascii="Arial" w:hAnsi="Arial" w:cs="Arial"/>
                      <w:sz w:val="14"/>
                    </w:rPr>
                    <w:tab/>
                  </w:r>
                  <w:proofErr w:type="gramStart"/>
                  <w:r>
                    <w:rPr>
                      <w:rFonts w:ascii="Arial" w:hAnsi="Arial" w:cs="Arial"/>
                      <w:sz w:val="14"/>
                    </w:rPr>
                    <w:t>valencia</w:t>
                  </w:r>
                  <w:proofErr w:type="gramEnd"/>
                </w:p>
                <w:p w:rsidR="002C40FC" w:rsidRDefault="002C40FC" w:rsidP="006D38AD">
                  <w:pPr>
                    <w:jc w:val="center"/>
                    <w:rPr>
                      <w:rFonts w:ascii="Arial" w:hAnsi="Arial" w:cs="Arial"/>
                      <w:i/>
                      <w:iCs/>
                      <w:sz w:val="14"/>
                    </w:rPr>
                  </w:pPr>
                </w:p>
                <w:p w:rsidR="003B2332" w:rsidRPr="002C40FC" w:rsidRDefault="002C40FC" w:rsidP="006D38AD">
                  <w:pPr>
                    <w:jc w:val="center"/>
                    <w:rPr>
                      <w:rFonts w:ascii="Arial" w:hAnsi="Arial" w:cs="Arial"/>
                      <w:sz w:val="14"/>
                    </w:rPr>
                  </w:pPr>
                  <w:r w:rsidRPr="002C40FC">
                    <w:rPr>
                      <w:rFonts w:ascii="Arial" w:hAnsi="Arial" w:cs="Arial"/>
                      <w:i/>
                      <w:iCs/>
                      <w:sz w:val="14"/>
                    </w:rPr>
                    <w:t>(</w:t>
                  </w:r>
                  <w:r w:rsidR="003B2332" w:rsidRPr="002C40FC">
                    <w:rPr>
                      <w:rFonts w:ascii="Arial" w:hAnsi="Arial" w:cs="Arial"/>
                      <w:i/>
                      <w:iCs/>
                      <w:sz w:val="14"/>
                    </w:rPr>
                    <w:t>t</w:t>
                  </w:r>
                  <w:r w:rsidRPr="002C40FC">
                    <w:rPr>
                      <w:rFonts w:ascii="Arial" w:hAnsi="Arial" w:cs="Arial"/>
                      <w:i/>
                      <w:iCs/>
                      <w:sz w:val="14"/>
                    </w:rPr>
                    <w:t>)(f)</w:t>
                  </w:r>
                  <w:r w:rsidR="003B2332" w:rsidRPr="002C40FC">
                    <w:rPr>
                      <w:rFonts w:ascii="Arial" w:hAnsi="Arial" w:cs="Arial"/>
                      <w:sz w:val="14"/>
                    </w:rPr>
                    <w:t xml:space="preserve">  963 81 30 80 </w:t>
                  </w:r>
                  <w:r w:rsidRPr="002C40FC">
                    <w:rPr>
                      <w:rFonts w:ascii="Arial" w:hAnsi="Arial" w:cs="Arial"/>
                      <w:sz w:val="14"/>
                    </w:rPr>
                    <w:t>(</w:t>
                  </w:r>
                  <w:r w:rsidR="003B2332" w:rsidRPr="002C40FC">
                    <w:rPr>
                      <w:rFonts w:ascii="Arial" w:hAnsi="Arial" w:cs="Arial"/>
                      <w:i/>
                      <w:iCs/>
                      <w:sz w:val="14"/>
                    </w:rPr>
                    <w:t>m</w:t>
                  </w:r>
                  <w:r w:rsidRPr="002C40FC">
                    <w:rPr>
                      <w:rFonts w:ascii="Arial" w:hAnsi="Arial" w:cs="Arial"/>
                      <w:i/>
                      <w:iCs/>
                      <w:sz w:val="14"/>
                    </w:rPr>
                    <w:t>)</w:t>
                  </w:r>
                  <w:r w:rsidR="003B2332" w:rsidRPr="002C40FC">
                    <w:rPr>
                      <w:rFonts w:ascii="Arial" w:hAnsi="Arial" w:cs="Arial"/>
                      <w:sz w:val="14"/>
                    </w:rPr>
                    <w:t xml:space="preserve">  656 928 368</w:t>
                  </w:r>
                </w:p>
                <w:p w:rsidR="003B2332" w:rsidRPr="002C40FC" w:rsidRDefault="002C40FC" w:rsidP="006D38AD">
                  <w:pPr>
                    <w:jc w:val="center"/>
                    <w:rPr>
                      <w:rFonts w:ascii="Arial" w:hAnsi="Arial" w:cs="Arial"/>
                      <w:sz w:val="14"/>
                    </w:rPr>
                  </w:pPr>
                  <w:r w:rsidRPr="002C40FC">
                    <w:rPr>
                      <w:rFonts w:ascii="Arial" w:hAnsi="Arial" w:cs="Arial"/>
                      <w:sz w:val="14"/>
                    </w:rPr>
                    <w:t xml:space="preserve">(e) </w:t>
                  </w:r>
                  <w:hyperlink r:id="rId7" w:history="1">
                    <w:r w:rsidR="003B2332" w:rsidRPr="002C40FC">
                      <w:rPr>
                        <w:rStyle w:val="Hyperlink"/>
                        <w:rFonts w:ascii="Arial" w:hAnsi="Arial" w:cs="Arial"/>
                        <w:sz w:val="14"/>
                      </w:rPr>
                      <w:t>info@cps-arquitectura.com</w:t>
                    </w:r>
                  </w:hyperlink>
                </w:p>
                <w:p w:rsidR="002C40FC" w:rsidRDefault="002C40FC" w:rsidP="006D38AD">
                  <w:pPr>
                    <w:jc w:val="center"/>
                    <w:rPr>
                      <w:rFonts w:ascii="Arial" w:hAnsi="Arial" w:cs="Arial"/>
                      <w:b/>
                      <w:bCs/>
                      <w:i/>
                      <w:iCs/>
                      <w:color w:val="808080"/>
                      <w:sz w:val="16"/>
                    </w:rPr>
                  </w:pPr>
                </w:p>
                <w:p w:rsidR="003B2332" w:rsidRDefault="003B2332" w:rsidP="006D38AD">
                  <w:pPr>
                    <w:jc w:val="center"/>
                    <w:rPr>
                      <w:b/>
                      <w:bCs/>
                      <w:i/>
                      <w:iCs/>
                      <w:color w:val="808080"/>
                      <w:sz w:val="16"/>
                      <w:lang w:val="en-GB"/>
                    </w:rPr>
                  </w:pPr>
                  <w:proofErr w:type="gramStart"/>
                  <w:r>
                    <w:rPr>
                      <w:rFonts w:ascii="Arial" w:hAnsi="Arial" w:cs="Arial"/>
                      <w:b/>
                      <w:bCs/>
                      <w:i/>
                      <w:iCs/>
                      <w:color w:val="808080"/>
                      <w:sz w:val="16"/>
                      <w:lang w:val="en-GB"/>
                    </w:rPr>
                    <w:t>www</w:t>
                  </w:r>
                  <w:proofErr w:type="gramEnd"/>
                  <w:r>
                    <w:rPr>
                      <w:rFonts w:ascii="Arial" w:hAnsi="Arial" w:cs="Arial"/>
                      <w:b/>
                      <w:bCs/>
                      <w:i/>
                      <w:iCs/>
                      <w:color w:val="808080"/>
                      <w:sz w:val="16"/>
                      <w:lang w:val="en-GB"/>
                    </w:rPr>
                    <w:t xml:space="preserve">. </w:t>
                  </w:r>
                  <w:proofErr w:type="gramStart"/>
                  <w:r>
                    <w:rPr>
                      <w:rFonts w:ascii="Arial" w:hAnsi="Arial" w:cs="Arial"/>
                      <w:b/>
                      <w:bCs/>
                      <w:i/>
                      <w:iCs/>
                      <w:color w:val="808080"/>
                      <w:sz w:val="16"/>
                      <w:lang w:val="en-GB"/>
                    </w:rPr>
                    <w:t>cps-arquitectura.com</w:t>
                  </w:r>
                  <w:proofErr w:type="gramEnd"/>
                </w:p>
              </w:txbxContent>
            </v:textbox>
          </v:shape>
        </w:pict>
      </w:r>
      <w:r w:rsidR="00E1674C">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286385</wp:posOffset>
            </wp:positionV>
            <wp:extent cx="2933700" cy="619125"/>
            <wp:effectExtent l="19050" t="0" r="0" b="0"/>
            <wp:wrapThrough wrapText="bothSides">
              <wp:wrapPolygon edited="0">
                <wp:start x="-140" y="0"/>
                <wp:lineTo x="-140" y="21268"/>
                <wp:lineTo x="21600" y="21268"/>
                <wp:lineTo x="21600" y="0"/>
                <wp:lineTo x="-140" y="0"/>
              </wp:wrapPolygon>
            </wp:wrapThrough>
            <wp:docPr id="26" name="Picture 26" descr="Y:\IMPRENTA\MATERIAL DE IMPRENTA\logoc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IMPRENTA\MATERIAL DE IMPRENTA\logocps.jpg"/>
                    <pic:cNvPicPr>
                      <a:picLocks noChangeAspect="1" noChangeArrowheads="1"/>
                    </pic:cNvPicPr>
                  </pic:nvPicPr>
                  <pic:blipFill>
                    <a:blip r:embed="rId8" r:link="rId9" cstate="print"/>
                    <a:srcRect/>
                    <a:stretch>
                      <a:fillRect/>
                    </a:stretch>
                  </pic:blipFill>
                  <pic:spPr bwMode="auto">
                    <a:xfrm>
                      <a:off x="0" y="0"/>
                      <a:ext cx="2933700" cy="619125"/>
                    </a:xfrm>
                    <a:prstGeom prst="rect">
                      <a:avLst/>
                    </a:prstGeom>
                    <a:noFill/>
                    <a:ln w="9525">
                      <a:noFill/>
                      <a:miter lim="800000"/>
                      <a:headEnd/>
                      <a:tailEnd/>
                    </a:ln>
                  </pic:spPr>
                </pic:pic>
              </a:graphicData>
            </a:graphic>
          </wp:anchor>
        </w:drawing>
      </w:r>
    </w:p>
    <w:p w:rsidR="006D38AD" w:rsidRDefault="006D38AD">
      <w:pPr>
        <w:pStyle w:val="Heading2"/>
      </w:pPr>
    </w:p>
    <w:p w:rsidR="006D38AD" w:rsidRDefault="006D38AD">
      <w:pPr>
        <w:pStyle w:val="Heading2"/>
      </w:pPr>
    </w:p>
    <w:p w:rsidR="003B2332" w:rsidRPr="006D38AD" w:rsidRDefault="003B2332">
      <w:pPr>
        <w:pStyle w:val="Heading2"/>
        <w:rPr>
          <w:sz w:val="24"/>
          <w:szCs w:val="24"/>
        </w:rPr>
      </w:pPr>
    </w:p>
    <w:p w:rsidR="00320289" w:rsidRDefault="00320289" w:rsidP="00320289">
      <w:pPr>
        <w:jc w:val="both"/>
        <w:rPr>
          <w:rFonts w:ascii="Arial" w:hAnsi="Arial" w:cs="Arial"/>
        </w:rPr>
      </w:pPr>
    </w:p>
    <w:p w:rsidR="00320289" w:rsidRDefault="00320289" w:rsidP="00320289">
      <w:pPr>
        <w:spacing w:line="241" w:lineRule="atLeast"/>
        <w:jc w:val="both"/>
        <w:rPr>
          <w:rFonts w:ascii="Arial" w:hAnsi="Arial"/>
          <w:b/>
          <w:sz w:val="28"/>
        </w:rPr>
      </w:pPr>
    </w:p>
    <w:p w:rsidR="00320289" w:rsidRDefault="00320289" w:rsidP="00320289">
      <w:pPr>
        <w:pBdr>
          <w:top w:val="single" w:sz="6" w:space="1" w:color="auto"/>
        </w:pBdr>
        <w:spacing w:line="241" w:lineRule="atLeast"/>
        <w:jc w:val="both"/>
        <w:rPr>
          <w:rFonts w:ascii="Arial" w:hAnsi="Arial"/>
          <w:b/>
          <w:sz w:val="28"/>
        </w:rPr>
      </w:pPr>
    </w:p>
    <w:p w:rsidR="00320289" w:rsidRPr="00320289" w:rsidRDefault="00320289" w:rsidP="00320289">
      <w:pPr>
        <w:pStyle w:val="Heading1"/>
        <w:jc w:val="center"/>
        <w:rPr>
          <w:b/>
          <w:sz w:val="22"/>
          <w:szCs w:val="22"/>
        </w:rPr>
      </w:pPr>
      <w:r w:rsidRPr="00320289">
        <w:rPr>
          <w:b/>
          <w:sz w:val="22"/>
          <w:szCs w:val="22"/>
        </w:rPr>
        <w:t>Plazos de prescripción y períodos para ejercitar las acciones, según el art. 18 de la Ley  38/ 1999 de 5 de noviembre,  de Ordenación de la Edificación (LOE).</w:t>
      </w:r>
    </w:p>
    <w:p w:rsidR="00320289" w:rsidRDefault="00320289" w:rsidP="00320289">
      <w:pPr>
        <w:pBdr>
          <w:bottom w:val="single" w:sz="6" w:space="0" w:color="auto"/>
        </w:pBdr>
        <w:spacing w:line="241" w:lineRule="atLeast"/>
        <w:jc w:val="both"/>
        <w:rPr>
          <w:rFonts w:ascii="Arial" w:hAnsi="Arial"/>
          <w:b/>
          <w:sz w:val="24"/>
          <w:u w:val="single"/>
        </w:rPr>
      </w:pPr>
    </w:p>
    <w:p w:rsidR="00320289" w:rsidRDefault="00320289" w:rsidP="00320289">
      <w:pPr>
        <w:spacing w:line="241" w:lineRule="atLeast"/>
        <w:jc w:val="both"/>
        <w:rPr>
          <w:rFonts w:ascii="Arial" w:hAnsi="Arial"/>
          <w:b/>
          <w:sz w:val="24"/>
          <w:u w:val="single"/>
        </w:rPr>
      </w:pPr>
    </w:p>
    <w:p w:rsidR="00320289" w:rsidRDefault="00320289" w:rsidP="00320289">
      <w:pPr>
        <w:spacing w:line="241" w:lineRule="atLeast"/>
        <w:jc w:val="both"/>
        <w:rPr>
          <w:rFonts w:ascii="Arial" w:hAnsi="Arial"/>
          <w:b/>
          <w:sz w:val="24"/>
          <w:u w:val="single"/>
        </w:rPr>
      </w:pPr>
    </w:p>
    <w:p w:rsidR="00320289" w:rsidRPr="00BF3C3D" w:rsidRDefault="00320289" w:rsidP="00320289">
      <w:pPr>
        <w:autoSpaceDE w:val="0"/>
        <w:autoSpaceDN w:val="0"/>
        <w:adjustRightInd w:val="0"/>
        <w:jc w:val="both"/>
        <w:rPr>
          <w:rFonts w:asciiTheme="minorHAnsi" w:hAnsiTheme="minorHAnsi" w:cs="Courier New"/>
          <w:sz w:val="22"/>
          <w:szCs w:val="22"/>
        </w:rPr>
      </w:pPr>
      <w:r w:rsidRPr="00BF3C3D">
        <w:rPr>
          <w:rFonts w:asciiTheme="minorHAnsi" w:hAnsiTheme="minorHAnsi" w:cs="Courier New"/>
          <w:sz w:val="22"/>
          <w:szCs w:val="22"/>
        </w:rPr>
        <w:t>Estos períodos de garantía son los siguientes:</w:t>
      </w: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r w:rsidRPr="00BF3C3D">
        <w:rPr>
          <w:rFonts w:asciiTheme="minorHAnsi" w:hAnsiTheme="minorHAnsi" w:cs="Courier New"/>
          <w:sz w:val="22"/>
          <w:szCs w:val="22"/>
        </w:rPr>
        <w:t>.</w:t>
      </w:r>
      <w:r w:rsidRPr="00BF3C3D">
        <w:rPr>
          <w:rFonts w:asciiTheme="minorHAnsi" w:hAnsiTheme="minorHAnsi" w:cs="Courier New"/>
          <w:sz w:val="22"/>
          <w:szCs w:val="22"/>
        </w:rPr>
        <w:tab/>
      </w:r>
      <w:r w:rsidRPr="00BF3C3D">
        <w:rPr>
          <w:rFonts w:asciiTheme="minorHAnsi" w:hAnsiTheme="minorHAnsi" w:cs="Courier New"/>
          <w:b/>
          <w:sz w:val="22"/>
          <w:szCs w:val="22"/>
          <w:u w:val="single"/>
        </w:rPr>
        <w:t>1 año para daños materiales</w:t>
      </w:r>
      <w:r w:rsidRPr="00BF3C3D">
        <w:rPr>
          <w:rFonts w:asciiTheme="minorHAnsi" w:hAnsiTheme="minorHAnsi" w:cs="Courier New"/>
          <w:sz w:val="22"/>
          <w:szCs w:val="22"/>
        </w:rPr>
        <w:t xml:space="preserve"> causados en el edificio por vicios o</w:t>
      </w:r>
      <w:r>
        <w:rPr>
          <w:rFonts w:cs="Courier New"/>
        </w:rPr>
        <w:t xml:space="preserve"> </w:t>
      </w:r>
      <w:r w:rsidRPr="00BF3C3D">
        <w:rPr>
          <w:rFonts w:asciiTheme="minorHAnsi" w:hAnsiTheme="minorHAnsi" w:cs="Courier New"/>
          <w:sz w:val="22"/>
          <w:szCs w:val="22"/>
        </w:rPr>
        <w:t>defectos de ejecución que afecten a elementos de terminación o</w:t>
      </w:r>
      <w:r>
        <w:rPr>
          <w:rFonts w:cs="Courier New"/>
        </w:rPr>
        <w:t xml:space="preserve"> </w:t>
      </w:r>
      <w:r w:rsidRPr="00BF3C3D">
        <w:rPr>
          <w:rFonts w:asciiTheme="minorHAnsi" w:hAnsiTheme="minorHAnsi" w:cs="Courier New"/>
          <w:sz w:val="22"/>
          <w:szCs w:val="22"/>
        </w:rPr>
        <w:t>acabado de las obras. Solo sería aplicable para el caso de que dentro de dicho período se hubiera acreditado de manera fehaciente la existencia de daños o defectos de dicha naturaleza.</w:t>
      </w: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r w:rsidRPr="00BF3C3D">
        <w:rPr>
          <w:rFonts w:asciiTheme="minorHAnsi" w:hAnsiTheme="minorHAnsi" w:cs="Courier New"/>
          <w:sz w:val="22"/>
          <w:szCs w:val="22"/>
        </w:rPr>
        <w:t>.</w:t>
      </w:r>
      <w:r w:rsidRPr="00BF3C3D">
        <w:rPr>
          <w:rFonts w:asciiTheme="minorHAnsi" w:hAnsiTheme="minorHAnsi" w:cs="Courier New"/>
          <w:sz w:val="22"/>
          <w:szCs w:val="22"/>
        </w:rPr>
        <w:tab/>
      </w:r>
      <w:r w:rsidRPr="00BF3C3D">
        <w:rPr>
          <w:rFonts w:asciiTheme="minorHAnsi" w:hAnsiTheme="minorHAnsi" w:cs="Courier New"/>
          <w:b/>
          <w:sz w:val="22"/>
          <w:szCs w:val="22"/>
          <w:u w:val="single"/>
        </w:rPr>
        <w:t>3 años para daños o deficiencias que afecten a las condiciones de</w:t>
      </w:r>
      <w:r w:rsidRPr="00BF3C3D">
        <w:rPr>
          <w:rFonts w:cs="Courier New"/>
          <w:b/>
          <w:u w:val="single"/>
        </w:rPr>
        <w:t xml:space="preserve"> </w:t>
      </w:r>
      <w:r w:rsidRPr="00BF3C3D">
        <w:rPr>
          <w:rFonts w:asciiTheme="minorHAnsi" w:hAnsiTheme="minorHAnsi" w:cs="Courier New"/>
          <w:b/>
          <w:sz w:val="22"/>
          <w:szCs w:val="22"/>
          <w:u w:val="single"/>
        </w:rPr>
        <w:t>habitabilidad y uso</w:t>
      </w:r>
      <w:r w:rsidRPr="00BF3C3D">
        <w:rPr>
          <w:rFonts w:asciiTheme="minorHAnsi" w:hAnsiTheme="minorHAnsi" w:cs="Courier New"/>
          <w:sz w:val="22"/>
          <w:szCs w:val="22"/>
        </w:rPr>
        <w:t xml:space="preserve"> de las viviendas y de sus instalaciones. Solo es aplicable para aquellas deficiencias o daños que se hubiesen producido en dicho plazo, que si han sido acreditados de manera fehaciente dentro del</w:t>
      </w:r>
    </w:p>
    <w:p w:rsidR="00320289" w:rsidRPr="00BF3C3D" w:rsidRDefault="00320289" w:rsidP="00320289">
      <w:pPr>
        <w:autoSpaceDE w:val="0"/>
        <w:autoSpaceDN w:val="0"/>
        <w:adjustRightInd w:val="0"/>
        <w:jc w:val="both"/>
        <w:rPr>
          <w:rFonts w:asciiTheme="minorHAnsi" w:hAnsiTheme="minorHAnsi" w:cs="Courier New"/>
          <w:sz w:val="22"/>
          <w:szCs w:val="22"/>
        </w:rPr>
      </w:pPr>
      <w:proofErr w:type="gramStart"/>
      <w:r w:rsidRPr="00BF3C3D">
        <w:rPr>
          <w:rFonts w:asciiTheme="minorHAnsi" w:hAnsiTheme="minorHAnsi" w:cs="Courier New"/>
          <w:sz w:val="22"/>
          <w:szCs w:val="22"/>
        </w:rPr>
        <w:t>citado</w:t>
      </w:r>
      <w:proofErr w:type="gramEnd"/>
      <w:r w:rsidRPr="00BF3C3D">
        <w:rPr>
          <w:rFonts w:asciiTheme="minorHAnsi" w:hAnsiTheme="minorHAnsi" w:cs="Courier New"/>
          <w:sz w:val="22"/>
          <w:szCs w:val="22"/>
        </w:rPr>
        <w:t xml:space="preserve"> período existe una prescripción de dos años para efectuar las</w:t>
      </w:r>
      <w:r>
        <w:rPr>
          <w:rFonts w:cs="Courier New"/>
        </w:rPr>
        <w:t xml:space="preserve"> </w:t>
      </w:r>
      <w:r w:rsidRPr="00BF3C3D">
        <w:rPr>
          <w:rFonts w:asciiTheme="minorHAnsi" w:hAnsiTheme="minorHAnsi" w:cs="Courier New"/>
          <w:sz w:val="22"/>
          <w:szCs w:val="22"/>
        </w:rPr>
        <w:t>acciones de reclamación oportunas.</w:t>
      </w: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r w:rsidRPr="00BF3C3D">
        <w:rPr>
          <w:rFonts w:asciiTheme="minorHAnsi" w:hAnsiTheme="minorHAnsi" w:cs="Courier New"/>
          <w:sz w:val="22"/>
          <w:szCs w:val="22"/>
        </w:rPr>
        <w:t>.</w:t>
      </w:r>
      <w:r w:rsidRPr="00BF3C3D">
        <w:rPr>
          <w:rFonts w:asciiTheme="minorHAnsi" w:hAnsiTheme="minorHAnsi" w:cs="Courier New"/>
          <w:sz w:val="22"/>
          <w:szCs w:val="22"/>
        </w:rPr>
        <w:tab/>
      </w:r>
      <w:r w:rsidRPr="00BF3C3D">
        <w:rPr>
          <w:rFonts w:asciiTheme="minorHAnsi" w:hAnsiTheme="minorHAnsi" w:cs="Courier New"/>
          <w:b/>
          <w:sz w:val="22"/>
          <w:szCs w:val="22"/>
          <w:u w:val="single"/>
        </w:rPr>
        <w:t>10 años para daños o deficiencias en elementos fundamentales en la</w:t>
      </w:r>
      <w:r w:rsidRPr="00BF3C3D">
        <w:rPr>
          <w:rFonts w:cs="Courier New"/>
          <w:b/>
          <w:u w:val="single"/>
        </w:rPr>
        <w:t xml:space="preserve"> </w:t>
      </w:r>
      <w:r w:rsidRPr="00BF3C3D">
        <w:rPr>
          <w:rFonts w:asciiTheme="minorHAnsi" w:hAnsiTheme="minorHAnsi" w:cs="Courier New"/>
          <w:b/>
          <w:sz w:val="22"/>
          <w:szCs w:val="22"/>
          <w:u w:val="single"/>
        </w:rPr>
        <w:t>cimentación, o en estructura que comprometan directamente la</w:t>
      </w:r>
      <w:r w:rsidRPr="00BF3C3D">
        <w:rPr>
          <w:rFonts w:cs="Courier New"/>
          <w:b/>
          <w:u w:val="single"/>
        </w:rPr>
        <w:t xml:space="preserve"> </w:t>
      </w:r>
      <w:r w:rsidRPr="00BF3C3D">
        <w:rPr>
          <w:rFonts w:asciiTheme="minorHAnsi" w:hAnsiTheme="minorHAnsi" w:cs="Courier New"/>
          <w:b/>
          <w:sz w:val="22"/>
          <w:szCs w:val="22"/>
          <w:u w:val="single"/>
        </w:rPr>
        <w:t>estabilidad del edificio</w:t>
      </w:r>
      <w:r w:rsidRPr="00BF3C3D">
        <w:rPr>
          <w:rFonts w:asciiTheme="minorHAnsi" w:hAnsiTheme="minorHAnsi" w:cs="Courier New"/>
          <w:sz w:val="22"/>
          <w:szCs w:val="22"/>
        </w:rPr>
        <w:t>. También con una prescripción de dos años para ejercitar las acciones oportunas, si se hubiera acreditado de manera fehaciente dentro del citado periodo la existencia de lesiones de dicha naturaleza.</w:t>
      </w: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w:t>
      </w:r>
      <w:r w:rsidRPr="00320289">
        <w:rPr>
          <w:rFonts w:asciiTheme="minorHAnsi" w:hAnsiTheme="minorHAnsi" w:cs="Courier New"/>
          <w:sz w:val="22"/>
          <w:szCs w:val="22"/>
        </w:rPr>
        <w:tab/>
        <w:t xml:space="preserve">Cabe reseñar que puede ser de aplicación el Real Decreto 3 14/2006 , de 17 de marzo, por el que se aprueba el Código Técnico de la Edificación publicado en el B.O.E. </w:t>
      </w:r>
      <w:proofErr w:type="spellStart"/>
      <w:r w:rsidRPr="00320289">
        <w:rPr>
          <w:rFonts w:asciiTheme="minorHAnsi" w:hAnsiTheme="minorHAnsi" w:cs="Courier New"/>
          <w:sz w:val="22"/>
          <w:szCs w:val="22"/>
        </w:rPr>
        <w:t>núm</w:t>
      </w:r>
      <w:proofErr w:type="spellEnd"/>
      <w:r w:rsidRPr="00320289">
        <w:rPr>
          <w:rFonts w:asciiTheme="minorHAnsi" w:hAnsiTheme="minorHAnsi" w:cs="Courier New"/>
          <w:sz w:val="22"/>
          <w:szCs w:val="22"/>
        </w:rPr>
        <w:t xml:space="preserve"> 74 de fecha 28 de marzo de 2.006, ya que </w:t>
      </w:r>
      <w:proofErr w:type="spellStart"/>
      <w:r w:rsidRPr="00320289">
        <w:rPr>
          <w:rFonts w:asciiTheme="minorHAnsi" w:hAnsiTheme="minorHAnsi" w:cs="Courier New"/>
          <w:sz w:val="22"/>
          <w:szCs w:val="22"/>
        </w:rPr>
        <w:t>seria</w:t>
      </w:r>
      <w:proofErr w:type="spellEnd"/>
      <w:r w:rsidRPr="00320289">
        <w:rPr>
          <w:rFonts w:asciiTheme="minorHAnsi" w:hAnsiTheme="minorHAnsi" w:cs="Courier New"/>
          <w:sz w:val="22"/>
          <w:szCs w:val="22"/>
        </w:rPr>
        <w:t xml:space="preserve"> de aplicación, si las obras se iniciaron con posterioridad a marzo de 2.006.</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Default="00320289">
      <w:pPr>
        <w:rPr>
          <w:rFonts w:asciiTheme="minorHAnsi" w:hAnsiTheme="minorHAnsi" w:cs="Courier New"/>
          <w:sz w:val="22"/>
          <w:szCs w:val="22"/>
        </w:rPr>
      </w:pPr>
      <w:r>
        <w:rPr>
          <w:rFonts w:asciiTheme="minorHAnsi" w:hAnsiTheme="minorHAnsi" w:cs="Courier New"/>
          <w:sz w:val="22"/>
          <w:szCs w:val="22"/>
        </w:rPr>
        <w:br w:type="page"/>
      </w:r>
    </w:p>
    <w:p w:rsidR="00320289" w:rsidRPr="00320289" w:rsidRDefault="00320289" w:rsidP="00320289">
      <w:pPr>
        <w:pStyle w:val="Heading5"/>
        <w:jc w:val="center"/>
        <w:rPr>
          <w:rFonts w:asciiTheme="minorHAnsi" w:hAnsiTheme="minorHAnsi"/>
          <w:sz w:val="28"/>
          <w:szCs w:val="28"/>
          <w:u w:val="single"/>
        </w:rPr>
      </w:pPr>
      <w:r w:rsidRPr="00320289">
        <w:rPr>
          <w:rFonts w:asciiTheme="minorHAnsi" w:hAnsiTheme="minorHAnsi"/>
          <w:sz w:val="28"/>
          <w:szCs w:val="28"/>
          <w:u w:val="single"/>
        </w:rPr>
        <w:lastRenderedPageBreak/>
        <w:t>ANÁLISIS PORMENORIZADO DE LAS GARANTÍAS.</w:t>
      </w:r>
    </w:p>
    <w:p w:rsidR="00320289" w:rsidRPr="00BF3C3D"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b/>
          <w:sz w:val="22"/>
          <w:szCs w:val="22"/>
        </w:rPr>
      </w:pPr>
      <w:r w:rsidRPr="00320289">
        <w:rPr>
          <w:rFonts w:asciiTheme="minorHAnsi" w:hAnsiTheme="minorHAnsi" w:cs="Courier New"/>
          <w:b/>
          <w:sz w:val="22"/>
          <w:szCs w:val="22"/>
        </w:rPr>
        <w:t>. - La garantía de 1 año.</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Seguro de Daños por vicios o defectos de ejecución.</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 xml:space="preserve">Garantía aplicable mínima, 5 por 100 del coste final de la ejecución material de la obra, incluidos los honorarios profesionales sin franquicia. </w:t>
      </w: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Esta garantía podrá ser sustituida por la retención por el promotor de un 5 por 100 del importe de la ejecución material de la obra.</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Por el momento no es una garantía que se ofrezca por el mercado asegurador ni parece que existan visos, en plazos razonables, para que se convierta en una garantía obligatoria. No se exige póliza.</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 xml:space="preserve">De la garantía de 1 año, por terminaciones y acabados, responde </w:t>
      </w:r>
      <w:r w:rsidRPr="00320289">
        <w:rPr>
          <w:rFonts w:asciiTheme="minorHAnsi" w:hAnsiTheme="minorHAnsi" w:cs="Courier New"/>
          <w:sz w:val="22"/>
          <w:szCs w:val="22"/>
          <w:u w:val="single"/>
        </w:rPr>
        <w:t>exclusivamente el constructor</w:t>
      </w:r>
      <w:r w:rsidRPr="00320289">
        <w:rPr>
          <w:rFonts w:asciiTheme="minorHAnsi" w:hAnsiTheme="minorHAnsi" w:cs="Courier New"/>
          <w:sz w:val="22"/>
          <w:szCs w:val="22"/>
        </w:rPr>
        <w:t>.</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b/>
          <w:sz w:val="22"/>
          <w:szCs w:val="22"/>
        </w:rPr>
      </w:pPr>
      <w:r w:rsidRPr="00320289">
        <w:rPr>
          <w:rFonts w:asciiTheme="minorHAnsi" w:hAnsiTheme="minorHAnsi" w:cs="Courier New"/>
          <w:b/>
          <w:sz w:val="22"/>
          <w:szCs w:val="22"/>
        </w:rPr>
        <w:t xml:space="preserve">.- La garantía de 3 años. </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Seguro de Daños por vicios que afecten a requisitos de habitabilidad.</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Garantía aplicable mínima, 30 por 100 del coste final de la ejecución material de la obra, incluidos los honorarios profesionales.</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La franquicia no podrá exceder del 1 por 1 00 del capital asegurado de cada unidad registral.</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Importante: De acuerdo con el Artículo 3° de la LOE deberán entenderse como requisitos básicos relativos a la habitabilidad:</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pStyle w:val="ListParagraph"/>
        <w:numPr>
          <w:ilvl w:val="0"/>
          <w:numId w:val="6"/>
        </w:numPr>
        <w:autoSpaceDE w:val="0"/>
        <w:autoSpaceDN w:val="0"/>
        <w:adjustRightInd w:val="0"/>
        <w:spacing w:after="0" w:line="240" w:lineRule="auto"/>
        <w:jc w:val="both"/>
        <w:rPr>
          <w:rFonts w:cs="Courier New"/>
        </w:rPr>
      </w:pPr>
      <w:r w:rsidRPr="00320289">
        <w:rPr>
          <w:rFonts w:cs="Courier New"/>
        </w:rPr>
        <w:t xml:space="preserve">c. 1) Higiene, salud y protección del medio ambiente, que se alcancen condiciones aceptables de salubridad y estanqueidad en el ambiente interior del edificio y que no deteriore el medio ambiente en su entorno inmediato, garantizando una adecuada gestión de toda clase de residuos. Por lo tanto todo lo relativo a aislamiento, impermeabilizaciones , filtraciones, condensaciones, </w:t>
      </w:r>
      <w:proofErr w:type="gramStart"/>
      <w:r w:rsidRPr="00320289">
        <w:rPr>
          <w:rFonts w:cs="Courier New"/>
        </w:rPr>
        <w:t>etc. .</w:t>
      </w:r>
      <w:proofErr w:type="gramEnd"/>
      <w:r w:rsidRPr="00320289">
        <w:rPr>
          <w:rFonts w:cs="Courier New"/>
        </w:rPr>
        <w:t xml:space="preserve"> .está incluido en la garantía de 3 años.</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pStyle w:val="ListParagraph"/>
        <w:numPr>
          <w:ilvl w:val="0"/>
          <w:numId w:val="6"/>
        </w:numPr>
        <w:autoSpaceDE w:val="0"/>
        <w:autoSpaceDN w:val="0"/>
        <w:adjustRightInd w:val="0"/>
        <w:spacing w:after="0" w:line="240" w:lineRule="auto"/>
        <w:jc w:val="both"/>
        <w:rPr>
          <w:rFonts w:cs="Courier New"/>
        </w:rPr>
      </w:pPr>
      <w:r w:rsidRPr="00320289">
        <w:rPr>
          <w:rFonts w:cs="Courier New"/>
        </w:rPr>
        <w:t>c.2) Protección contra el ruido, que el ruido percibido no ponga en peligro la salud de las personas y permita realizar satisfactoriamente sus actividades.</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pStyle w:val="ListParagraph"/>
        <w:numPr>
          <w:ilvl w:val="0"/>
          <w:numId w:val="6"/>
        </w:numPr>
        <w:autoSpaceDE w:val="0"/>
        <w:autoSpaceDN w:val="0"/>
        <w:adjustRightInd w:val="0"/>
        <w:spacing w:after="0" w:line="240" w:lineRule="auto"/>
        <w:jc w:val="both"/>
        <w:rPr>
          <w:rFonts w:cs="Courier New"/>
        </w:rPr>
      </w:pPr>
      <w:r w:rsidRPr="00320289">
        <w:rPr>
          <w:rFonts w:cs="Courier New"/>
        </w:rPr>
        <w:t>c.3) Ahorro de energía y aislamiento térmico, que se consiga un uso racional de la energía necesaria para la adecuada utilización del edificio.</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pStyle w:val="ListParagraph"/>
        <w:numPr>
          <w:ilvl w:val="0"/>
          <w:numId w:val="6"/>
        </w:numPr>
        <w:autoSpaceDE w:val="0"/>
        <w:autoSpaceDN w:val="0"/>
        <w:adjustRightInd w:val="0"/>
        <w:spacing w:after="0" w:line="240" w:lineRule="auto"/>
        <w:jc w:val="both"/>
        <w:rPr>
          <w:rFonts w:cs="Courier New"/>
        </w:rPr>
      </w:pPr>
      <w:r w:rsidRPr="00320289">
        <w:rPr>
          <w:rFonts w:cs="Courier New"/>
        </w:rPr>
        <w:t>c.4) Otros aspectos funcionales de los elementos constructivos o de las instalaciones que permitan un uso satisfactorio del edificio.</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Por el momento esta garantía de tres años tampoco es una garantía donde se exija póliza obligatoria conforme a la LOE, si bien parece que en un breve lapso de tiempo esta situación puede cambiar.</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 xml:space="preserve">En el momento actual es posible encontrar en </w:t>
      </w:r>
      <w:proofErr w:type="gramStart"/>
      <w:r w:rsidRPr="00320289">
        <w:rPr>
          <w:rFonts w:asciiTheme="minorHAnsi" w:hAnsiTheme="minorHAnsi" w:cs="Courier New"/>
          <w:sz w:val="22"/>
          <w:szCs w:val="22"/>
        </w:rPr>
        <w:t>el mercado seguros</w:t>
      </w:r>
      <w:proofErr w:type="gramEnd"/>
      <w:r w:rsidRPr="00320289">
        <w:rPr>
          <w:rFonts w:asciiTheme="minorHAnsi" w:hAnsiTheme="minorHAnsi" w:cs="Courier New"/>
          <w:sz w:val="22"/>
          <w:szCs w:val="22"/>
        </w:rPr>
        <w:t xml:space="preserve"> de daños trienales de Impermeabilización de cubiertas, terrazas, tejados y </w:t>
      </w:r>
      <w:r>
        <w:rPr>
          <w:rFonts w:asciiTheme="minorHAnsi" w:hAnsiTheme="minorHAnsi" w:cs="Courier New"/>
          <w:sz w:val="22"/>
          <w:szCs w:val="22"/>
        </w:rPr>
        <w:t>f</w:t>
      </w:r>
      <w:r w:rsidRPr="00320289">
        <w:rPr>
          <w:rFonts w:asciiTheme="minorHAnsi" w:hAnsiTheme="minorHAnsi" w:cs="Courier New"/>
          <w:sz w:val="22"/>
          <w:szCs w:val="22"/>
        </w:rPr>
        <w:t>achadas.</w:t>
      </w:r>
    </w:p>
    <w:p w:rsidR="00320289" w:rsidRPr="00320289" w:rsidRDefault="00320289" w:rsidP="00320289">
      <w:pPr>
        <w:rPr>
          <w:rFonts w:asciiTheme="minorHAnsi" w:hAnsiTheme="minorHAnsi" w:cs="Courier New"/>
          <w:b/>
          <w:sz w:val="22"/>
          <w:szCs w:val="22"/>
        </w:rPr>
      </w:pPr>
      <w:r w:rsidRPr="00320289">
        <w:rPr>
          <w:rFonts w:asciiTheme="minorHAnsi" w:hAnsiTheme="minorHAnsi" w:cs="Courier New"/>
          <w:b/>
          <w:sz w:val="22"/>
          <w:szCs w:val="22"/>
        </w:rPr>
        <w:br w:type="page"/>
      </w:r>
    </w:p>
    <w:p w:rsidR="00320289" w:rsidRPr="00320289" w:rsidRDefault="00320289" w:rsidP="00320289">
      <w:pPr>
        <w:autoSpaceDE w:val="0"/>
        <w:autoSpaceDN w:val="0"/>
        <w:adjustRightInd w:val="0"/>
        <w:jc w:val="both"/>
        <w:rPr>
          <w:rFonts w:asciiTheme="minorHAnsi" w:hAnsiTheme="minorHAnsi" w:cs="Courier New"/>
          <w:b/>
          <w:sz w:val="22"/>
          <w:szCs w:val="22"/>
        </w:rPr>
      </w:pPr>
      <w:r w:rsidRPr="00320289">
        <w:rPr>
          <w:rFonts w:asciiTheme="minorHAnsi" w:hAnsiTheme="minorHAnsi" w:cs="Courier New"/>
          <w:b/>
          <w:sz w:val="22"/>
          <w:szCs w:val="22"/>
        </w:rPr>
        <w:lastRenderedPageBreak/>
        <w:t>.- La garantía de 10 años. Conlleva Póliza Obligatoria, suscrita por el</w:t>
      </w:r>
    </w:p>
    <w:p w:rsidR="00320289" w:rsidRPr="00320289" w:rsidRDefault="00320289" w:rsidP="00320289">
      <w:pPr>
        <w:jc w:val="both"/>
        <w:rPr>
          <w:rFonts w:asciiTheme="minorHAnsi" w:hAnsiTheme="minorHAnsi" w:cs="Courier New"/>
          <w:b/>
          <w:sz w:val="22"/>
          <w:szCs w:val="22"/>
        </w:rPr>
      </w:pPr>
      <w:r w:rsidRPr="00320289">
        <w:rPr>
          <w:rFonts w:asciiTheme="minorHAnsi" w:hAnsiTheme="minorHAnsi" w:cs="Courier New"/>
          <w:b/>
          <w:sz w:val="22"/>
          <w:szCs w:val="22"/>
        </w:rPr>
        <w:t>Promotor. (</w:t>
      </w:r>
      <w:proofErr w:type="spellStart"/>
      <w:r w:rsidRPr="00320289">
        <w:rPr>
          <w:rFonts w:asciiTheme="minorHAnsi" w:hAnsiTheme="minorHAnsi" w:cs="Courier New"/>
          <w:b/>
          <w:sz w:val="22"/>
          <w:szCs w:val="22"/>
        </w:rPr>
        <w:t>OCT’s</w:t>
      </w:r>
      <w:proofErr w:type="spellEnd"/>
      <w:r w:rsidRPr="00320289">
        <w:rPr>
          <w:rFonts w:asciiTheme="minorHAnsi" w:hAnsiTheme="minorHAnsi" w:cs="Courier New"/>
          <w:b/>
          <w:sz w:val="22"/>
          <w:szCs w:val="22"/>
        </w:rPr>
        <w:t xml:space="preserve"> y aseguradoras)</w:t>
      </w: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 xml:space="preserve">Seguro exigible: de daños materiales o seguro de caución, para garantizar, durante diez años, el resarcimiento de los daños materiales causados en el edificio por vicios o defectos que tengan su </w:t>
      </w:r>
      <w:proofErr w:type="spellStart"/>
      <w:r w:rsidRPr="00320289">
        <w:rPr>
          <w:rFonts w:asciiTheme="minorHAnsi" w:hAnsiTheme="minorHAnsi" w:cs="Courier New"/>
          <w:sz w:val="22"/>
          <w:szCs w:val="22"/>
        </w:rPr>
        <w:t>orÍgen</w:t>
      </w:r>
      <w:proofErr w:type="spellEnd"/>
      <w:r w:rsidRPr="00320289">
        <w:rPr>
          <w:rFonts w:asciiTheme="minorHAnsi" w:hAnsiTheme="minorHAnsi" w:cs="Courier New"/>
          <w:sz w:val="22"/>
          <w:szCs w:val="22"/>
        </w:rPr>
        <w:t xml:space="preserve"> o afecten a la cimentación, los soportes, las vigas, los forjados, los muros de carga u otros elementos estructurales, y que comprometan </w:t>
      </w:r>
      <w:r w:rsidRPr="00320289">
        <w:rPr>
          <w:rFonts w:asciiTheme="minorHAnsi" w:hAnsiTheme="minorHAnsi" w:cs="Courier New"/>
          <w:sz w:val="22"/>
          <w:szCs w:val="22"/>
          <w:u w:val="single"/>
        </w:rPr>
        <w:t>directamente</w:t>
      </w:r>
      <w:r w:rsidRPr="00320289">
        <w:rPr>
          <w:rFonts w:asciiTheme="minorHAnsi" w:hAnsiTheme="minorHAnsi" w:cs="Courier New"/>
          <w:sz w:val="22"/>
          <w:szCs w:val="22"/>
        </w:rPr>
        <w:t xml:space="preserve"> la resistencia mecánica y estabilidad del edificio. </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Por lo tanto, en los edificios sujetos a LOE  (los que solicitaron licencia de obras desde el día de 6 mayo de 2.000) únicamente tienen garantía de 10 años, los daños en cimentación y en estructura (pórticos, vigas y forjados).</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 xml:space="preserve"> El resto de patologías, tres años. Y un año, terminaciones y acabados.</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center"/>
        <w:rPr>
          <w:rFonts w:asciiTheme="minorHAnsi" w:hAnsiTheme="minorHAnsi" w:cs="Courier New"/>
          <w:b/>
          <w:sz w:val="28"/>
          <w:szCs w:val="28"/>
          <w:u w:val="single"/>
        </w:rPr>
      </w:pPr>
      <w:r w:rsidRPr="00320289">
        <w:rPr>
          <w:rFonts w:asciiTheme="minorHAnsi" w:hAnsiTheme="minorHAnsi" w:cs="Courier New"/>
          <w:b/>
          <w:sz w:val="28"/>
          <w:szCs w:val="28"/>
          <w:u w:val="single"/>
        </w:rPr>
        <w:t>PLAZOS DE PRESCRIPCIÓN</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Antes de la LOE, el plazo de prescripción, por Código Civil, era de 15 años.</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Tras la entrada en vigor de la LOE, el plazo es de 2 años, para cada uno de los 3 grupos temporales.</w:t>
      </w:r>
    </w:p>
    <w:p w:rsidR="00320289" w:rsidRPr="00320289" w:rsidRDefault="00320289" w:rsidP="00320289">
      <w:pPr>
        <w:autoSpaceDE w:val="0"/>
        <w:autoSpaceDN w:val="0"/>
        <w:adjustRightInd w:val="0"/>
        <w:jc w:val="both"/>
        <w:rPr>
          <w:rFonts w:asciiTheme="minorHAnsi" w:hAnsiTheme="minorHAnsi" w:cs="Courier New"/>
          <w:sz w:val="22"/>
          <w:szCs w:val="22"/>
        </w:rPr>
      </w:pPr>
      <w:r w:rsidRPr="00320289">
        <w:rPr>
          <w:rFonts w:asciiTheme="minorHAnsi" w:hAnsiTheme="minorHAnsi" w:cs="Courier New"/>
          <w:sz w:val="22"/>
          <w:szCs w:val="22"/>
        </w:rPr>
        <w:t>La prescripción significa que si dentro del plazo de garantía se acredita de manera fehaciente la existencia de un daño concreto, se tiene, desde ese instante, un plazo de 2 años para ejercer las acciones de reclamación. Si el período de garantía ha pasado sin reclamar y aunque existiera el daño antes, éste no se pudiera acreditar por medio fehaciente (</w:t>
      </w:r>
      <w:proofErr w:type="spellStart"/>
      <w:r w:rsidRPr="00320289">
        <w:rPr>
          <w:rFonts w:asciiTheme="minorHAnsi" w:hAnsiTheme="minorHAnsi" w:cs="Courier New"/>
          <w:sz w:val="22"/>
          <w:szCs w:val="22"/>
        </w:rPr>
        <w:t>burofax</w:t>
      </w:r>
      <w:proofErr w:type="spellEnd"/>
      <w:r w:rsidRPr="00320289">
        <w:rPr>
          <w:rFonts w:asciiTheme="minorHAnsi" w:hAnsiTheme="minorHAnsi" w:cs="Courier New"/>
          <w:sz w:val="22"/>
          <w:szCs w:val="22"/>
        </w:rPr>
        <w:t>, acta notarial, informe pericial visado etc. . .), la reclamación puede ser inútil.</w:t>
      </w:r>
    </w:p>
    <w:p w:rsidR="00320289" w:rsidRPr="00320289" w:rsidRDefault="00320289" w:rsidP="00320289">
      <w:pPr>
        <w:autoSpaceDE w:val="0"/>
        <w:autoSpaceDN w:val="0"/>
        <w:adjustRightInd w:val="0"/>
        <w:jc w:val="both"/>
        <w:rPr>
          <w:rFonts w:asciiTheme="minorHAnsi" w:hAnsiTheme="minorHAnsi" w:cs="Courier New"/>
          <w:sz w:val="22"/>
          <w:szCs w:val="22"/>
        </w:rPr>
      </w:pPr>
    </w:p>
    <w:p w:rsidR="00320289" w:rsidRPr="00320289" w:rsidRDefault="00320289" w:rsidP="00320289">
      <w:pPr>
        <w:jc w:val="both"/>
        <w:rPr>
          <w:rFonts w:asciiTheme="minorHAnsi" w:hAnsiTheme="minorHAnsi"/>
          <w:b/>
          <w:sz w:val="22"/>
          <w:szCs w:val="22"/>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p>
    <w:p w:rsidR="00320289" w:rsidRPr="00320289" w:rsidRDefault="00320289" w:rsidP="00320289">
      <w:pPr>
        <w:spacing w:line="241" w:lineRule="atLeast"/>
        <w:jc w:val="both"/>
        <w:rPr>
          <w:rFonts w:asciiTheme="minorHAnsi" w:hAnsiTheme="minorHAnsi"/>
          <w:b/>
          <w:sz w:val="22"/>
          <w:szCs w:val="22"/>
          <w:u w:val="single"/>
        </w:rPr>
      </w:pPr>
      <w:r>
        <w:rPr>
          <w:rFonts w:asciiTheme="minorHAnsi" w:hAnsiTheme="minorHAnsi"/>
          <w:b/>
          <w:noProof/>
          <w:sz w:val="22"/>
          <w:szCs w:val="22"/>
          <w:u w:val="single"/>
        </w:rPr>
        <w:drawing>
          <wp:anchor distT="0" distB="0" distL="114300" distR="114300" simplePos="0" relativeHeight="251660288" behindDoc="1" locked="0" layoutInCell="1" allowOverlap="1">
            <wp:simplePos x="0" y="0"/>
            <wp:positionH relativeFrom="column">
              <wp:posOffset>4215765</wp:posOffset>
            </wp:positionH>
            <wp:positionV relativeFrom="paragraph">
              <wp:posOffset>153670</wp:posOffset>
            </wp:positionV>
            <wp:extent cx="1362075" cy="1162050"/>
            <wp:effectExtent l="95250" t="95250" r="66675" b="76200"/>
            <wp:wrapNone/>
            <wp:docPr id="1" name="Picture 0" descr="fi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gif"/>
                    <pic:cNvPicPr/>
                  </pic:nvPicPr>
                  <pic:blipFill>
                    <a:blip r:embed="rId10" cstate="print"/>
                    <a:stretch>
                      <a:fillRect/>
                    </a:stretch>
                  </pic:blipFill>
                  <pic:spPr>
                    <a:xfrm rot="453254">
                      <a:off x="0" y="0"/>
                      <a:ext cx="1362075" cy="1162050"/>
                    </a:xfrm>
                    <a:prstGeom prst="rect">
                      <a:avLst/>
                    </a:prstGeom>
                  </pic:spPr>
                </pic:pic>
              </a:graphicData>
            </a:graphic>
          </wp:anchor>
        </w:drawing>
      </w:r>
    </w:p>
    <w:p w:rsidR="00320289" w:rsidRPr="00320289" w:rsidRDefault="00320289" w:rsidP="00320289">
      <w:pPr>
        <w:spacing w:line="241" w:lineRule="atLeast"/>
        <w:jc w:val="both"/>
        <w:rPr>
          <w:rFonts w:asciiTheme="minorHAnsi" w:hAnsiTheme="minorHAnsi"/>
          <w:b/>
          <w:sz w:val="22"/>
          <w:szCs w:val="22"/>
          <w:u w:val="single"/>
        </w:rPr>
      </w:pPr>
    </w:p>
    <w:p w:rsidR="00320289" w:rsidRDefault="00320289" w:rsidP="00320289">
      <w:pPr>
        <w:spacing w:line="241" w:lineRule="atLeast"/>
        <w:jc w:val="both"/>
        <w:rPr>
          <w:rFonts w:ascii="Arial" w:hAnsi="Arial"/>
          <w:b/>
          <w:sz w:val="24"/>
          <w:u w:val="single"/>
        </w:rPr>
      </w:pPr>
    </w:p>
    <w:p w:rsidR="00320289" w:rsidRPr="00320289" w:rsidRDefault="00320289" w:rsidP="00320289">
      <w:pPr>
        <w:ind w:right="-427"/>
        <w:jc w:val="right"/>
        <w:rPr>
          <w:rFonts w:ascii="Zurich Ex BT" w:hAnsi="Zurich Ex BT" w:cs="Tahoma"/>
          <w:i/>
          <w:iCs/>
          <w:sz w:val="18"/>
          <w:szCs w:val="18"/>
        </w:rPr>
      </w:pPr>
      <w:r>
        <w:rPr>
          <w:rFonts w:ascii="Tahoma" w:hAnsi="Tahoma" w:cs="Tahoma"/>
          <w:i/>
          <w:iCs/>
        </w:rPr>
        <w:tab/>
      </w:r>
      <w:r w:rsidRPr="00320289">
        <w:rPr>
          <w:rFonts w:ascii="Zurich Ex BT" w:hAnsi="Zurich Ex BT" w:cs="Tahoma"/>
          <w:i/>
          <w:iCs/>
          <w:sz w:val="18"/>
          <w:szCs w:val="18"/>
        </w:rPr>
        <w:t xml:space="preserve">Valencia, </w:t>
      </w:r>
      <w:r>
        <w:rPr>
          <w:rFonts w:ascii="Zurich Ex BT" w:hAnsi="Zurich Ex BT" w:cs="Tahoma"/>
          <w:i/>
          <w:iCs/>
          <w:sz w:val="18"/>
          <w:szCs w:val="18"/>
        </w:rPr>
        <w:t>06 de abril de 2010</w:t>
      </w:r>
    </w:p>
    <w:p w:rsidR="00320289" w:rsidRPr="00320289" w:rsidRDefault="00320289" w:rsidP="00320289">
      <w:pPr>
        <w:tabs>
          <w:tab w:val="left" w:pos="7595"/>
        </w:tabs>
        <w:ind w:right="-427"/>
        <w:rPr>
          <w:rFonts w:ascii="Zurich Ex BT" w:hAnsi="Zurich Ex BT" w:cs="Tahoma"/>
          <w:i/>
          <w:iCs/>
          <w:sz w:val="18"/>
          <w:szCs w:val="18"/>
        </w:rPr>
      </w:pPr>
    </w:p>
    <w:p w:rsidR="00320289" w:rsidRPr="00320289" w:rsidRDefault="00320289" w:rsidP="00320289">
      <w:pPr>
        <w:ind w:right="-427"/>
        <w:jc w:val="right"/>
        <w:rPr>
          <w:rFonts w:ascii="Zurich Ex BT" w:hAnsi="Zurich Ex BT" w:cs="Tahoma"/>
          <w:i/>
          <w:iCs/>
          <w:sz w:val="18"/>
          <w:szCs w:val="18"/>
        </w:rPr>
      </w:pPr>
    </w:p>
    <w:p w:rsidR="00320289" w:rsidRPr="00320289" w:rsidRDefault="00320289" w:rsidP="00320289">
      <w:pPr>
        <w:pStyle w:val="Heading3"/>
        <w:ind w:right="-427"/>
        <w:rPr>
          <w:rFonts w:ascii="Zurich Ex BT" w:hAnsi="Zurich Ex BT" w:cs="Tahoma"/>
          <w:sz w:val="18"/>
          <w:szCs w:val="18"/>
        </w:rPr>
      </w:pPr>
      <w:r w:rsidRPr="00320289">
        <w:rPr>
          <w:rFonts w:ascii="Zurich Ex BT" w:hAnsi="Zurich Ex BT" w:cs="Tahoma"/>
          <w:sz w:val="18"/>
          <w:szCs w:val="18"/>
        </w:rPr>
        <w:t xml:space="preserve">Fdo.: Carlos Pardo </w:t>
      </w:r>
      <w:proofErr w:type="spellStart"/>
      <w:r w:rsidRPr="00320289">
        <w:rPr>
          <w:rFonts w:ascii="Zurich Ex BT" w:hAnsi="Zurich Ex BT" w:cs="Tahoma"/>
          <w:sz w:val="18"/>
          <w:szCs w:val="18"/>
        </w:rPr>
        <w:t>Soucase</w:t>
      </w:r>
      <w:proofErr w:type="spellEnd"/>
    </w:p>
    <w:p w:rsidR="00320289" w:rsidRPr="00320289" w:rsidRDefault="00320289" w:rsidP="00320289">
      <w:pPr>
        <w:pStyle w:val="Heading1"/>
        <w:ind w:right="-427"/>
        <w:rPr>
          <w:rFonts w:ascii="Zurich Ex BT" w:hAnsi="Zurich Ex BT" w:cs="Tahoma"/>
          <w:i/>
          <w:iCs/>
          <w:sz w:val="18"/>
          <w:szCs w:val="18"/>
        </w:rPr>
      </w:pPr>
      <w:r w:rsidRPr="00320289">
        <w:rPr>
          <w:rFonts w:ascii="Zurich Ex BT" w:hAnsi="Zurich Ex BT" w:cs="Tahoma"/>
          <w:i/>
          <w:iCs/>
          <w:sz w:val="18"/>
          <w:szCs w:val="18"/>
        </w:rPr>
        <w:t>Arquitecto</w:t>
      </w:r>
    </w:p>
    <w:p w:rsidR="003B2332" w:rsidRDefault="003B2332">
      <w:pPr>
        <w:rPr>
          <w:rFonts w:ascii="Arial" w:hAnsi="Arial" w:cs="Arial"/>
          <w:color w:val="999999"/>
          <w:sz w:val="12"/>
        </w:rPr>
      </w:pPr>
    </w:p>
    <w:sectPr w:rsidR="003B2332">
      <w:footerReference w:type="default" r:id="rId11"/>
      <w:pgSz w:w="11906" w:h="16838"/>
      <w:pgMar w:top="993" w:right="1416"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4C" w:rsidRDefault="00E1674C">
      <w:r>
        <w:separator/>
      </w:r>
    </w:p>
  </w:endnote>
  <w:endnote w:type="continuationSeparator" w:id="0">
    <w:p w:rsidR="00E1674C" w:rsidRDefault="00E16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antGarde Md BT">
    <w:altName w:val="Century Gothic"/>
    <w:charset w:val="00"/>
    <w:family w:val="swiss"/>
    <w:pitch w:val="variable"/>
    <w:sig w:usb0="00000087" w:usb1="00000000" w:usb2="00000000" w:usb3="00000000" w:csb0="0000001B" w:csb1="00000000"/>
  </w:font>
  <w:font w:name="AvantGarde Bk BT">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Zurich Ex BT">
    <w:panose1 w:val="020B05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32" w:rsidRDefault="003B2332">
    <w:pPr>
      <w:pStyle w:val="Footer"/>
      <w:jc w:val="right"/>
      <w:rPr>
        <w:rStyle w:val="PageNumber"/>
        <w:sz w:val="14"/>
      </w:rPr>
    </w:pPr>
    <w:r>
      <w:rPr>
        <w:rStyle w:val="PageNumber"/>
        <w:sz w:val="14"/>
      </w:rPr>
      <w:fldChar w:fldCharType="begin"/>
    </w:r>
    <w:r>
      <w:rPr>
        <w:rStyle w:val="PageNumber"/>
        <w:sz w:val="14"/>
      </w:rPr>
      <w:instrText xml:space="preserve"> DATE \@ "dd/MM/yyyy" </w:instrText>
    </w:r>
    <w:r>
      <w:rPr>
        <w:rStyle w:val="PageNumber"/>
        <w:sz w:val="14"/>
      </w:rPr>
      <w:fldChar w:fldCharType="separate"/>
    </w:r>
    <w:r w:rsidR="00320289">
      <w:rPr>
        <w:rStyle w:val="PageNumber"/>
        <w:noProof/>
        <w:sz w:val="14"/>
      </w:rPr>
      <w:t>06/04/2010</w:t>
    </w:r>
    <w:r>
      <w:rPr>
        <w:rStyle w:val="PageNumber"/>
        <w:sz w:val="14"/>
      </w:rPr>
      <w:fldChar w:fldCharType="end"/>
    </w:r>
    <w:r>
      <w:rPr>
        <w:rStyle w:val="PageNumber"/>
        <w:sz w:val="14"/>
      </w:rPr>
      <w:t>-</w:t>
    </w:r>
    <w:r>
      <w:rPr>
        <w:rStyle w:val="PageNumber"/>
        <w:sz w:val="14"/>
      </w:rPr>
      <w:fldChar w:fldCharType="begin"/>
    </w:r>
    <w:r>
      <w:rPr>
        <w:rStyle w:val="PageNumber"/>
        <w:sz w:val="14"/>
      </w:rPr>
      <w:instrText xml:space="preserve"> TIME \@ "H:mm" </w:instrText>
    </w:r>
    <w:r>
      <w:rPr>
        <w:rStyle w:val="PageNumber"/>
        <w:sz w:val="14"/>
      </w:rPr>
      <w:fldChar w:fldCharType="separate"/>
    </w:r>
    <w:r w:rsidR="00320289">
      <w:rPr>
        <w:rStyle w:val="PageNumber"/>
        <w:noProof/>
        <w:sz w:val="14"/>
      </w:rPr>
      <w:t>17:44</w:t>
    </w:r>
    <w:r>
      <w:rPr>
        <w:rStyle w:val="PageNumber"/>
        <w:sz w:val="14"/>
      </w:rPr>
      <w:fldChar w:fldCharType="end"/>
    </w:r>
  </w:p>
  <w:p w:rsidR="003B2332" w:rsidRDefault="003B2332">
    <w:pPr>
      <w:pStyle w:val="Footer"/>
      <w:jc w:val="right"/>
      <w:rPr>
        <w:sz w:val="14"/>
      </w:rPr>
    </w:pPr>
    <w:r>
      <w:rPr>
        <w:rStyle w:val="PageNumber"/>
        <w:sz w:val="14"/>
      </w:rPr>
      <w:fldChar w:fldCharType="begin"/>
    </w:r>
    <w:r>
      <w:rPr>
        <w:rStyle w:val="PageNumber"/>
        <w:sz w:val="14"/>
      </w:rPr>
      <w:instrText xml:space="preserve"> PAGE </w:instrText>
    </w:r>
    <w:r>
      <w:rPr>
        <w:rStyle w:val="PageNumber"/>
        <w:sz w:val="14"/>
      </w:rPr>
      <w:fldChar w:fldCharType="separate"/>
    </w:r>
    <w:r w:rsidR="00320289">
      <w:rPr>
        <w:rStyle w:val="PageNumber"/>
        <w:noProof/>
        <w:sz w:val="14"/>
      </w:rPr>
      <w:t>1</w:t>
    </w:r>
    <w:r>
      <w:rPr>
        <w:rStyle w:val="PageNumber"/>
        <w:sz w:val="14"/>
      </w:rPr>
      <w:fldChar w:fldCharType="end"/>
    </w:r>
    <w:r>
      <w:rPr>
        <w:rStyle w:val="PageNumber"/>
        <w:sz w:val="14"/>
      </w:rPr>
      <w:t>/</w:t>
    </w:r>
    <w:r>
      <w:rPr>
        <w:rStyle w:val="PageNumber"/>
        <w:sz w:val="14"/>
      </w:rPr>
      <w:fldChar w:fldCharType="begin"/>
    </w:r>
    <w:r>
      <w:rPr>
        <w:rStyle w:val="PageNumber"/>
        <w:sz w:val="14"/>
      </w:rPr>
      <w:instrText xml:space="preserve"> NUMPAGES </w:instrText>
    </w:r>
    <w:r>
      <w:rPr>
        <w:rStyle w:val="PageNumber"/>
        <w:sz w:val="14"/>
      </w:rPr>
      <w:fldChar w:fldCharType="separate"/>
    </w:r>
    <w:r w:rsidR="00320289">
      <w:rPr>
        <w:rStyle w:val="PageNumber"/>
        <w:noProof/>
        <w:sz w:val="14"/>
      </w:rPr>
      <w:t>3</w:t>
    </w:r>
    <w:r>
      <w:rPr>
        <w:rStyle w:val="PageNumbe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4C" w:rsidRDefault="00E1674C">
      <w:r>
        <w:separator/>
      </w:r>
    </w:p>
  </w:footnote>
  <w:footnote w:type="continuationSeparator" w:id="0">
    <w:p w:rsidR="00E1674C" w:rsidRDefault="00E16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54F"/>
    <w:multiLevelType w:val="hybridMultilevel"/>
    <w:tmpl w:val="C908DAEA"/>
    <w:lvl w:ilvl="0" w:tplc="91DE92F8">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
    <w:nsid w:val="32F82239"/>
    <w:multiLevelType w:val="hybridMultilevel"/>
    <w:tmpl w:val="4E70AEF4"/>
    <w:lvl w:ilvl="0" w:tplc="C6428464">
      <w:start w:val="1"/>
      <w:numFmt w:val="decimal"/>
      <w:lvlText w:val="%1."/>
      <w:lvlJc w:val="left"/>
      <w:pPr>
        <w:tabs>
          <w:tab w:val="num" w:pos="1776"/>
        </w:tabs>
        <w:ind w:left="1776" w:hanging="360"/>
      </w:pPr>
      <w:rPr>
        <w:rFonts w:hint="default"/>
        <w:sz w:val="14"/>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365B12A1"/>
    <w:multiLevelType w:val="hybridMultilevel"/>
    <w:tmpl w:val="EB6E913C"/>
    <w:lvl w:ilvl="0" w:tplc="0C0A000F">
      <w:start w:val="1"/>
      <w:numFmt w:val="decimal"/>
      <w:lvlText w:val="%1."/>
      <w:lvlJc w:val="left"/>
      <w:pPr>
        <w:tabs>
          <w:tab w:val="num" w:pos="720"/>
        </w:tabs>
        <w:ind w:left="720" w:hanging="360"/>
      </w:pPr>
      <w:rPr>
        <w:rFonts w:hint="default"/>
      </w:rPr>
    </w:lvl>
    <w:lvl w:ilvl="1" w:tplc="1AE2D33E">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1F7309D"/>
    <w:multiLevelType w:val="hybridMultilevel"/>
    <w:tmpl w:val="DC66F56A"/>
    <w:lvl w:ilvl="0" w:tplc="C79671B0">
      <w:start w:val="1"/>
      <w:numFmt w:val="decimal"/>
      <w:lvlText w:val="%1."/>
      <w:lvlJc w:val="left"/>
      <w:pPr>
        <w:tabs>
          <w:tab w:val="num" w:pos="1074"/>
        </w:tabs>
        <w:ind w:left="1074" w:hanging="360"/>
      </w:pPr>
      <w:rPr>
        <w:rFonts w:hint="default"/>
      </w:rPr>
    </w:lvl>
    <w:lvl w:ilvl="1" w:tplc="0C0A0019" w:tentative="1">
      <w:start w:val="1"/>
      <w:numFmt w:val="lowerLetter"/>
      <w:lvlText w:val="%2."/>
      <w:lvlJc w:val="left"/>
      <w:pPr>
        <w:tabs>
          <w:tab w:val="num" w:pos="1794"/>
        </w:tabs>
        <w:ind w:left="1794" w:hanging="360"/>
      </w:pPr>
    </w:lvl>
    <w:lvl w:ilvl="2" w:tplc="0C0A001B" w:tentative="1">
      <w:start w:val="1"/>
      <w:numFmt w:val="lowerRoman"/>
      <w:lvlText w:val="%3."/>
      <w:lvlJc w:val="right"/>
      <w:pPr>
        <w:tabs>
          <w:tab w:val="num" w:pos="2514"/>
        </w:tabs>
        <w:ind w:left="2514" w:hanging="180"/>
      </w:pPr>
    </w:lvl>
    <w:lvl w:ilvl="3" w:tplc="0C0A000F" w:tentative="1">
      <w:start w:val="1"/>
      <w:numFmt w:val="decimal"/>
      <w:lvlText w:val="%4."/>
      <w:lvlJc w:val="left"/>
      <w:pPr>
        <w:tabs>
          <w:tab w:val="num" w:pos="3234"/>
        </w:tabs>
        <w:ind w:left="3234" w:hanging="360"/>
      </w:pPr>
    </w:lvl>
    <w:lvl w:ilvl="4" w:tplc="0C0A0019" w:tentative="1">
      <w:start w:val="1"/>
      <w:numFmt w:val="lowerLetter"/>
      <w:lvlText w:val="%5."/>
      <w:lvlJc w:val="left"/>
      <w:pPr>
        <w:tabs>
          <w:tab w:val="num" w:pos="3954"/>
        </w:tabs>
        <w:ind w:left="3954" w:hanging="360"/>
      </w:pPr>
    </w:lvl>
    <w:lvl w:ilvl="5" w:tplc="0C0A001B" w:tentative="1">
      <w:start w:val="1"/>
      <w:numFmt w:val="lowerRoman"/>
      <w:lvlText w:val="%6."/>
      <w:lvlJc w:val="right"/>
      <w:pPr>
        <w:tabs>
          <w:tab w:val="num" w:pos="4674"/>
        </w:tabs>
        <w:ind w:left="4674" w:hanging="180"/>
      </w:p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4">
    <w:nsid w:val="5E4079C1"/>
    <w:multiLevelType w:val="hybridMultilevel"/>
    <w:tmpl w:val="E2D23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6F2B76"/>
    <w:multiLevelType w:val="hybridMultilevel"/>
    <w:tmpl w:val="BFBC3F30"/>
    <w:lvl w:ilvl="0" w:tplc="5712E0BA">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0289"/>
    <w:rsid w:val="002C40FC"/>
    <w:rsid w:val="00320289"/>
    <w:rsid w:val="003B2332"/>
    <w:rsid w:val="006D38AD"/>
    <w:rsid w:val="006E7382"/>
    <w:rsid w:val="00B13208"/>
    <w:rsid w:val="00E16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cs="Arial"/>
      <w:sz w:val="24"/>
    </w:rPr>
  </w:style>
  <w:style w:type="paragraph" w:styleId="Heading2">
    <w:name w:val="heading 2"/>
    <w:basedOn w:val="Normal"/>
    <w:next w:val="Normal"/>
    <w:qFormat/>
    <w:pPr>
      <w:keepNext/>
      <w:jc w:val="both"/>
      <w:outlineLvl w:val="1"/>
    </w:pPr>
    <w:rPr>
      <w:rFonts w:ascii="Arial" w:hAnsi="Arial" w:cs="Arial"/>
      <w:b/>
      <w:bCs/>
      <w:sz w:val="44"/>
    </w:rPr>
  </w:style>
  <w:style w:type="paragraph" w:styleId="Heading3">
    <w:name w:val="heading 3"/>
    <w:basedOn w:val="Normal"/>
    <w:next w:val="Normal"/>
    <w:qFormat/>
    <w:pPr>
      <w:keepNext/>
      <w:jc w:val="right"/>
      <w:outlineLvl w:val="2"/>
    </w:pPr>
    <w:rPr>
      <w:rFonts w:ascii="Arial" w:hAnsi="Arial" w:cs="Arial"/>
      <w:i/>
      <w:iCs/>
      <w:sz w:val="22"/>
    </w:rPr>
  </w:style>
  <w:style w:type="paragraph" w:styleId="Heading4">
    <w:name w:val="heading 4"/>
    <w:basedOn w:val="Normal"/>
    <w:next w:val="Normal"/>
    <w:qFormat/>
    <w:pPr>
      <w:keepNext/>
      <w:jc w:val="both"/>
      <w:outlineLvl w:val="3"/>
    </w:pPr>
    <w:rPr>
      <w:rFonts w:ascii="Arial" w:hAnsi="Arial" w:cs="Arial"/>
      <w:vanish/>
      <w:sz w:val="24"/>
    </w:rPr>
  </w:style>
  <w:style w:type="paragraph" w:styleId="Heading5">
    <w:name w:val="heading 5"/>
    <w:basedOn w:val="Normal"/>
    <w:next w:val="Normal"/>
    <w:qFormat/>
    <w:pPr>
      <w:keepNext/>
      <w:jc w:val="both"/>
      <w:outlineLvl w:val="4"/>
    </w:pPr>
    <w:rPr>
      <w:rFonts w:ascii="Arial" w:hAnsi="Arial" w:cs="Arial"/>
      <w:b/>
      <w:bCs/>
      <w:sz w:val="24"/>
    </w:rPr>
  </w:style>
  <w:style w:type="paragraph" w:styleId="Heading6">
    <w:name w:val="heading 6"/>
    <w:basedOn w:val="Normal"/>
    <w:next w:val="Normal"/>
    <w:qFormat/>
    <w:pPr>
      <w:keepNext/>
      <w:jc w:val="both"/>
      <w:outlineLvl w:val="5"/>
    </w:pPr>
    <w:rPr>
      <w:rFonts w:ascii="AvantGarde Md BT" w:hAnsi="AvantGarde Md BT" w:cs="Arial"/>
      <w:b/>
      <w:bCs/>
    </w:rPr>
  </w:style>
  <w:style w:type="paragraph" w:styleId="Heading7">
    <w:name w:val="heading 7"/>
    <w:basedOn w:val="Normal"/>
    <w:next w:val="Normal"/>
    <w:qFormat/>
    <w:pPr>
      <w:keepNext/>
      <w:ind w:left="180"/>
      <w:jc w:val="both"/>
      <w:outlineLvl w:val="6"/>
    </w:pPr>
    <w:rPr>
      <w:rFonts w:ascii="AvantGarde Bk BT" w:hAnsi="AvantGarde Bk BT" w:cs="Arial"/>
      <w:sz w:val="24"/>
    </w:rPr>
  </w:style>
  <w:style w:type="paragraph" w:styleId="Heading8">
    <w:name w:val="heading 8"/>
    <w:basedOn w:val="Normal"/>
    <w:next w:val="Normal"/>
    <w:qFormat/>
    <w:pPr>
      <w:keepNext/>
      <w:ind w:left="180" w:firstLine="708"/>
      <w:jc w:val="both"/>
      <w:outlineLvl w:val="7"/>
    </w:pPr>
    <w:rPr>
      <w:rFonts w:ascii="Tahoma" w:hAnsi="Tahoma" w:cs="Tahoma"/>
      <w:b/>
      <w:bCs/>
      <w:sz w:val="24"/>
    </w:rPr>
  </w:style>
  <w:style w:type="paragraph" w:styleId="Heading9">
    <w:name w:val="heading 9"/>
    <w:basedOn w:val="Normal"/>
    <w:next w:val="Normal"/>
    <w:qFormat/>
    <w:pPr>
      <w:keepNext/>
      <w:outlineLvl w:val="8"/>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i/>
      <w:iCs/>
      <w:sz w:val="22"/>
    </w:rPr>
  </w:style>
  <w:style w:type="paragraph" w:styleId="BodyText2">
    <w:name w:val="Body Text 2"/>
    <w:basedOn w:val="Normal"/>
    <w:pPr>
      <w:jc w:val="both"/>
    </w:pPr>
    <w:rPr>
      <w:rFonts w:ascii="Arial" w:hAnsi="Arial" w:cs="Arial"/>
      <w:sz w:val="24"/>
    </w:rPr>
  </w:style>
  <w:style w:type="paragraph" w:styleId="BodyTextIndent3">
    <w:name w:val="Body Text Indent 3"/>
    <w:basedOn w:val="Normal"/>
    <w:pPr>
      <w:ind w:firstLine="708"/>
      <w:jc w:val="both"/>
    </w:pPr>
    <w:rPr>
      <w:rFonts w:ascii="Tahoma" w:hAnsi="Tahoma" w:cs="Tahoma"/>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ind w:left="1416"/>
    </w:pPr>
    <w:rPr>
      <w:rFonts w:ascii="Arial" w:hAnsi="Arial" w:cs="Arial"/>
      <w:sz w:val="14"/>
    </w:rPr>
  </w:style>
  <w:style w:type="paragraph" w:styleId="NormalWeb">
    <w:name w:val="Normal (Web)"/>
    <w:basedOn w:val="Normal"/>
    <w:pPr>
      <w:spacing w:before="100" w:beforeAutospacing="1" w:after="100" w:afterAutospacing="1"/>
    </w:pPr>
    <w:rPr>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1674C"/>
    <w:rPr>
      <w:rFonts w:ascii="Tahoma" w:hAnsi="Tahoma" w:cs="Tahoma"/>
      <w:sz w:val="16"/>
      <w:szCs w:val="16"/>
    </w:rPr>
  </w:style>
  <w:style w:type="character" w:customStyle="1" w:styleId="BalloonTextChar">
    <w:name w:val="Balloon Text Char"/>
    <w:basedOn w:val="DefaultParagraphFont"/>
    <w:link w:val="BalloonText"/>
    <w:uiPriority w:val="99"/>
    <w:semiHidden/>
    <w:rsid w:val="00E1674C"/>
    <w:rPr>
      <w:rFonts w:ascii="Tahoma" w:hAnsi="Tahoma" w:cs="Tahoma"/>
      <w:sz w:val="16"/>
      <w:szCs w:val="16"/>
    </w:rPr>
  </w:style>
  <w:style w:type="paragraph" w:styleId="ListParagraph">
    <w:name w:val="List Paragraph"/>
    <w:basedOn w:val="Normal"/>
    <w:uiPriority w:val="34"/>
    <w:qFormat/>
    <w:rsid w:val="0032028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ps-arquitectu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file:///Y:\IMPRENTA\MATERIAL%20DE%20IMPRENTA\logocp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IMPRENTA\BASES,%20ESCRITOS,%20COMUNICACIONES,%20ETC\BASES%20PARA%20OFERTAS\base%20-%20presupuesto%20servici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 presupuesto servicios.dot</Template>
  <TotalTime>0</TotalTime>
  <Pages>3</Pages>
  <Words>902</Words>
  <Characters>4605</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base para presupuesto con aparejadort</vt:lpstr>
      <vt:lpstr>    </vt:lpstr>
      <vt:lpstr>    </vt:lpstr>
      <vt:lpstr>    </vt:lpstr>
      <vt:lpstr>    </vt:lpstr>
      <vt:lpstr>        Fdo.: Carlos Pardo Soucase</vt:lpstr>
      <vt:lpstr>Arquitecto</vt:lpstr>
      <vt:lpstr>        Fdo.: Carlos Pardo Soucase</vt:lpstr>
      <vt:lpstr>Arquitecto</vt:lpstr>
    </vt:vector>
  </TitlesOfParts>
  <Company>cps - estudios de arquitectura</Company>
  <LinksUpToDate>false</LinksUpToDate>
  <CharactersWithSpaces>5497</CharactersWithSpaces>
  <SharedDoc>false</SharedDoc>
  <HLinks>
    <vt:vector size="12" baseType="variant">
      <vt:variant>
        <vt:i4>7995392</vt:i4>
      </vt:variant>
      <vt:variant>
        <vt:i4>0</vt:i4>
      </vt:variant>
      <vt:variant>
        <vt:i4>0</vt:i4>
      </vt:variant>
      <vt:variant>
        <vt:i4>5</vt:i4>
      </vt:variant>
      <vt:variant>
        <vt:lpwstr>mailto:info@cps-arquitectura.com</vt:lpwstr>
      </vt:variant>
      <vt:variant>
        <vt:lpwstr/>
      </vt:variant>
      <vt:variant>
        <vt:i4>2949120</vt:i4>
      </vt:variant>
      <vt:variant>
        <vt:i4>-1</vt:i4>
      </vt:variant>
      <vt:variant>
        <vt:i4>1050</vt:i4>
      </vt:variant>
      <vt:variant>
        <vt:i4>1</vt:i4>
      </vt:variant>
      <vt:variant>
        <vt:lpwstr>Y:\IMPRENTA\MATERIAL DE IMPRENTA\logocps.jpg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para presupuesto con aparejadort</dc:title>
  <dc:subject/>
  <dc:creator>cps</dc:creator>
  <cp:keywords/>
  <cp:lastModifiedBy>cps</cp:lastModifiedBy>
  <cp:revision>2</cp:revision>
  <cp:lastPrinted>2010-04-06T15:44:00Z</cp:lastPrinted>
  <dcterms:created xsi:type="dcterms:W3CDTF">2010-04-06T15:44:00Z</dcterms:created>
  <dcterms:modified xsi:type="dcterms:W3CDTF">2010-04-06T15:44:00Z</dcterms:modified>
</cp:coreProperties>
</file>